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diagrams/data25.xml" ContentType="application/vnd.openxmlformats-officedocument.drawingml.diagramData+xml"/>
  <Override PartName="/word/diagrams/layout25.xml" ContentType="application/vnd.openxmlformats-officedocument.drawingml.diagramLayout+xml"/>
  <Override PartName="/word/diagrams/quickStyle25.xml" ContentType="application/vnd.openxmlformats-officedocument.drawingml.diagramStyle+xml"/>
  <Override PartName="/word/diagrams/colors25.xml" ContentType="application/vnd.openxmlformats-officedocument.drawingml.diagramColors+xml"/>
  <Override PartName="/word/diagrams/drawing25.xml" ContentType="application/vnd.ms-office.drawingml.diagramDrawing+xml"/>
  <Override PartName="/word/diagrams/data26.xml" ContentType="application/vnd.openxmlformats-officedocument.drawingml.diagramData+xml"/>
  <Override PartName="/word/diagrams/layout26.xml" ContentType="application/vnd.openxmlformats-officedocument.drawingml.diagramLayout+xml"/>
  <Override PartName="/word/diagrams/quickStyle26.xml" ContentType="application/vnd.openxmlformats-officedocument.drawingml.diagramStyle+xml"/>
  <Override PartName="/word/diagrams/colors26.xml" ContentType="application/vnd.openxmlformats-officedocument.drawingml.diagramColors+xml"/>
  <Override PartName="/word/diagrams/drawing26.xml" ContentType="application/vnd.ms-office.drawingml.diagramDrawing+xml"/>
  <Override PartName="/word/diagrams/data27.xml" ContentType="application/vnd.openxmlformats-officedocument.drawingml.diagramData+xml"/>
  <Override PartName="/word/diagrams/layout27.xml" ContentType="application/vnd.openxmlformats-officedocument.drawingml.diagramLayout+xml"/>
  <Override PartName="/word/diagrams/quickStyle27.xml" ContentType="application/vnd.openxmlformats-officedocument.drawingml.diagramStyle+xml"/>
  <Override PartName="/word/diagrams/colors27.xml" ContentType="application/vnd.openxmlformats-officedocument.drawingml.diagramColors+xml"/>
  <Override PartName="/word/diagrams/drawing27.xml" ContentType="application/vnd.ms-office.drawingml.diagramDrawing+xml"/>
  <Override PartName="/word/diagrams/data28.xml" ContentType="application/vnd.openxmlformats-officedocument.drawingml.diagramData+xml"/>
  <Override PartName="/word/diagrams/layout28.xml" ContentType="application/vnd.openxmlformats-officedocument.drawingml.diagramLayout+xml"/>
  <Override PartName="/word/diagrams/quickStyle28.xml" ContentType="application/vnd.openxmlformats-officedocument.drawingml.diagramStyle+xml"/>
  <Override PartName="/word/diagrams/colors28.xml" ContentType="application/vnd.openxmlformats-officedocument.drawingml.diagramColors+xml"/>
  <Override PartName="/word/diagrams/drawing28.xml" ContentType="application/vnd.ms-office.drawingml.diagramDrawing+xml"/>
  <Override PartName="/word/diagrams/data29.xml" ContentType="application/vnd.openxmlformats-officedocument.drawingml.diagramData+xml"/>
  <Override PartName="/word/diagrams/layout29.xml" ContentType="application/vnd.openxmlformats-officedocument.drawingml.diagramLayout+xml"/>
  <Override PartName="/word/diagrams/quickStyle29.xml" ContentType="application/vnd.openxmlformats-officedocument.drawingml.diagramStyle+xml"/>
  <Override PartName="/word/diagrams/colors29.xml" ContentType="application/vnd.openxmlformats-officedocument.drawingml.diagramColors+xml"/>
  <Override PartName="/word/diagrams/drawing29.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FA607F6" w14:textId="77777777" w:rsidR="00B650E5" w:rsidRPr="000E286B" w:rsidRDefault="0053588C" w:rsidP="00227685">
      <w:pPr>
        <w:pStyle w:val="SRK1"/>
        <w:rPr>
          <w:sz w:val="36"/>
        </w:rPr>
      </w:pPr>
      <w:bookmarkStart w:id="0" w:name="_top"/>
      <w:bookmarkStart w:id="1" w:name="_Toc480999588"/>
      <w:bookmarkStart w:id="2" w:name="_Toc501629983"/>
      <w:bookmarkEnd w:id="0"/>
      <w:r>
        <w:rPr>
          <w:noProof/>
        </w:rPr>
        <w:drawing>
          <wp:anchor distT="0" distB="0" distL="114300" distR="114300" simplePos="0" relativeHeight="251668480" behindDoc="0" locked="0" layoutInCell="1" allowOverlap="1" wp14:anchorId="1E84F1DA" wp14:editId="6D3EE8E5">
            <wp:simplePos x="0" y="0"/>
            <wp:positionH relativeFrom="column">
              <wp:posOffset>2339340</wp:posOffset>
            </wp:positionH>
            <wp:positionV relativeFrom="paragraph">
              <wp:posOffset>828675</wp:posOffset>
            </wp:positionV>
            <wp:extent cx="4211320" cy="1362075"/>
            <wp:effectExtent l="0" t="0" r="0" b="9525"/>
            <wp:wrapNone/>
            <wp:docPr id="86"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11320" cy="13620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0" locked="0" layoutInCell="1" allowOverlap="1" wp14:anchorId="21799BF2" wp14:editId="4EBDCA1D">
            <wp:simplePos x="0" y="0"/>
            <wp:positionH relativeFrom="column">
              <wp:posOffset>38100</wp:posOffset>
            </wp:positionH>
            <wp:positionV relativeFrom="paragraph">
              <wp:posOffset>1043305</wp:posOffset>
            </wp:positionV>
            <wp:extent cx="1374775" cy="899795"/>
            <wp:effectExtent l="0" t="0" r="0" b="0"/>
            <wp:wrapNone/>
            <wp:docPr id="85" name="Obrázok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3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74775" cy="89979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9504" behindDoc="0" locked="0" layoutInCell="1" allowOverlap="1" wp14:anchorId="75457E53" wp14:editId="0D87D557">
                <wp:simplePos x="0" y="0"/>
                <wp:positionH relativeFrom="column">
                  <wp:posOffset>-38100</wp:posOffset>
                </wp:positionH>
                <wp:positionV relativeFrom="paragraph">
                  <wp:posOffset>828675</wp:posOffset>
                </wp:positionV>
                <wp:extent cx="6448425" cy="219075"/>
                <wp:effectExtent l="0" t="0" r="0" b="0"/>
                <wp:wrapNone/>
                <wp:docPr id="84" name="Obdĺžnik 10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48425" cy="219075"/>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40B4BB80" w14:textId="77777777" w:rsidR="00A84C26" w:rsidRDefault="00A84C26" w:rsidP="001B709E">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Obdĺžnik 1035" o:spid="_x0000_s1026" style="position:absolute;margin-left:-3pt;margin-top:65.25pt;width:507.75pt;height:17.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wb2kAIAAA4FAAAOAAAAZHJzL2Uyb0RvYy54bWysVN1u0zAUvkfiHSzfd/nB/Um0dNpaipAG&#10;mzR4AMd2GmuJHWy36Zh4MS64gvfi2Gm7DrhAiFw4Pvbx8fed8x2fX+zaBm2FsVKrAidnMUZCMc2l&#10;Whf444fVaIaRdVRx2mglCvwgLL6Yv3xx3ne5SHWtGy4MgiDK5n1X4Nq5Lo8iy2rRUnumO6Fgs9Km&#10;pQ5Ms464oT1Eb5sojeNJ1GvDO6OZsBZWl8Mmnof4VSWYu6kqKxxqCgzYXBhNGEs/RvNzmq8N7WrJ&#10;9jDoP6BoqVRw6THUkjqKNkb+FqqVzGirK3fGdBvpqpJMBA7AJol/YXNX004ELpAc2x3TZP9fWPZ+&#10;e2uQ5AWeEYwUbaFGNyX//vXHNyXvURK/Gvsc9Z3NwfWuuzWepe2uNbu3SOlFTdVaXBqj+1pQDsgS&#10;7x89O+ANC0dR2b/THG6gG6dDunaVaX1ASATahao8HKsidg4xWJwQMiPpGCMGe2mSxdMAKaL54XRn&#10;rHsjdIv8pMAGqh6i0+21dR4NzQ8uAb1uJF/JpgmGWZeLxqAtBYWswhcIAMlTt0Z5Z6X9sSHisAIg&#10;4Q6/5+GGij9mSUriqzQbrSaz6YisyHiUTePZKE6yq2wSk4wsV188wITkteRcqGupxEF9Cfm76u77&#10;YNBN0B/qIT9jEseB/DP49pRlHL4/sWylg25sZAtyODrR3Ff2teLAm+aOymaYR8/xhzRDEg7/kJag&#10;A1/6QUJuV+4gitdDqfkDKMJoKBg0JjwhMKm1+YxRD+1YYPtpQ43AqHmrQFVZQojv32CQ8TQFw5zu&#10;lKc7VDEIVWDmDEaDsXBD1286I9c13JWELCl9CVqsZJDJE669gqHpAp39A+G7+tQOXk/P2PwnAAAA&#10;//8DAFBLAwQUAAYACAAAACEAwgWG7NwAAAALAQAADwAAAGRycy9kb3ducmV2LnhtbEyPQU/DMAyF&#10;70j8h8hI3LaEjVWjNJ0ACXFmm3Z2G6+t1jhVk23l3+Od4PZsPz1/r9hMvlcXGmMX2MLT3IAiroPr&#10;uLGw333O1qBiQnbYByYLPxRhU97fFZi7cOVvumxToySEY44W2pSGXOtYt+QxzsNALLdjGD0mGcdG&#10;uxGvEu57vTAm0x47lg8tDvTRUn3anr0Fnb7otJsWB16aZ6zex+P+MGhrHx+mt1dQiab0Z4YbvqBD&#10;KUxVOLOLqrcwy6RKkv3SrEDdDMa8iKpEZSsDuiz0/w7lLwAAAP//AwBQSwECLQAUAAYACAAAACEA&#10;toM4kv4AAADhAQAAEwAAAAAAAAAAAAAAAAAAAAAAW0NvbnRlbnRfVHlwZXNdLnhtbFBLAQItABQA&#10;BgAIAAAAIQA4/SH/1gAAAJQBAAALAAAAAAAAAAAAAAAAAC8BAABfcmVscy8ucmVsc1BLAQItABQA&#10;BgAIAAAAIQB2ywb2kAIAAA4FAAAOAAAAAAAAAAAAAAAAAC4CAABkcnMvZTJvRG9jLnhtbFBLAQIt&#10;ABQABgAIAAAAIQDCBYbs3AAAAAsBAAAPAAAAAAAAAAAAAAAAAOoEAABkcnMvZG93bnJldi54bWxQ&#10;SwUGAAAAAAQABADzAAAA8wUAAAAA&#10;" stroked="f" strokeweight="2pt">
                <v:textbox>
                  <w:txbxContent>
                    <w:p w14:paraId="40B4BB80" w14:textId="77777777" w:rsidR="00A84C26" w:rsidRDefault="00A84C26" w:rsidP="001B709E">
                      <w:pPr>
                        <w:jc w:val="center"/>
                      </w:pPr>
                    </w:p>
                  </w:txbxContent>
                </v:textbox>
              </v:rect>
            </w:pict>
          </mc:Fallback>
        </mc:AlternateContent>
      </w:r>
      <w:bookmarkEnd w:id="1"/>
      <w:bookmarkEnd w:id="2"/>
    </w:p>
    <w:tbl>
      <w:tblPr>
        <w:tblW w:w="5000" w:type="pct"/>
        <w:jc w:val="center"/>
        <w:tblLook w:val="00A0" w:firstRow="1" w:lastRow="0" w:firstColumn="1" w:lastColumn="0" w:noHBand="0" w:noVBand="0"/>
      </w:tblPr>
      <w:tblGrid>
        <w:gridCol w:w="10051"/>
      </w:tblGrid>
      <w:tr w:rsidR="00B650E5" w14:paraId="5769DD79" w14:textId="77777777">
        <w:trPr>
          <w:trHeight w:val="846"/>
          <w:jc w:val="center"/>
        </w:trPr>
        <w:tc>
          <w:tcPr>
            <w:tcW w:w="5000" w:type="pct"/>
          </w:tcPr>
          <w:p w14:paraId="4F8C66C5" w14:textId="77777777" w:rsidR="00B650E5" w:rsidRDefault="00B650E5" w:rsidP="000E286B">
            <w:pPr>
              <w:spacing w:before="120" w:after="120"/>
              <w:rPr>
                <w:caps/>
              </w:rPr>
            </w:pPr>
            <w:r>
              <w:rPr>
                <w:caps/>
              </w:rPr>
              <w:t xml:space="preserve">                                                         </w:t>
            </w:r>
          </w:p>
          <w:p w14:paraId="584F7DE3" w14:textId="77777777" w:rsidR="00B650E5" w:rsidRDefault="00B650E5">
            <w:pPr>
              <w:tabs>
                <w:tab w:val="right" w:pos="9000"/>
              </w:tabs>
              <w:spacing w:before="120" w:after="120"/>
              <w:rPr>
                <w:caps/>
              </w:rPr>
            </w:pPr>
          </w:p>
          <w:p w14:paraId="7C9D63FF" w14:textId="77777777" w:rsidR="00B650E5" w:rsidRDefault="00B650E5" w:rsidP="000E286B">
            <w:pPr>
              <w:spacing w:after="120"/>
              <w:ind w:right="7995"/>
              <w:jc w:val="center"/>
              <w:rPr>
                <w:rFonts w:ascii="Arial" w:hAnsi="Arial" w:cs="Arial"/>
                <w:sz w:val="20"/>
                <w:szCs w:val="20"/>
              </w:rPr>
            </w:pPr>
          </w:p>
          <w:p w14:paraId="3D123B7A"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Európska únia</w:t>
            </w:r>
          </w:p>
          <w:p w14:paraId="7F808B50"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Európsky fond</w:t>
            </w:r>
          </w:p>
          <w:p w14:paraId="016D6DA8"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regionálneho</w:t>
            </w:r>
          </w:p>
          <w:p w14:paraId="5E148798" w14:textId="77777777" w:rsidR="00B650E5" w:rsidRPr="00B77CE1" w:rsidRDefault="00B650E5" w:rsidP="000E286B">
            <w:pPr>
              <w:ind w:right="7569"/>
              <w:jc w:val="center"/>
              <w:rPr>
                <w:rFonts w:ascii="Arial" w:hAnsi="Arial" w:cs="Arial"/>
                <w:sz w:val="20"/>
                <w:szCs w:val="20"/>
              </w:rPr>
            </w:pPr>
            <w:r w:rsidRPr="00B77CE1">
              <w:rPr>
                <w:rFonts w:ascii="Arial" w:hAnsi="Arial" w:cs="Arial"/>
                <w:sz w:val="20"/>
                <w:szCs w:val="20"/>
              </w:rPr>
              <w:t>rozvoja</w:t>
            </w:r>
          </w:p>
          <w:p w14:paraId="54A2A996" w14:textId="77777777" w:rsidR="00B650E5" w:rsidRDefault="00B650E5" w:rsidP="000E286B">
            <w:pPr>
              <w:ind w:right="7995"/>
              <w:jc w:val="center"/>
              <w:rPr>
                <w:caps/>
              </w:rPr>
            </w:pPr>
          </w:p>
          <w:p w14:paraId="7F50BCD9" w14:textId="150A4B78" w:rsidR="00B650E5" w:rsidRDefault="00B650E5">
            <w:pPr>
              <w:spacing w:before="120" w:after="120"/>
              <w:jc w:val="center"/>
              <w:rPr>
                <w:caps/>
                <w:sz w:val="28"/>
                <w:szCs w:val="28"/>
              </w:rPr>
            </w:pPr>
            <w:r>
              <w:rPr>
                <w:caps/>
                <w:sz w:val="28"/>
                <w:szCs w:val="28"/>
              </w:rPr>
              <w:t>Centrálny koordinačný orgán</w:t>
            </w:r>
          </w:p>
        </w:tc>
      </w:tr>
      <w:tr w:rsidR="00B650E5" w14:paraId="3B9FDBA9" w14:textId="77777777">
        <w:trPr>
          <w:trHeight w:val="846"/>
          <w:jc w:val="center"/>
        </w:trPr>
        <w:tc>
          <w:tcPr>
            <w:tcW w:w="5000" w:type="pct"/>
          </w:tcPr>
          <w:p w14:paraId="1362428D" w14:textId="77777777" w:rsidR="00B650E5" w:rsidRDefault="00B650E5" w:rsidP="00C93F30">
            <w:pPr>
              <w:spacing w:before="120" w:after="120"/>
              <w:jc w:val="center"/>
              <w:rPr>
                <w:caps/>
              </w:rPr>
            </w:pPr>
            <w:r>
              <w:rPr>
                <w:caps/>
              </w:rPr>
              <w:t xml:space="preserve">Úrad PODPREDSEDU VLáDY SLOVENSKEJ REPUBLIKY PRE INVESTíCIE </w:t>
            </w:r>
            <w:r w:rsidR="004E096B">
              <w:rPr>
                <w:caps/>
              </w:rPr>
              <w:t xml:space="preserve">                                    </w:t>
            </w:r>
            <w:r>
              <w:rPr>
                <w:caps/>
              </w:rPr>
              <w:t>A</w:t>
            </w:r>
            <w:r w:rsidR="00C93F30">
              <w:rPr>
                <w:caps/>
              </w:rPr>
              <w:t xml:space="preserve"> </w:t>
            </w:r>
            <w:r>
              <w:rPr>
                <w:caps/>
              </w:rPr>
              <w:t>INFORMATIZÁCIU</w:t>
            </w:r>
          </w:p>
        </w:tc>
      </w:tr>
      <w:tr w:rsidR="00B650E5" w14:paraId="5E0A8D80" w14:textId="77777777">
        <w:trPr>
          <w:trHeight w:val="1440"/>
          <w:jc w:val="center"/>
        </w:trPr>
        <w:tc>
          <w:tcPr>
            <w:tcW w:w="5000" w:type="pct"/>
            <w:tcBorders>
              <w:bottom w:val="single" w:sz="4" w:space="0" w:color="4F81BD"/>
            </w:tcBorders>
            <w:vAlign w:val="center"/>
          </w:tcPr>
          <w:p w14:paraId="7EBAC453" w14:textId="77777777" w:rsidR="00B650E5" w:rsidRPr="000E286B" w:rsidRDefault="00B650E5">
            <w:pPr>
              <w:spacing w:before="120" w:after="120"/>
              <w:jc w:val="center"/>
              <w:rPr>
                <w:rFonts w:ascii="Calibri" w:hAnsi="Calibri"/>
                <w:sz w:val="80"/>
                <w:szCs w:val="80"/>
              </w:rPr>
            </w:pPr>
            <w:r w:rsidRPr="000E286B">
              <w:rPr>
                <w:rFonts w:ascii="Calibri" w:hAnsi="Calibri"/>
                <w:color w:val="1E4E9D"/>
                <w:sz w:val="80"/>
                <w:szCs w:val="80"/>
              </w:rPr>
              <w:t>Systém riadenia európskych štrukturálnych a investičných fondov</w:t>
            </w:r>
          </w:p>
        </w:tc>
      </w:tr>
      <w:tr w:rsidR="00B650E5" w14:paraId="0C8D5E6A" w14:textId="77777777">
        <w:trPr>
          <w:trHeight w:val="720"/>
          <w:jc w:val="center"/>
        </w:trPr>
        <w:tc>
          <w:tcPr>
            <w:tcW w:w="5000" w:type="pct"/>
            <w:tcBorders>
              <w:top w:val="single" w:sz="4" w:space="0" w:color="4F81BD"/>
            </w:tcBorders>
            <w:vAlign w:val="center"/>
          </w:tcPr>
          <w:p w14:paraId="55E35053" w14:textId="77777777" w:rsidR="00B650E5" w:rsidRDefault="00B650E5">
            <w:pPr>
              <w:spacing w:before="120" w:after="120"/>
              <w:jc w:val="center"/>
              <w:rPr>
                <w:sz w:val="44"/>
                <w:szCs w:val="44"/>
              </w:rPr>
            </w:pPr>
            <w:r>
              <w:rPr>
                <w:sz w:val="44"/>
                <w:szCs w:val="44"/>
              </w:rPr>
              <w:t>Programové obdobie 2014 - 2020</w:t>
            </w:r>
          </w:p>
        </w:tc>
      </w:tr>
      <w:tr w:rsidR="00B650E5" w14:paraId="10FD22DB" w14:textId="77777777">
        <w:trPr>
          <w:trHeight w:val="360"/>
          <w:jc w:val="center"/>
        </w:trPr>
        <w:tc>
          <w:tcPr>
            <w:tcW w:w="5000" w:type="pct"/>
            <w:vAlign w:val="center"/>
          </w:tcPr>
          <w:p w14:paraId="266BCF51" w14:textId="77777777" w:rsidR="00B650E5" w:rsidRDefault="00B650E5">
            <w:pPr>
              <w:spacing w:before="120" w:after="120"/>
              <w:jc w:val="center"/>
            </w:pPr>
          </w:p>
        </w:tc>
      </w:tr>
      <w:tr w:rsidR="00B650E5" w14:paraId="54C19BD6" w14:textId="77777777">
        <w:trPr>
          <w:trHeight w:val="360"/>
          <w:jc w:val="center"/>
        </w:trPr>
        <w:tc>
          <w:tcPr>
            <w:tcW w:w="5000" w:type="pct"/>
            <w:vAlign w:val="center"/>
          </w:tcPr>
          <w:p w14:paraId="5A2EE986" w14:textId="2AB20D9D" w:rsidR="00B650E5" w:rsidRDefault="00B650E5" w:rsidP="001B709E">
            <w:pPr>
              <w:spacing w:before="120" w:after="120"/>
              <w:jc w:val="center"/>
              <w:rPr>
                <w:b/>
                <w:bCs/>
              </w:rPr>
            </w:pPr>
            <w:r>
              <w:rPr>
                <w:b/>
                <w:bCs/>
              </w:rPr>
              <w:t xml:space="preserve">Verzia </w:t>
            </w:r>
            <w:r w:rsidR="001B709E">
              <w:rPr>
                <w:b/>
                <w:bCs/>
              </w:rPr>
              <w:t>6</w:t>
            </w:r>
          </w:p>
        </w:tc>
      </w:tr>
      <w:tr w:rsidR="00B650E5" w14:paraId="457D7B2A" w14:textId="77777777">
        <w:trPr>
          <w:trHeight w:val="360"/>
          <w:jc w:val="center"/>
        </w:trPr>
        <w:tc>
          <w:tcPr>
            <w:tcW w:w="5000" w:type="pct"/>
            <w:vAlign w:val="center"/>
          </w:tcPr>
          <w:p w14:paraId="228438A3" w14:textId="77777777" w:rsidR="00B650E5" w:rsidRDefault="00B650E5" w:rsidP="00666B7B">
            <w:pPr>
              <w:spacing w:before="120" w:after="120"/>
              <w:jc w:val="center"/>
              <w:rPr>
                <w:b/>
                <w:bCs/>
              </w:rPr>
            </w:pPr>
            <w:r w:rsidRPr="00A353D3">
              <w:rPr>
                <w:b/>
                <w:bCs/>
              </w:rPr>
              <w:t>201</w:t>
            </w:r>
            <w:r>
              <w:rPr>
                <w:b/>
                <w:bCs/>
              </w:rPr>
              <w:t>7</w:t>
            </w:r>
          </w:p>
        </w:tc>
      </w:tr>
    </w:tbl>
    <w:p w14:paraId="79EACBB4" w14:textId="77777777" w:rsidR="00B650E5" w:rsidRDefault="00B650E5">
      <w:pPr>
        <w:spacing w:before="120" w:after="120"/>
      </w:pPr>
    </w:p>
    <w:p w14:paraId="3F95A33D" w14:textId="77777777" w:rsidR="00B650E5" w:rsidRDefault="00B650E5">
      <w:pPr>
        <w:spacing w:before="120" w:after="120"/>
      </w:pPr>
    </w:p>
    <w:tbl>
      <w:tblPr>
        <w:tblpPr w:leftFromText="187" w:rightFromText="187" w:horzAnchor="margin" w:tblpXSpec="center" w:tblpYSpec="bottom"/>
        <w:tblW w:w="5000" w:type="pct"/>
        <w:tblLook w:val="00A0" w:firstRow="1" w:lastRow="0" w:firstColumn="1" w:lastColumn="0" w:noHBand="0" w:noVBand="0"/>
      </w:tblPr>
      <w:tblGrid>
        <w:gridCol w:w="10051"/>
      </w:tblGrid>
      <w:tr w:rsidR="00B650E5" w14:paraId="0B5E0709" w14:textId="77777777">
        <w:trPr>
          <w:trHeight w:val="87"/>
        </w:trPr>
        <w:tc>
          <w:tcPr>
            <w:tcW w:w="5000" w:type="pct"/>
          </w:tcPr>
          <w:tbl>
            <w:tblPr>
              <w:tblpPr w:leftFromText="187" w:rightFromText="187" w:horzAnchor="margin" w:tblpXSpec="center" w:tblpYSpec="bottom"/>
              <w:tblW w:w="5000" w:type="pct"/>
              <w:tblLook w:val="00A0" w:firstRow="1" w:lastRow="0" w:firstColumn="1" w:lastColumn="0" w:noHBand="0" w:noVBand="0"/>
            </w:tblPr>
            <w:tblGrid>
              <w:gridCol w:w="9835"/>
            </w:tblGrid>
            <w:tr w:rsidR="00702BB3" w14:paraId="2414B0A6" w14:textId="77777777" w:rsidTr="003E53FD">
              <w:trPr>
                <w:trHeight w:val="87"/>
              </w:trPr>
              <w:tc>
                <w:tcPr>
                  <w:tcW w:w="5000" w:type="pct"/>
                </w:tcPr>
                <w:p w14:paraId="7DB03279" w14:textId="3FC0EEAA" w:rsidR="00702BB3" w:rsidRDefault="00702BB3" w:rsidP="00702BB3">
                  <w:pPr>
                    <w:spacing w:before="120" w:after="120"/>
                  </w:pPr>
                  <w:r>
                    <w:t xml:space="preserve">Účinnosť od: </w:t>
                  </w:r>
                  <w:r w:rsidR="00E232B8">
                    <w:t>21.12.2017</w:t>
                  </w:r>
                </w:p>
                <w:p w14:paraId="6B8D3AC6" w14:textId="77777777" w:rsidR="00702BB3" w:rsidRDefault="00702BB3" w:rsidP="00702BB3">
                  <w:pPr>
                    <w:spacing w:before="120" w:after="120"/>
                    <w:ind w:left="1344" w:hanging="1344"/>
                  </w:pPr>
                  <w:r>
                    <w:t xml:space="preserve">Schválil: </w:t>
                  </w:r>
                  <w:r>
                    <w:rPr>
                      <w:b/>
                    </w:rPr>
                    <w:t xml:space="preserve">       Mgr. Patrik Krauspe, vedúci Úradu podpredsedu vlády SR pre investície                           a informatizáciu</w:t>
                  </w:r>
                </w:p>
              </w:tc>
            </w:tr>
          </w:tbl>
          <w:p w14:paraId="02302091" w14:textId="683FFE6F" w:rsidR="00B650E5" w:rsidRDefault="00B650E5" w:rsidP="00F94DD3">
            <w:pPr>
              <w:spacing w:before="120" w:after="120"/>
              <w:ind w:left="1344" w:hanging="1344"/>
            </w:pPr>
          </w:p>
        </w:tc>
      </w:tr>
    </w:tbl>
    <w:p w14:paraId="3140AC21" w14:textId="7A10D1BF" w:rsidR="00B650E5" w:rsidRDefault="00B650E5">
      <w:pPr>
        <w:spacing w:before="120" w:after="120"/>
      </w:pPr>
      <w:r>
        <w:br w:type="page"/>
      </w:r>
      <w:r>
        <w:rPr>
          <w:b/>
          <w:sz w:val="40"/>
        </w:rPr>
        <w:lastRenderedPageBreak/>
        <w:t>Obsah</w:t>
      </w:r>
    </w:p>
    <w:p w14:paraId="414F6E41" w14:textId="77777777" w:rsidR="00E232B8" w:rsidRDefault="00B650E5">
      <w:pPr>
        <w:pStyle w:val="Obsah1"/>
        <w:rPr>
          <w:rFonts w:asciiTheme="minorHAnsi" w:eastAsiaTheme="minorEastAsia" w:hAnsiTheme="minorHAnsi" w:cstheme="minorBidi"/>
          <w:b w:val="0"/>
          <w:sz w:val="22"/>
          <w:szCs w:val="22"/>
        </w:rPr>
      </w:pPr>
      <w:r>
        <w:rPr>
          <w:sz w:val="22"/>
          <w:szCs w:val="22"/>
        </w:rPr>
        <w:fldChar w:fldCharType="begin"/>
      </w:r>
      <w:r>
        <w:rPr>
          <w:sz w:val="22"/>
          <w:szCs w:val="22"/>
        </w:rPr>
        <w:instrText xml:space="preserve"> TOC \o "1-5" \h \z \u </w:instrText>
      </w:r>
      <w:r>
        <w:rPr>
          <w:sz w:val="22"/>
          <w:szCs w:val="22"/>
        </w:rPr>
        <w:fldChar w:fldCharType="separate"/>
      </w:r>
      <w:hyperlink w:anchor="_Toc501629983" w:history="1">
        <w:r w:rsidR="00E232B8">
          <w:rPr>
            <w:webHidden/>
          </w:rPr>
          <w:tab/>
        </w:r>
        <w:r w:rsidR="00E232B8">
          <w:rPr>
            <w:webHidden/>
          </w:rPr>
          <w:fldChar w:fldCharType="begin"/>
        </w:r>
        <w:r w:rsidR="00E232B8">
          <w:rPr>
            <w:webHidden/>
          </w:rPr>
          <w:instrText xml:space="preserve"> PAGEREF _Toc501629983 \h </w:instrText>
        </w:r>
        <w:r w:rsidR="00E232B8">
          <w:rPr>
            <w:webHidden/>
          </w:rPr>
        </w:r>
        <w:r w:rsidR="00E232B8">
          <w:rPr>
            <w:webHidden/>
          </w:rPr>
          <w:fldChar w:fldCharType="separate"/>
        </w:r>
        <w:r w:rsidR="00E232B8">
          <w:rPr>
            <w:webHidden/>
          </w:rPr>
          <w:t>1</w:t>
        </w:r>
        <w:r w:rsidR="00E232B8">
          <w:rPr>
            <w:webHidden/>
          </w:rPr>
          <w:fldChar w:fldCharType="end"/>
        </w:r>
      </w:hyperlink>
    </w:p>
    <w:p w14:paraId="1F458D88" w14:textId="77777777" w:rsidR="00E232B8" w:rsidRDefault="0060362D">
      <w:pPr>
        <w:pStyle w:val="Obsah1"/>
        <w:rPr>
          <w:rFonts w:asciiTheme="minorHAnsi" w:eastAsiaTheme="minorEastAsia" w:hAnsiTheme="minorHAnsi" w:cstheme="minorBidi"/>
          <w:b w:val="0"/>
          <w:sz w:val="22"/>
          <w:szCs w:val="22"/>
        </w:rPr>
      </w:pPr>
      <w:hyperlink w:anchor="_Toc501629984" w:history="1">
        <w:r w:rsidR="00E232B8" w:rsidRPr="002151BC">
          <w:rPr>
            <w:rStyle w:val="Hypertextovprepojenie"/>
          </w:rPr>
          <w:t>Časť 1 Spoločné ustanovenia</w:t>
        </w:r>
        <w:r w:rsidR="00E232B8">
          <w:rPr>
            <w:webHidden/>
          </w:rPr>
          <w:tab/>
        </w:r>
        <w:r w:rsidR="00E232B8">
          <w:rPr>
            <w:webHidden/>
          </w:rPr>
          <w:fldChar w:fldCharType="begin"/>
        </w:r>
        <w:r w:rsidR="00E232B8">
          <w:rPr>
            <w:webHidden/>
          </w:rPr>
          <w:instrText xml:space="preserve"> PAGEREF _Toc501629984 \h </w:instrText>
        </w:r>
        <w:r w:rsidR="00E232B8">
          <w:rPr>
            <w:webHidden/>
          </w:rPr>
        </w:r>
        <w:r w:rsidR="00E232B8">
          <w:rPr>
            <w:webHidden/>
          </w:rPr>
          <w:fldChar w:fldCharType="separate"/>
        </w:r>
        <w:r w:rsidR="00E232B8">
          <w:rPr>
            <w:webHidden/>
          </w:rPr>
          <w:t>8</w:t>
        </w:r>
        <w:r w:rsidR="00E232B8">
          <w:rPr>
            <w:webHidden/>
          </w:rPr>
          <w:fldChar w:fldCharType="end"/>
        </w:r>
      </w:hyperlink>
    </w:p>
    <w:p w14:paraId="4A5363B0" w14:textId="77777777" w:rsidR="00E232B8" w:rsidRDefault="0060362D">
      <w:pPr>
        <w:pStyle w:val="Obsah2"/>
        <w:rPr>
          <w:rFonts w:asciiTheme="minorHAnsi" w:eastAsiaTheme="minorEastAsia" w:hAnsiTheme="minorHAnsi" w:cstheme="minorBidi"/>
          <w:noProof/>
          <w:sz w:val="22"/>
          <w:szCs w:val="22"/>
        </w:rPr>
      </w:pPr>
      <w:hyperlink w:anchor="_Toc501629985" w:history="1">
        <w:r w:rsidR="00E232B8" w:rsidRPr="002151BC">
          <w:rPr>
            <w:rStyle w:val="Hypertextovprepojenie"/>
            <w:noProof/>
          </w:rPr>
          <w:t>1.1 Legislatíva EÚ a SR</w:t>
        </w:r>
        <w:r w:rsidR="00E232B8">
          <w:rPr>
            <w:noProof/>
            <w:webHidden/>
          </w:rPr>
          <w:tab/>
        </w:r>
        <w:r w:rsidR="00E232B8">
          <w:rPr>
            <w:noProof/>
            <w:webHidden/>
          </w:rPr>
          <w:fldChar w:fldCharType="begin"/>
        </w:r>
        <w:r w:rsidR="00E232B8">
          <w:rPr>
            <w:noProof/>
            <w:webHidden/>
          </w:rPr>
          <w:instrText xml:space="preserve"> PAGEREF _Toc501629985 \h </w:instrText>
        </w:r>
        <w:r w:rsidR="00E232B8">
          <w:rPr>
            <w:noProof/>
            <w:webHidden/>
          </w:rPr>
        </w:r>
        <w:r w:rsidR="00E232B8">
          <w:rPr>
            <w:noProof/>
            <w:webHidden/>
          </w:rPr>
          <w:fldChar w:fldCharType="separate"/>
        </w:r>
        <w:r w:rsidR="00E232B8">
          <w:rPr>
            <w:noProof/>
            <w:webHidden/>
          </w:rPr>
          <w:t>8</w:t>
        </w:r>
        <w:r w:rsidR="00E232B8">
          <w:rPr>
            <w:noProof/>
            <w:webHidden/>
          </w:rPr>
          <w:fldChar w:fldCharType="end"/>
        </w:r>
      </w:hyperlink>
    </w:p>
    <w:p w14:paraId="7C242323" w14:textId="77777777" w:rsidR="00E232B8" w:rsidRDefault="0060362D">
      <w:pPr>
        <w:pStyle w:val="Obsah3"/>
        <w:rPr>
          <w:rFonts w:asciiTheme="minorHAnsi" w:eastAsiaTheme="minorEastAsia" w:hAnsiTheme="minorHAnsi" w:cstheme="minorBidi"/>
          <w:noProof/>
          <w:sz w:val="22"/>
          <w:szCs w:val="22"/>
        </w:rPr>
      </w:pPr>
      <w:hyperlink w:anchor="_Toc501629986" w:history="1">
        <w:r w:rsidR="00E232B8" w:rsidRPr="002151BC">
          <w:rPr>
            <w:rStyle w:val="Hypertextovprepojenie"/>
            <w:noProof/>
          </w:rPr>
          <w:t>1.1.1 Základné právne predpisy EÚ</w:t>
        </w:r>
        <w:r w:rsidR="00E232B8">
          <w:rPr>
            <w:noProof/>
            <w:webHidden/>
          </w:rPr>
          <w:tab/>
        </w:r>
        <w:r w:rsidR="00E232B8">
          <w:rPr>
            <w:noProof/>
            <w:webHidden/>
          </w:rPr>
          <w:fldChar w:fldCharType="begin"/>
        </w:r>
        <w:r w:rsidR="00E232B8">
          <w:rPr>
            <w:noProof/>
            <w:webHidden/>
          </w:rPr>
          <w:instrText xml:space="preserve"> PAGEREF _Toc501629986 \h </w:instrText>
        </w:r>
        <w:r w:rsidR="00E232B8">
          <w:rPr>
            <w:noProof/>
            <w:webHidden/>
          </w:rPr>
        </w:r>
        <w:r w:rsidR="00E232B8">
          <w:rPr>
            <w:noProof/>
            <w:webHidden/>
          </w:rPr>
          <w:fldChar w:fldCharType="separate"/>
        </w:r>
        <w:r w:rsidR="00E232B8">
          <w:rPr>
            <w:noProof/>
            <w:webHidden/>
          </w:rPr>
          <w:t>8</w:t>
        </w:r>
        <w:r w:rsidR="00E232B8">
          <w:rPr>
            <w:noProof/>
            <w:webHidden/>
          </w:rPr>
          <w:fldChar w:fldCharType="end"/>
        </w:r>
      </w:hyperlink>
    </w:p>
    <w:p w14:paraId="1164EB81" w14:textId="77777777" w:rsidR="00E232B8" w:rsidRDefault="0060362D">
      <w:pPr>
        <w:pStyle w:val="Obsah3"/>
        <w:rPr>
          <w:rFonts w:asciiTheme="minorHAnsi" w:eastAsiaTheme="minorEastAsia" w:hAnsiTheme="minorHAnsi" w:cstheme="minorBidi"/>
          <w:noProof/>
          <w:sz w:val="22"/>
          <w:szCs w:val="22"/>
        </w:rPr>
      </w:pPr>
      <w:hyperlink w:anchor="_Toc501629987" w:history="1">
        <w:r w:rsidR="00E232B8" w:rsidRPr="002151BC">
          <w:rPr>
            <w:rStyle w:val="Hypertextovprepojenie"/>
            <w:noProof/>
          </w:rPr>
          <w:t>1.1.2 Základné právne predpisy SR</w:t>
        </w:r>
        <w:r w:rsidR="00E232B8">
          <w:rPr>
            <w:noProof/>
            <w:webHidden/>
          </w:rPr>
          <w:tab/>
        </w:r>
        <w:r w:rsidR="00E232B8">
          <w:rPr>
            <w:noProof/>
            <w:webHidden/>
          </w:rPr>
          <w:fldChar w:fldCharType="begin"/>
        </w:r>
        <w:r w:rsidR="00E232B8">
          <w:rPr>
            <w:noProof/>
            <w:webHidden/>
          </w:rPr>
          <w:instrText xml:space="preserve"> PAGEREF _Toc501629987 \h </w:instrText>
        </w:r>
        <w:r w:rsidR="00E232B8">
          <w:rPr>
            <w:noProof/>
            <w:webHidden/>
          </w:rPr>
        </w:r>
        <w:r w:rsidR="00E232B8">
          <w:rPr>
            <w:noProof/>
            <w:webHidden/>
          </w:rPr>
          <w:fldChar w:fldCharType="separate"/>
        </w:r>
        <w:r w:rsidR="00E232B8">
          <w:rPr>
            <w:noProof/>
            <w:webHidden/>
          </w:rPr>
          <w:t>11</w:t>
        </w:r>
        <w:r w:rsidR="00E232B8">
          <w:rPr>
            <w:noProof/>
            <w:webHidden/>
          </w:rPr>
          <w:fldChar w:fldCharType="end"/>
        </w:r>
      </w:hyperlink>
    </w:p>
    <w:p w14:paraId="67AB7C04" w14:textId="77777777" w:rsidR="00E232B8" w:rsidRDefault="0060362D">
      <w:pPr>
        <w:pStyle w:val="Obsah2"/>
        <w:rPr>
          <w:rFonts w:asciiTheme="minorHAnsi" w:eastAsiaTheme="minorEastAsia" w:hAnsiTheme="minorHAnsi" w:cstheme="minorBidi"/>
          <w:noProof/>
          <w:sz w:val="22"/>
          <w:szCs w:val="22"/>
        </w:rPr>
      </w:pPr>
      <w:hyperlink w:anchor="_Toc501629988" w:history="1">
        <w:r w:rsidR="00E232B8" w:rsidRPr="002151BC">
          <w:rPr>
            <w:rStyle w:val="Hypertextovprepojenie"/>
            <w:noProof/>
          </w:rPr>
          <w:t>1.2 Základné ustanovenia a rozsah aplikácie</w:t>
        </w:r>
        <w:r w:rsidR="00E232B8">
          <w:rPr>
            <w:noProof/>
            <w:webHidden/>
          </w:rPr>
          <w:tab/>
        </w:r>
        <w:r w:rsidR="00E232B8">
          <w:rPr>
            <w:noProof/>
            <w:webHidden/>
          </w:rPr>
          <w:fldChar w:fldCharType="begin"/>
        </w:r>
        <w:r w:rsidR="00E232B8">
          <w:rPr>
            <w:noProof/>
            <w:webHidden/>
          </w:rPr>
          <w:instrText xml:space="preserve"> PAGEREF _Toc501629988 \h </w:instrText>
        </w:r>
        <w:r w:rsidR="00E232B8">
          <w:rPr>
            <w:noProof/>
            <w:webHidden/>
          </w:rPr>
        </w:r>
        <w:r w:rsidR="00E232B8">
          <w:rPr>
            <w:noProof/>
            <w:webHidden/>
          </w:rPr>
          <w:fldChar w:fldCharType="separate"/>
        </w:r>
        <w:r w:rsidR="00E232B8">
          <w:rPr>
            <w:noProof/>
            <w:webHidden/>
          </w:rPr>
          <w:t>13</w:t>
        </w:r>
        <w:r w:rsidR="00E232B8">
          <w:rPr>
            <w:noProof/>
            <w:webHidden/>
          </w:rPr>
          <w:fldChar w:fldCharType="end"/>
        </w:r>
      </w:hyperlink>
    </w:p>
    <w:p w14:paraId="38C1A296" w14:textId="77777777" w:rsidR="00E232B8" w:rsidRDefault="0060362D">
      <w:pPr>
        <w:pStyle w:val="Obsah3"/>
        <w:rPr>
          <w:rFonts w:asciiTheme="minorHAnsi" w:eastAsiaTheme="minorEastAsia" w:hAnsiTheme="minorHAnsi" w:cstheme="minorBidi"/>
          <w:noProof/>
          <w:sz w:val="22"/>
          <w:szCs w:val="22"/>
        </w:rPr>
      </w:pPr>
      <w:hyperlink w:anchor="_Toc501629989" w:history="1">
        <w:r w:rsidR="00E232B8" w:rsidRPr="002151BC">
          <w:rPr>
            <w:rStyle w:val="Hypertextovprepojenie"/>
            <w:noProof/>
          </w:rPr>
          <w:t>1.2.1 Zoznam použitých skratiek a vybraných pojmov</w:t>
        </w:r>
        <w:r w:rsidR="00E232B8">
          <w:rPr>
            <w:noProof/>
            <w:webHidden/>
          </w:rPr>
          <w:tab/>
        </w:r>
        <w:r w:rsidR="00E232B8">
          <w:rPr>
            <w:noProof/>
            <w:webHidden/>
          </w:rPr>
          <w:fldChar w:fldCharType="begin"/>
        </w:r>
        <w:r w:rsidR="00E232B8">
          <w:rPr>
            <w:noProof/>
            <w:webHidden/>
          </w:rPr>
          <w:instrText xml:space="preserve"> PAGEREF _Toc501629989 \h </w:instrText>
        </w:r>
        <w:r w:rsidR="00E232B8">
          <w:rPr>
            <w:noProof/>
            <w:webHidden/>
          </w:rPr>
        </w:r>
        <w:r w:rsidR="00E232B8">
          <w:rPr>
            <w:noProof/>
            <w:webHidden/>
          </w:rPr>
          <w:fldChar w:fldCharType="separate"/>
        </w:r>
        <w:r w:rsidR="00E232B8">
          <w:rPr>
            <w:noProof/>
            <w:webHidden/>
          </w:rPr>
          <w:t>17</w:t>
        </w:r>
        <w:r w:rsidR="00E232B8">
          <w:rPr>
            <w:noProof/>
            <w:webHidden/>
          </w:rPr>
          <w:fldChar w:fldCharType="end"/>
        </w:r>
      </w:hyperlink>
    </w:p>
    <w:p w14:paraId="77871501" w14:textId="77777777" w:rsidR="00E232B8" w:rsidRDefault="0060362D">
      <w:pPr>
        <w:pStyle w:val="Obsah2"/>
        <w:rPr>
          <w:rFonts w:asciiTheme="minorHAnsi" w:eastAsiaTheme="minorEastAsia" w:hAnsiTheme="minorHAnsi" w:cstheme="minorBidi"/>
          <w:noProof/>
          <w:sz w:val="22"/>
          <w:szCs w:val="22"/>
        </w:rPr>
      </w:pPr>
      <w:hyperlink w:anchor="_Toc501629990" w:history="1">
        <w:r w:rsidR="00E232B8" w:rsidRPr="002151BC">
          <w:rPr>
            <w:rStyle w:val="Hypertextovprepojenie"/>
            <w:noProof/>
          </w:rPr>
          <w:t>1.3 Subjekty zapojené do riadenia a kontroly EŠIF</w:t>
        </w:r>
        <w:r w:rsidR="00E232B8">
          <w:rPr>
            <w:noProof/>
            <w:webHidden/>
          </w:rPr>
          <w:tab/>
        </w:r>
        <w:r w:rsidR="00E232B8">
          <w:rPr>
            <w:noProof/>
            <w:webHidden/>
          </w:rPr>
          <w:fldChar w:fldCharType="begin"/>
        </w:r>
        <w:r w:rsidR="00E232B8">
          <w:rPr>
            <w:noProof/>
            <w:webHidden/>
          </w:rPr>
          <w:instrText xml:space="preserve"> PAGEREF _Toc501629990 \h </w:instrText>
        </w:r>
        <w:r w:rsidR="00E232B8">
          <w:rPr>
            <w:noProof/>
            <w:webHidden/>
          </w:rPr>
        </w:r>
        <w:r w:rsidR="00E232B8">
          <w:rPr>
            <w:noProof/>
            <w:webHidden/>
          </w:rPr>
          <w:fldChar w:fldCharType="separate"/>
        </w:r>
        <w:r w:rsidR="00E232B8">
          <w:rPr>
            <w:noProof/>
            <w:webHidden/>
          </w:rPr>
          <w:t>20</w:t>
        </w:r>
        <w:r w:rsidR="00E232B8">
          <w:rPr>
            <w:noProof/>
            <w:webHidden/>
          </w:rPr>
          <w:fldChar w:fldCharType="end"/>
        </w:r>
      </w:hyperlink>
    </w:p>
    <w:p w14:paraId="143DB044" w14:textId="77777777" w:rsidR="00E232B8" w:rsidRDefault="0060362D">
      <w:pPr>
        <w:pStyle w:val="Obsah3"/>
        <w:rPr>
          <w:rFonts w:asciiTheme="minorHAnsi" w:eastAsiaTheme="minorEastAsia" w:hAnsiTheme="minorHAnsi" w:cstheme="minorBidi"/>
          <w:noProof/>
          <w:sz w:val="22"/>
          <w:szCs w:val="22"/>
        </w:rPr>
      </w:pPr>
      <w:hyperlink w:anchor="_Toc501629991" w:history="1">
        <w:r w:rsidR="00E232B8" w:rsidRPr="002151BC">
          <w:rPr>
            <w:rStyle w:val="Hypertextovprepojenie"/>
            <w:noProof/>
          </w:rPr>
          <w:t>1.3.1 Subjekty zapojené do riadenia a kontroly na strategickej úrovni</w:t>
        </w:r>
        <w:r w:rsidR="00E232B8">
          <w:rPr>
            <w:noProof/>
            <w:webHidden/>
          </w:rPr>
          <w:tab/>
        </w:r>
        <w:r w:rsidR="00E232B8">
          <w:rPr>
            <w:noProof/>
            <w:webHidden/>
          </w:rPr>
          <w:fldChar w:fldCharType="begin"/>
        </w:r>
        <w:r w:rsidR="00E232B8">
          <w:rPr>
            <w:noProof/>
            <w:webHidden/>
          </w:rPr>
          <w:instrText xml:space="preserve"> PAGEREF _Toc501629991 \h </w:instrText>
        </w:r>
        <w:r w:rsidR="00E232B8">
          <w:rPr>
            <w:noProof/>
            <w:webHidden/>
          </w:rPr>
        </w:r>
        <w:r w:rsidR="00E232B8">
          <w:rPr>
            <w:noProof/>
            <w:webHidden/>
          </w:rPr>
          <w:fldChar w:fldCharType="separate"/>
        </w:r>
        <w:r w:rsidR="00E232B8">
          <w:rPr>
            <w:noProof/>
            <w:webHidden/>
          </w:rPr>
          <w:t>20</w:t>
        </w:r>
        <w:r w:rsidR="00E232B8">
          <w:rPr>
            <w:noProof/>
            <w:webHidden/>
          </w:rPr>
          <w:fldChar w:fldCharType="end"/>
        </w:r>
      </w:hyperlink>
    </w:p>
    <w:p w14:paraId="1D9FDF92" w14:textId="77777777" w:rsidR="00E232B8" w:rsidRDefault="0060362D">
      <w:pPr>
        <w:pStyle w:val="Obsah4"/>
        <w:rPr>
          <w:rFonts w:asciiTheme="minorHAnsi" w:eastAsiaTheme="minorEastAsia" w:hAnsiTheme="minorHAnsi" w:cstheme="minorBidi"/>
        </w:rPr>
      </w:pPr>
      <w:hyperlink w:anchor="_Toc501629992" w:history="1">
        <w:r w:rsidR="00E232B8" w:rsidRPr="002151BC">
          <w:rPr>
            <w:rStyle w:val="Hypertextovprepojenie"/>
          </w:rPr>
          <w:t>1.3.1.1 Podpredseda vlády SR pre investície a informatizáciu</w:t>
        </w:r>
        <w:r w:rsidR="00E232B8">
          <w:rPr>
            <w:webHidden/>
          </w:rPr>
          <w:tab/>
        </w:r>
        <w:r w:rsidR="00E232B8">
          <w:rPr>
            <w:webHidden/>
          </w:rPr>
          <w:fldChar w:fldCharType="begin"/>
        </w:r>
        <w:r w:rsidR="00E232B8">
          <w:rPr>
            <w:webHidden/>
          </w:rPr>
          <w:instrText xml:space="preserve"> PAGEREF _Toc501629992 \h </w:instrText>
        </w:r>
        <w:r w:rsidR="00E232B8">
          <w:rPr>
            <w:webHidden/>
          </w:rPr>
        </w:r>
        <w:r w:rsidR="00E232B8">
          <w:rPr>
            <w:webHidden/>
          </w:rPr>
          <w:fldChar w:fldCharType="separate"/>
        </w:r>
        <w:r w:rsidR="00E232B8">
          <w:rPr>
            <w:webHidden/>
          </w:rPr>
          <w:t>20</w:t>
        </w:r>
        <w:r w:rsidR="00E232B8">
          <w:rPr>
            <w:webHidden/>
          </w:rPr>
          <w:fldChar w:fldCharType="end"/>
        </w:r>
      </w:hyperlink>
    </w:p>
    <w:p w14:paraId="1950A6BA" w14:textId="77777777" w:rsidR="00E232B8" w:rsidRDefault="0060362D">
      <w:pPr>
        <w:pStyle w:val="Obsah4"/>
        <w:rPr>
          <w:rFonts w:asciiTheme="minorHAnsi" w:eastAsiaTheme="minorEastAsia" w:hAnsiTheme="minorHAnsi" w:cstheme="minorBidi"/>
        </w:rPr>
      </w:pPr>
      <w:hyperlink w:anchor="_Toc501629993" w:history="1">
        <w:r w:rsidR="00E232B8" w:rsidRPr="002151BC">
          <w:rPr>
            <w:rStyle w:val="Hypertextovprepojenie"/>
          </w:rPr>
          <w:t>1.3.1.2 Centrálny koordinačný orgán</w:t>
        </w:r>
        <w:r w:rsidR="00E232B8">
          <w:rPr>
            <w:webHidden/>
          </w:rPr>
          <w:tab/>
        </w:r>
        <w:r w:rsidR="00E232B8">
          <w:rPr>
            <w:webHidden/>
          </w:rPr>
          <w:fldChar w:fldCharType="begin"/>
        </w:r>
        <w:r w:rsidR="00E232B8">
          <w:rPr>
            <w:webHidden/>
          </w:rPr>
          <w:instrText xml:space="preserve"> PAGEREF _Toc501629993 \h </w:instrText>
        </w:r>
        <w:r w:rsidR="00E232B8">
          <w:rPr>
            <w:webHidden/>
          </w:rPr>
        </w:r>
        <w:r w:rsidR="00E232B8">
          <w:rPr>
            <w:webHidden/>
          </w:rPr>
          <w:fldChar w:fldCharType="separate"/>
        </w:r>
        <w:r w:rsidR="00E232B8">
          <w:rPr>
            <w:webHidden/>
          </w:rPr>
          <w:t>20</w:t>
        </w:r>
        <w:r w:rsidR="00E232B8">
          <w:rPr>
            <w:webHidden/>
          </w:rPr>
          <w:fldChar w:fldCharType="end"/>
        </w:r>
      </w:hyperlink>
    </w:p>
    <w:p w14:paraId="4618FA5F" w14:textId="77777777" w:rsidR="00E232B8" w:rsidRDefault="0060362D">
      <w:pPr>
        <w:pStyle w:val="Obsah4"/>
        <w:rPr>
          <w:rFonts w:asciiTheme="minorHAnsi" w:eastAsiaTheme="minorEastAsia" w:hAnsiTheme="minorHAnsi" w:cstheme="minorBidi"/>
        </w:rPr>
      </w:pPr>
      <w:hyperlink w:anchor="_Toc501629994" w:history="1">
        <w:r w:rsidR="00E232B8" w:rsidRPr="002151BC">
          <w:rPr>
            <w:rStyle w:val="Hypertextovprepojenie"/>
          </w:rPr>
          <w:t>1.3.1.3 Orgán auditu</w:t>
        </w:r>
        <w:r w:rsidR="00E232B8">
          <w:rPr>
            <w:webHidden/>
          </w:rPr>
          <w:tab/>
        </w:r>
        <w:r w:rsidR="00E232B8">
          <w:rPr>
            <w:webHidden/>
          </w:rPr>
          <w:fldChar w:fldCharType="begin"/>
        </w:r>
        <w:r w:rsidR="00E232B8">
          <w:rPr>
            <w:webHidden/>
          </w:rPr>
          <w:instrText xml:space="preserve"> PAGEREF _Toc501629994 \h </w:instrText>
        </w:r>
        <w:r w:rsidR="00E232B8">
          <w:rPr>
            <w:webHidden/>
          </w:rPr>
        </w:r>
        <w:r w:rsidR="00E232B8">
          <w:rPr>
            <w:webHidden/>
          </w:rPr>
          <w:fldChar w:fldCharType="separate"/>
        </w:r>
        <w:r w:rsidR="00E232B8">
          <w:rPr>
            <w:webHidden/>
          </w:rPr>
          <w:t>23</w:t>
        </w:r>
        <w:r w:rsidR="00E232B8">
          <w:rPr>
            <w:webHidden/>
          </w:rPr>
          <w:fldChar w:fldCharType="end"/>
        </w:r>
      </w:hyperlink>
    </w:p>
    <w:p w14:paraId="4749EF52" w14:textId="77777777" w:rsidR="00E232B8" w:rsidRDefault="0060362D">
      <w:pPr>
        <w:pStyle w:val="Obsah4"/>
        <w:rPr>
          <w:rFonts w:asciiTheme="minorHAnsi" w:eastAsiaTheme="minorEastAsia" w:hAnsiTheme="minorHAnsi" w:cstheme="minorBidi"/>
        </w:rPr>
      </w:pPr>
      <w:hyperlink w:anchor="_Toc501629995" w:history="1">
        <w:r w:rsidR="00E232B8" w:rsidRPr="002151BC">
          <w:rPr>
            <w:rStyle w:val="Hypertextovprepojenie"/>
          </w:rPr>
          <w:t>1.3.1.4 Certifikačný orgán</w:t>
        </w:r>
        <w:r w:rsidR="00E232B8">
          <w:rPr>
            <w:webHidden/>
          </w:rPr>
          <w:tab/>
        </w:r>
        <w:r w:rsidR="00E232B8">
          <w:rPr>
            <w:webHidden/>
          </w:rPr>
          <w:fldChar w:fldCharType="begin"/>
        </w:r>
        <w:r w:rsidR="00E232B8">
          <w:rPr>
            <w:webHidden/>
          </w:rPr>
          <w:instrText xml:space="preserve"> PAGEREF _Toc501629995 \h </w:instrText>
        </w:r>
        <w:r w:rsidR="00E232B8">
          <w:rPr>
            <w:webHidden/>
          </w:rPr>
        </w:r>
        <w:r w:rsidR="00E232B8">
          <w:rPr>
            <w:webHidden/>
          </w:rPr>
          <w:fldChar w:fldCharType="separate"/>
        </w:r>
        <w:r w:rsidR="00E232B8">
          <w:rPr>
            <w:webHidden/>
          </w:rPr>
          <w:t>23</w:t>
        </w:r>
        <w:r w:rsidR="00E232B8">
          <w:rPr>
            <w:webHidden/>
          </w:rPr>
          <w:fldChar w:fldCharType="end"/>
        </w:r>
      </w:hyperlink>
    </w:p>
    <w:p w14:paraId="7A6EEA56" w14:textId="77777777" w:rsidR="00E232B8" w:rsidRDefault="0060362D">
      <w:pPr>
        <w:pStyle w:val="Obsah4"/>
        <w:rPr>
          <w:rFonts w:asciiTheme="minorHAnsi" w:eastAsiaTheme="minorEastAsia" w:hAnsiTheme="minorHAnsi" w:cstheme="minorBidi"/>
        </w:rPr>
      </w:pPr>
      <w:hyperlink w:anchor="_Toc501629996" w:history="1">
        <w:r w:rsidR="00E232B8" w:rsidRPr="002151BC">
          <w:rPr>
            <w:rStyle w:val="Hypertextovprepojenie"/>
          </w:rPr>
          <w:t>1.3.1.5 Gestori horizontálnych princípov</w:t>
        </w:r>
        <w:r w:rsidR="00E232B8">
          <w:rPr>
            <w:webHidden/>
          </w:rPr>
          <w:tab/>
        </w:r>
        <w:r w:rsidR="00E232B8">
          <w:rPr>
            <w:webHidden/>
          </w:rPr>
          <w:fldChar w:fldCharType="begin"/>
        </w:r>
        <w:r w:rsidR="00E232B8">
          <w:rPr>
            <w:webHidden/>
          </w:rPr>
          <w:instrText xml:space="preserve"> PAGEREF _Toc501629996 \h </w:instrText>
        </w:r>
        <w:r w:rsidR="00E232B8">
          <w:rPr>
            <w:webHidden/>
          </w:rPr>
        </w:r>
        <w:r w:rsidR="00E232B8">
          <w:rPr>
            <w:webHidden/>
          </w:rPr>
          <w:fldChar w:fldCharType="separate"/>
        </w:r>
        <w:r w:rsidR="00E232B8">
          <w:rPr>
            <w:webHidden/>
          </w:rPr>
          <w:t>23</w:t>
        </w:r>
        <w:r w:rsidR="00E232B8">
          <w:rPr>
            <w:webHidden/>
          </w:rPr>
          <w:fldChar w:fldCharType="end"/>
        </w:r>
      </w:hyperlink>
    </w:p>
    <w:p w14:paraId="0C20E560" w14:textId="77777777" w:rsidR="00E232B8" w:rsidRDefault="0060362D">
      <w:pPr>
        <w:pStyle w:val="Obsah4"/>
        <w:rPr>
          <w:rFonts w:asciiTheme="minorHAnsi" w:eastAsiaTheme="minorEastAsia" w:hAnsiTheme="minorHAnsi" w:cstheme="minorBidi"/>
        </w:rPr>
      </w:pPr>
      <w:hyperlink w:anchor="_Toc501629997" w:history="1">
        <w:r w:rsidR="00E232B8" w:rsidRPr="002151BC">
          <w:rPr>
            <w:rStyle w:val="Hypertextovprepojenie"/>
          </w:rPr>
          <w:t>1.3.1.6 Orgán zabezpečujúci ochranu finančných záujmov</w:t>
        </w:r>
        <w:r w:rsidR="00E232B8">
          <w:rPr>
            <w:webHidden/>
          </w:rPr>
          <w:tab/>
        </w:r>
        <w:r w:rsidR="00E232B8">
          <w:rPr>
            <w:webHidden/>
          </w:rPr>
          <w:fldChar w:fldCharType="begin"/>
        </w:r>
        <w:r w:rsidR="00E232B8">
          <w:rPr>
            <w:webHidden/>
          </w:rPr>
          <w:instrText xml:space="preserve"> PAGEREF _Toc501629997 \h </w:instrText>
        </w:r>
        <w:r w:rsidR="00E232B8">
          <w:rPr>
            <w:webHidden/>
          </w:rPr>
        </w:r>
        <w:r w:rsidR="00E232B8">
          <w:rPr>
            <w:webHidden/>
          </w:rPr>
          <w:fldChar w:fldCharType="separate"/>
        </w:r>
        <w:r w:rsidR="00E232B8">
          <w:rPr>
            <w:webHidden/>
          </w:rPr>
          <w:t>25</w:t>
        </w:r>
        <w:r w:rsidR="00E232B8">
          <w:rPr>
            <w:webHidden/>
          </w:rPr>
          <w:fldChar w:fldCharType="end"/>
        </w:r>
      </w:hyperlink>
    </w:p>
    <w:p w14:paraId="650C385D" w14:textId="77777777" w:rsidR="00E232B8" w:rsidRDefault="0060362D">
      <w:pPr>
        <w:pStyle w:val="Obsah4"/>
        <w:rPr>
          <w:rFonts w:asciiTheme="minorHAnsi" w:eastAsiaTheme="minorEastAsia" w:hAnsiTheme="minorHAnsi" w:cstheme="minorBidi"/>
        </w:rPr>
      </w:pPr>
      <w:hyperlink w:anchor="_Toc501629998" w:history="1">
        <w:r w:rsidR="00E232B8" w:rsidRPr="002151BC">
          <w:rPr>
            <w:rStyle w:val="Hypertextovprepojenie"/>
          </w:rPr>
          <w:t>1.3.1.7 Ministerstvo zahraničných vecí a európskych záležitostí SR</w:t>
        </w:r>
        <w:r w:rsidR="00E232B8">
          <w:rPr>
            <w:webHidden/>
          </w:rPr>
          <w:tab/>
        </w:r>
        <w:r w:rsidR="00E232B8">
          <w:rPr>
            <w:webHidden/>
          </w:rPr>
          <w:fldChar w:fldCharType="begin"/>
        </w:r>
        <w:r w:rsidR="00E232B8">
          <w:rPr>
            <w:webHidden/>
          </w:rPr>
          <w:instrText xml:space="preserve"> PAGEREF _Toc501629998 \h </w:instrText>
        </w:r>
        <w:r w:rsidR="00E232B8">
          <w:rPr>
            <w:webHidden/>
          </w:rPr>
        </w:r>
        <w:r w:rsidR="00E232B8">
          <w:rPr>
            <w:webHidden/>
          </w:rPr>
          <w:fldChar w:fldCharType="separate"/>
        </w:r>
        <w:r w:rsidR="00E232B8">
          <w:rPr>
            <w:webHidden/>
          </w:rPr>
          <w:t>26</w:t>
        </w:r>
        <w:r w:rsidR="00E232B8">
          <w:rPr>
            <w:webHidden/>
          </w:rPr>
          <w:fldChar w:fldCharType="end"/>
        </w:r>
      </w:hyperlink>
    </w:p>
    <w:p w14:paraId="20DB333C" w14:textId="77777777" w:rsidR="00E232B8" w:rsidRDefault="0060362D">
      <w:pPr>
        <w:pStyle w:val="Obsah4"/>
        <w:rPr>
          <w:rFonts w:asciiTheme="minorHAnsi" w:eastAsiaTheme="minorEastAsia" w:hAnsiTheme="minorHAnsi" w:cstheme="minorBidi"/>
        </w:rPr>
      </w:pPr>
      <w:hyperlink w:anchor="_Toc501629999" w:history="1">
        <w:r w:rsidR="00E232B8" w:rsidRPr="002151BC">
          <w:rPr>
            <w:rStyle w:val="Hypertextovprepojenie"/>
          </w:rPr>
          <w:t>1.3.1.8 Národný monitorovací výbor</w:t>
        </w:r>
        <w:r w:rsidR="00E232B8">
          <w:rPr>
            <w:webHidden/>
          </w:rPr>
          <w:tab/>
        </w:r>
        <w:r w:rsidR="00E232B8">
          <w:rPr>
            <w:webHidden/>
          </w:rPr>
          <w:fldChar w:fldCharType="begin"/>
        </w:r>
        <w:r w:rsidR="00E232B8">
          <w:rPr>
            <w:webHidden/>
          </w:rPr>
          <w:instrText xml:space="preserve"> PAGEREF _Toc501629999 \h </w:instrText>
        </w:r>
        <w:r w:rsidR="00E232B8">
          <w:rPr>
            <w:webHidden/>
          </w:rPr>
        </w:r>
        <w:r w:rsidR="00E232B8">
          <w:rPr>
            <w:webHidden/>
          </w:rPr>
          <w:fldChar w:fldCharType="separate"/>
        </w:r>
        <w:r w:rsidR="00E232B8">
          <w:rPr>
            <w:webHidden/>
          </w:rPr>
          <w:t>26</w:t>
        </w:r>
        <w:r w:rsidR="00E232B8">
          <w:rPr>
            <w:webHidden/>
          </w:rPr>
          <w:fldChar w:fldCharType="end"/>
        </w:r>
      </w:hyperlink>
    </w:p>
    <w:p w14:paraId="14494A69" w14:textId="77777777" w:rsidR="00E232B8" w:rsidRDefault="0060362D">
      <w:pPr>
        <w:pStyle w:val="Obsah4"/>
        <w:rPr>
          <w:rFonts w:asciiTheme="minorHAnsi" w:eastAsiaTheme="minorEastAsia" w:hAnsiTheme="minorHAnsi" w:cstheme="minorBidi"/>
        </w:rPr>
      </w:pPr>
      <w:hyperlink w:anchor="_Toc501630000" w:history="1">
        <w:r w:rsidR="00E232B8" w:rsidRPr="002151BC">
          <w:rPr>
            <w:rStyle w:val="Hypertextovprepojenie"/>
          </w:rPr>
          <w:t>1.3.1.9 Koordinačný výbor pre spoluprácu pri kontrole verejného obstarávania</w:t>
        </w:r>
        <w:r w:rsidR="00E232B8">
          <w:rPr>
            <w:webHidden/>
          </w:rPr>
          <w:tab/>
        </w:r>
        <w:r w:rsidR="00E232B8">
          <w:rPr>
            <w:webHidden/>
          </w:rPr>
          <w:fldChar w:fldCharType="begin"/>
        </w:r>
        <w:r w:rsidR="00E232B8">
          <w:rPr>
            <w:webHidden/>
          </w:rPr>
          <w:instrText xml:space="preserve"> PAGEREF _Toc501630000 \h </w:instrText>
        </w:r>
        <w:r w:rsidR="00E232B8">
          <w:rPr>
            <w:webHidden/>
          </w:rPr>
        </w:r>
        <w:r w:rsidR="00E232B8">
          <w:rPr>
            <w:webHidden/>
          </w:rPr>
          <w:fldChar w:fldCharType="separate"/>
        </w:r>
        <w:r w:rsidR="00E232B8">
          <w:rPr>
            <w:webHidden/>
          </w:rPr>
          <w:t>27</w:t>
        </w:r>
        <w:r w:rsidR="00E232B8">
          <w:rPr>
            <w:webHidden/>
          </w:rPr>
          <w:fldChar w:fldCharType="end"/>
        </w:r>
      </w:hyperlink>
    </w:p>
    <w:p w14:paraId="5AB847CE" w14:textId="77777777" w:rsidR="00E232B8" w:rsidRDefault="0060362D">
      <w:pPr>
        <w:pStyle w:val="Obsah4"/>
        <w:rPr>
          <w:rFonts w:asciiTheme="minorHAnsi" w:eastAsiaTheme="minorEastAsia" w:hAnsiTheme="minorHAnsi" w:cstheme="minorBidi"/>
        </w:rPr>
      </w:pPr>
      <w:hyperlink w:anchor="_Toc501630001" w:history="1">
        <w:r w:rsidR="00E232B8" w:rsidRPr="002151BC">
          <w:rPr>
            <w:rStyle w:val="Hypertextovprepojenie"/>
          </w:rPr>
          <w:t>1.3.1.10 Pracovná komisia pre koordináciu a zabezpečenie synergických účinkov medzi EŠIF a ostatnými nástrojmi podpory Únie a SR</w:t>
        </w:r>
        <w:r w:rsidR="00E232B8">
          <w:rPr>
            <w:webHidden/>
          </w:rPr>
          <w:tab/>
        </w:r>
        <w:r w:rsidR="00E232B8">
          <w:rPr>
            <w:webHidden/>
          </w:rPr>
          <w:fldChar w:fldCharType="begin"/>
        </w:r>
        <w:r w:rsidR="00E232B8">
          <w:rPr>
            <w:webHidden/>
          </w:rPr>
          <w:instrText xml:space="preserve"> PAGEREF _Toc501630001 \h </w:instrText>
        </w:r>
        <w:r w:rsidR="00E232B8">
          <w:rPr>
            <w:webHidden/>
          </w:rPr>
        </w:r>
        <w:r w:rsidR="00E232B8">
          <w:rPr>
            <w:webHidden/>
          </w:rPr>
          <w:fldChar w:fldCharType="separate"/>
        </w:r>
        <w:r w:rsidR="00E232B8">
          <w:rPr>
            <w:webHidden/>
          </w:rPr>
          <w:t>28</w:t>
        </w:r>
        <w:r w:rsidR="00E232B8">
          <w:rPr>
            <w:webHidden/>
          </w:rPr>
          <w:fldChar w:fldCharType="end"/>
        </w:r>
      </w:hyperlink>
    </w:p>
    <w:p w14:paraId="6AA7835F" w14:textId="77777777" w:rsidR="00E232B8" w:rsidRDefault="0060362D">
      <w:pPr>
        <w:pStyle w:val="Obsah4"/>
        <w:rPr>
          <w:rFonts w:asciiTheme="minorHAnsi" w:eastAsiaTheme="minorEastAsia" w:hAnsiTheme="minorHAnsi" w:cstheme="minorBidi"/>
        </w:rPr>
      </w:pPr>
      <w:hyperlink w:anchor="_Toc501630002" w:history="1">
        <w:r w:rsidR="00E232B8" w:rsidRPr="002151BC">
          <w:rPr>
            <w:rStyle w:val="Hypertextovprepojenie"/>
          </w:rPr>
          <w:t>1.3.1.11 Rada CKO</w:t>
        </w:r>
        <w:r w:rsidR="00E232B8">
          <w:rPr>
            <w:webHidden/>
          </w:rPr>
          <w:tab/>
        </w:r>
        <w:r w:rsidR="00E232B8">
          <w:rPr>
            <w:webHidden/>
          </w:rPr>
          <w:fldChar w:fldCharType="begin"/>
        </w:r>
        <w:r w:rsidR="00E232B8">
          <w:rPr>
            <w:webHidden/>
          </w:rPr>
          <w:instrText xml:space="preserve"> PAGEREF _Toc501630002 \h </w:instrText>
        </w:r>
        <w:r w:rsidR="00E232B8">
          <w:rPr>
            <w:webHidden/>
          </w:rPr>
        </w:r>
        <w:r w:rsidR="00E232B8">
          <w:rPr>
            <w:webHidden/>
          </w:rPr>
          <w:fldChar w:fldCharType="separate"/>
        </w:r>
        <w:r w:rsidR="00E232B8">
          <w:rPr>
            <w:webHidden/>
          </w:rPr>
          <w:t>29</w:t>
        </w:r>
        <w:r w:rsidR="00E232B8">
          <w:rPr>
            <w:webHidden/>
          </w:rPr>
          <w:fldChar w:fldCharType="end"/>
        </w:r>
      </w:hyperlink>
    </w:p>
    <w:p w14:paraId="3767D60A" w14:textId="77777777" w:rsidR="00E232B8" w:rsidRDefault="0060362D">
      <w:pPr>
        <w:pStyle w:val="Obsah4"/>
        <w:rPr>
          <w:rFonts w:asciiTheme="minorHAnsi" w:eastAsiaTheme="minorEastAsia" w:hAnsiTheme="minorHAnsi" w:cstheme="minorBidi"/>
        </w:rPr>
      </w:pPr>
      <w:hyperlink w:anchor="_Toc501630003" w:history="1">
        <w:r w:rsidR="00E232B8" w:rsidRPr="002151BC">
          <w:rPr>
            <w:rStyle w:val="Hypertextovprepojenie"/>
          </w:rPr>
          <w:t>1.3.1.12 Úrad vlády Slovenskej republiky</w:t>
        </w:r>
        <w:r w:rsidR="00E232B8">
          <w:rPr>
            <w:webHidden/>
          </w:rPr>
          <w:tab/>
        </w:r>
        <w:r w:rsidR="00E232B8">
          <w:rPr>
            <w:webHidden/>
          </w:rPr>
          <w:fldChar w:fldCharType="begin"/>
        </w:r>
        <w:r w:rsidR="00E232B8">
          <w:rPr>
            <w:webHidden/>
          </w:rPr>
          <w:instrText xml:space="preserve"> PAGEREF _Toc501630003 \h </w:instrText>
        </w:r>
        <w:r w:rsidR="00E232B8">
          <w:rPr>
            <w:webHidden/>
          </w:rPr>
        </w:r>
        <w:r w:rsidR="00E232B8">
          <w:rPr>
            <w:webHidden/>
          </w:rPr>
          <w:fldChar w:fldCharType="separate"/>
        </w:r>
        <w:r w:rsidR="00E232B8">
          <w:rPr>
            <w:webHidden/>
          </w:rPr>
          <w:t>30</w:t>
        </w:r>
        <w:r w:rsidR="00E232B8">
          <w:rPr>
            <w:webHidden/>
          </w:rPr>
          <w:fldChar w:fldCharType="end"/>
        </w:r>
      </w:hyperlink>
    </w:p>
    <w:p w14:paraId="258B0125" w14:textId="77777777" w:rsidR="00E232B8" w:rsidRDefault="0060362D">
      <w:pPr>
        <w:pStyle w:val="Obsah4"/>
        <w:rPr>
          <w:rFonts w:asciiTheme="minorHAnsi" w:eastAsiaTheme="minorEastAsia" w:hAnsiTheme="minorHAnsi" w:cstheme="minorBidi"/>
        </w:rPr>
      </w:pPr>
      <w:hyperlink w:anchor="_Toc501630004" w:history="1">
        <w:r w:rsidR="00E232B8" w:rsidRPr="002151BC">
          <w:rPr>
            <w:rStyle w:val="Hypertextovprepojenie"/>
          </w:rPr>
          <w:t>1.3.1.13 Nezávislý monitorovací subjekt</w:t>
        </w:r>
        <w:r w:rsidR="00E232B8">
          <w:rPr>
            <w:webHidden/>
          </w:rPr>
          <w:tab/>
        </w:r>
        <w:r w:rsidR="00E232B8">
          <w:rPr>
            <w:webHidden/>
          </w:rPr>
          <w:fldChar w:fldCharType="begin"/>
        </w:r>
        <w:r w:rsidR="00E232B8">
          <w:rPr>
            <w:webHidden/>
          </w:rPr>
          <w:instrText xml:space="preserve"> PAGEREF _Toc501630004 \h </w:instrText>
        </w:r>
        <w:r w:rsidR="00E232B8">
          <w:rPr>
            <w:webHidden/>
          </w:rPr>
        </w:r>
        <w:r w:rsidR="00E232B8">
          <w:rPr>
            <w:webHidden/>
          </w:rPr>
          <w:fldChar w:fldCharType="separate"/>
        </w:r>
        <w:r w:rsidR="00E232B8">
          <w:rPr>
            <w:webHidden/>
          </w:rPr>
          <w:t>31</w:t>
        </w:r>
        <w:r w:rsidR="00E232B8">
          <w:rPr>
            <w:webHidden/>
          </w:rPr>
          <w:fldChar w:fldCharType="end"/>
        </w:r>
      </w:hyperlink>
    </w:p>
    <w:p w14:paraId="60B7B52B" w14:textId="77777777" w:rsidR="00E232B8" w:rsidRDefault="0060362D">
      <w:pPr>
        <w:pStyle w:val="Obsah3"/>
        <w:rPr>
          <w:rFonts w:asciiTheme="minorHAnsi" w:eastAsiaTheme="minorEastAsia" w:hAnsiTheme="minorHAnsi" w:cstheme="minorBidi"/>
          <w:noProof/>
          <w:sz w:val="22"/>
          <w:szCs w:val="22"/>
        </w:rPr>
      </w:pPr>
      <w:hyperlink w:anchor="_Toc501630005" w:history="1">
        <w:r w:rsidR="00E232B8" w:rsidRPr="002151BC">
          <w:rPr>
            <w:rStyle w:val="Hypertextovprepojenie"/>
            <w:noProof/>
          </w:rPr>
          <w:t>1.3.2 Subjekty zapojené do riadenia a kontroly na programovej úrovni</w:t>
        </w:r>
        <w:r w:rsidR="00E232B8">
          <w:rPr>
            <w:noProof/>
            <w:webHidden/>
          </w:rPr>
          <w:tab/>
        </w:r>
        <w:r w:rsidR="00E232B8">
          <w:rPr>
            <w:noProof/>
            <w:webHidden/>
          </w:rPr>
          <w:fldChar w:fldCharType="begin"/>
        </w:r>
        <w:r w:rsidR="00E232B8">
          <w:rPr>
            <w:noProof/>
            <w:webHidden/>
          </w:rPr>
          <w:instrText xml:space="preserve"> PAGEREF _Toc501630005 \h </w:instrText>
        </w:r>
        <w:r w:rsidR="00E232B8">
          <w:rPr>
            <w:noProof/>
            <w:webHidden/>
          </w:rPr>
        </w:r>
        <w:r w:rsidR="00E232B8">
          <w:rPr>
            <w:noProof/>
            <w:webHidden/>
          </w:rPr>
          <w:fldChar w:fldCharType="separate"/>
        </w:r>
        <w:r w:rsidR="00E232B8">
          <w:rPr>
            <w:noProof/>
            <w:webHidden/>
          </w:rPr>
          <w:t>32</w:t>
        </w:r>
        <w:r w:rsidR="00E232B8">
          <w:rPr>
            <w:noProof/>
            <w:webHidden/>
          </w:rPr>
          <w:fldChar w:fldCharType="end"/>
        </w:r>
      </w:hyperlink>
    </w:p>
    <w:p w14:paraId="02AE0C77" w14:textId="77777777" w:rsidR="00E232B8" w:rsidRDefault="0060362D">
      <w:pPr>
        <w:pStyle w:val="Obsah4"/>
        <w:rPr>
          <w:rFonts w:asciiTheme="minorHAnsi" w:eastAsiaTheme="minorEastAsia" w:hAnsiTheme="minorHAnsi" w:cstheme="minorBidi"/>
        </w:rPr>
      </w:pPr>
      <w:hyperlink w:anchor="_Toc501630006" w:history="1">
        <w:r w:rsidR="00E232B8" w:rsidRPr="002151BC">
          <w:rPr>
            <w:rStyle w:val="Hypertextovprepojenie"/>
          </w:rPr>
          <w:t>1.3.2.1 Riadiaci orgán</w:t>
        </w:r>
        <w:r w:rsidR="00E232B8">
          <w:rPr>
            <w:webHidden/>
          </w:rPr>
          <w:tab/>
        </w:r>
        <w:r w:rsidR="00E232B8">
          <w:rPr>
            <w:webHidden/>
          </w:rPr>
          <w:fldChar w:fldCharType="begin"/>
        </w:r>
        <w:r w:rsidR="00E232B8">
          <w:rPr>
            <w:webHidden/>
          </w:rPr>
          <w:instrText xml:space="preserve"> PAGEREF _Toc501630006 \h </w:instrText>
        </w:r>
        <w:r w:rsidR="00E232B8">
          <w:rPr>
            <w:webHidden/>
          </w:rPr>
        </w:r>
        <w:r w:rsidR="00E232B8">
          <w:rPr>
            <w:webHidden/>
          </w:rPr>
          <w:fldChar w:fldCharType="separate"/>
        </w:r>
        <w:r w:rsidR="00E232B8">
          <w:rPr>
            <w:webHidden/>
          </w:rPr>
          <w:t>32</w:t>
        </w:r>
        <w:r w:rsidR="00E232B8">
          <w:rPr>
            <w:webHidden/>
          </w:rPr>
          <w:fldChar w:fldCharType="end"/>
        </w:r>
      </w:hyperlink>
    </w:p>
    <w:p w14:paraId="6A20DC89" w14:textId="77777777" w:rsidR="00E232B8" w:rsidRDefault="0060362D">
      <w:pPr>
        <w:pStyle w:val="Obsah4"/>
        <w:rPr>
          <w:rFonts w:asciiTheme="minorHAnsi" w:eastAsiaTheme="minorEastAsia" w:hAnsiTheme="minorHAnsi" w:cstheme="minorBidi"/>
        </w:rPr>
      </w:pPr>
      <w:hyperlink w:anchor="_Toc501630007" w:history="1">
        <w:r w:rsidR="00E232B8" w:rsidRPr="002151BC">
          <w:rPr>
            <w:rStyle w:val="Hypertextovprepojenie"/>
          </w:rPr>
          <w:t>1.3.2.2 Sprostredkovateľský orgán</w:t>
        </w:r>
        <w:r w:rsidR="00E232B8">
          <w:rPr>
            <w:webHidden/>
          </w:rPr>
          <w:tab/>
        </w:r>
        <w:r w:rsidR="00E232B8">
          <w:rPr>
            <w:webHidden/>
          </w:rPr>
          <w:fldChar w:fldCharType="begin"/>
        </w:r>
        <w:r w:rsidR="00E232B8">
          <w:rPr>
            <w:webHidden/>
          </w:rPr>
          <w:instrText xml:space="preserve"> PAGEREF _Toc501630007 \h </w:instrText>
        </w:r>
        <w:r w:rsidR="00E232B8">
          <w:rPr>
            <w:webHidden/>
          </w:rPr>
        </w:r>
        <w:r w:rsidR="00E232B8">
          <w:rPr>
            <w:webHidden/>
          </w:rPr>
          <w:fldChar w:fldCharType="separate"/>
        </w:r>
        <w:r w:rsidR="00E232B8">
          <w:rPr>
            <w:webHidden/>
          </w:rPr>
          <w:t>35</w:t>
        </w:r>
        <w:r w:rsidR="00E232B8">
          <w:rPr>
            <w:webHidden/>
          </w:rPr>
          <w:fldChar w:fldCharType="end"/>
        </w:r>
      </w:hyperlink>
    </w:p>
    <w:p w14:paraId="09B97387" w14:textId="77777777" w:rsidR="00E232B8" w:rsidRDefault="0060362D">
      <w:pPr>
        <w:pStyle w:val="Obsah4"/>
        <w:rPr>
          <w:rFonts w:asciiTheme="minorHAnsi" w:eastAsiaTheme="minorEastAsia" w:hAnsiTheme="minorHAnsi" w:cstheme="minorBidi"/>
        </w:rPr>
      </w:pPr>
      <w:hyperlink w:anchor="_Toc501630008" w:history="1">
        <w:r w:rsidR="00E232B8" w:rsidRPr="002151BC">
          <w:rPr>
            <w:rStyle w:val="Hypertextovprepojenie"/>
          </w:rPr>
          <w:t>1.3.2.3   Monitorovací výbor</w:t>
        </w:r>
        <w:r w:rsidR="00E232B8">
          <w:rPr>
            <w:webHidden/>
          </w:rPr>
          <w:tab/>
        </w:r>
        <w:r w:rsidR="00E232B8">
          <w:rPr>
            <w:webHidden/>
          </w:rPr>
          <w:fldChar w:fldCharType="begin"/>
        </w:r>
        <w:r w:rsidR="00E232B8">
          <w:rPr>
            <w:webHidden/>
          </w:rPr>
          <w:instrText xml:space="preserve"> PAGEREF _Toc501630008 \h </w:instrText>
        </w:r>
        <w:r w:rsidR="00E232B8">
          <w:rPr>
            <w:webHidden/>
          </w:rPr>
        </w:r>
        <w:r w:rsidR="00E232B8">
          <w:rPr>
            <w:webHidden/>
          </w:rPr>
          <w:fldChar w:fldCharType="separate"/>
        </w:r>
        <w:r w:rsidR="00E232B8">
          <w:rPr>
            <w:webHidden/>
          </w:rPr>
          <w:t>36</w:t>
        </w:r>
        <w:r w:rsidR="00E232B8">
          <w:rPr>
            <w:webHidden/>
          </w:rPr>
          <w:fldChar w:fldCharType="end"/>
        </w:r>
      </w:hyperlink>
    </w:p>
    <w:p w14:paraId="2A91C0E9" w14:textId="77777777" w:rsidR="00E232B8" w:rsidRDefault="0060362D">
      <w:pPr>
        <w:pStyle w:val="Obsah5"/>
        <w:rPr>
          <w:rFonts w:asciiTheme="minorHAnsi" w:eastAsiaTheme="minorEastAsia" w:hAnsiTheme="minorHAnsi" w:cstheme="minorBidi"/>
          <w:sz w:val="22"/>
        </w:rPr>
      </w:pPr>
      <w:hyperlink w:anchor="_Toc501630009" w:history="1">
        <w:r w:rsidR="00E232B8" w:rsidRPr="002151BC">
          <w:rPr>
            <w:rStyle w:val="Hypertextovprepojenie"/>
          </w:rPr>
          <w:t>1.3.2.3.1 Funkcie monitorovacieho výboru</w:t>
        </w:r>
        <w:r w:rsidR="00E232B8">
          <w:rPr>
            <w:webHidden/>
          </w:rPr>
          <w:tab/>
        </w:r>
        <w:r w:rsidR="00E232B8">
          <w:rPr>
            <w:webHidden/>
          </w:rPr>
          <w:fldChar w:fldCharType="begin"/>
        </w:r>
        <w:r w:rsidR="00E232B8">
          <w:rPr>
            <w:webHidden/>
          </w:rPr>
          <w:instrText xml:space="preserve"> PAGEREF _Toc501630009 \h </w:instrText>
        </w:r>
        <w:r w:rsidR="00E232B8">
          <w:rPr>
            <w:webHidden/>
          </w:rPr>
        </w:r>
        <w:r w:rsidR="00E232B8">
          <w:rPr>
            <w:webHidden/>
          </w:rPr>
          <w:fldChar w:fldCharType="separate"/>
        </w:r>
        <w:r w:rsidR="00E232B8">
          <w:rPr>
            <w:webHidden/>
          </w:rPr>
          <w:t>37</w:t>
        </w:r>
        <w:r w:rsidR="00E232B8">
          <w:rPr>
            <w:webHidden/>
          </w:rPr>
          <w:fldChar w:fldCharType="end"/>
        </w:r>
      </w:hyperlink>
    </w:p>
    <w:p w14:paraId="34A26D55" w14:textId="77777777" w:rsidR="00E232B8" w:rsidRDefault="0060362D">
      <w:pPr>
        <w:pStyle w:val="Obsah5"/>
        <w:rPr>
          <w:rFonts w:asciiTheme="minorHAnsi" w:eastAsiaTheme="minorEastAsia" w:hAnsiTheme="minorHAnsi" w:cstheme="minorBidi"/>
          <w:sz w:val="22"/>
        </w:rPr>
      </w:pPr>
      <w:hyperlink w:anchor="_Toc501630010" w:history="1">
        <w:r w:rsidR="00E232B8" w:rsidRPr="002151BC">
          <w:rPr>
            <w:rStyle w:val="Hypertextovprepojenie"/>
          </w:rPr>
          <w:t>1.3.2.3.2 Komisia pri monitorovacom výbore</w:t>
        </w:r>
        <w:r w:rsidR="00E232B8">
          <w:rPr>
            <w:webHidden/>
          </w:rPr>
          <w:tab/>
        </w:r>
        <w:r w:rsidR="00E232B8">
          <w:rPr>
            <w:webHidden/>
          </w:rPr>
          <w:fldChar w:fldCharType="begin"/>
        </w:r>
        <w:r w:rsidR="00E232B8">
          <w:rPr>
            <w:webHidden/>
          </w:rPr>
          <w:instrText xml:space="preserve"> PAGEREF _Toc501630010 \h </w:instrText>
        </w:r>
        <w:r w:rsidR="00E232B8">
          <w:rPr>
            <w:webHidden/>
          </w:rPr>
        </w:r>
        <w:r w:rsidR="00E232B8">
          <w:rPr>
            <w:webHidden/>
          </w:rPr>
          <w:fldChar w:fldCharType="separate"/>
        </w:r>
        <w:r w:rsidR="00E232B8">
          <w:rPr>
            <w:webHidden/>
          </w:rPr>
          <w:t>38</w:t>
        </w:r>
        <w:r w:rsidR="00E232B8">
          <w:rPr>
            <w:webHidden/>
          </w:rPr>
          <w:fldChar w:fldCharType="end"/>
        </w:r>
      </w:hyperlink>
    </w:p>
    <w:p w14:paraId="564922AE" w14:textId="77777777" w:rsidR="00E232B8" w:rsidRDefault="0060362D">
      <w:pPr>
        <w:pStyle w:val="Obsah2"/>
        <w:rPr>
          <w:rFonts w:asciiTheme="minorHAnsi" w:eastAsiaTheme="minorEastAsia" w:hAnsiTheme="minorHAnsi" w:cstheme="minorBidi"/>
          <w:noProof/>
          <w:sz w:val="22"/>
          <w:szCs w:val="22"/>
        </w:rPr>
      </w:pPr>
      <w:hyperlink w:anchor="_Toc501630011" w:history="1">
        <w:r w:rsidR="00E232B8" w:rsidRPr="002151BC">
          <w:rPr>
            <w:rStyle w:val="Hypertextovprepojenie"/>
            <w:noProof/>
          </w:rPr>
          <w:t>1.4 Elektronická komunikácia</w:t>
        </w:r>
        <w:r w:rsidR="00E232B8">
          <w:rPr>
            <w:noProof/>
            <w:webHidden/>
          </w:rPr>
          <w:tab/>
        </w:r>
        <w:r w:rsidR="00E232B8">
          <w:rPr>
            <w:noProof/>
            <w:webHidden/>
          </w:rPr>
          <w:fldChar w:fldCharType="begin"/>
        </w:r>
        <w:r w:rsidR="00E232B8">
          <w:rPr>
            <w:noProof/>
            <w:webHidden/>
          </w:rPr>
          <w:instrText xml:space="preserve"> PAGEREF _Toc501630011 \h </w:instrText>
        </w:r>
        <w:r w:rsidR="00E232B8">
          <w:rPr>
            <w:noProof/>
            <w:webHidden/>
          </w:rPr>
        </w:r>
        <w:r w:rsidR="00E232B8">
          <w:rPr>
            <w:noProof/>
            <w:webHidden/>
          </w:rPr>
          <w:fldChar w:fldCharType="separate"/>
        </w:r>
        <w:r w:rsidR="00E232B8">
          <w:rPr>
            <w:noProof/>
            <w:webHidden/>
          </w:rPr>
          <w:t>39</w:t>
        </w:r>
        <w:r w:rsidR="00E232B8">
          <w:rPr>
            <w:noProof/>
            <w:webHidden/>
          </w:rPr>
          <w:fldChar w:fldCharType="end"/>
        </w:r>
      </w:hyperlink>
    </w:p>
    <w:p w14:paraId="4EC44E05" w14:textId="77777777" w:rsidR="00E232B8" w:rsidRDefault="0060362D">
      <w:pPr>
        <w:pStyle w:val="Obsah1"/>
        <w:rPr>
          <w:rFonts w:asciiTheme="minorHAnsi" w:eastAsiaTheme="minorEastAsia" w:hAnsiTheme="minorHAnsi" w:cstheme="minorBidi"/>
          <w:b w:val="0"/>
          <w:sz w:val="22"/>
          <w:szCs w:val="22"/>
        </w:rPr>
      </w:pPr>
      <w:hyperlink w:anchor="_Toc501630012" w:history="1">
        <w:r w:rsidR="00E232B8" w:rsidRPr="002151BC">
          <w:rPr>
            <w:rStyle w:val="Hypertextovprepojenie"/>
          </w:rPr>
          <w:t>Časť 2 Programovanie</w:t>
        </w:r>
        <w:r w:rsidR="00E232B8">
          <w:rPr>
            <w:webHidden/>
          </w:rPr>
          <w:tab/>
        </w:r>
        <w:r w:rsidR="00E232B8">
          <w:rPr>
            <w:webHidden/>
          </w:rPr>
          <w:fldChar w:fldCharType="begin"/>
        </w:r>
        <w:r w:rsidR="00E232B8">
          <w:rPr>
            <w:webHidden/>
          </w:rPr>
          <w:instrText xml:space="preserve"> PAGEREF _Toc501630012 \h </w:instrText>
        </w:r>
        <w:r w:rsidR="00E232B8">
          <w:rPr>
            <w:webHidden/>
          </w:rPr>
        </w:r>
        <w:r w:rsidR="00E232B8">
          <w:rPr>
            <w:webHidden/>
          </w:rPr>
          <w:fldChar w:fldCharType="separate"/>
        </w:r>
        <w:r w:rsidR="00E232B8">
          <w:rPr>
            <w:webHidden/>
          </w:rPr>
          <w:t>40</w:t>
        </w:r>
        <w:r w:rsidR="00E232B8">
          <w:rPr>
            <w:webHidden/>
          </w:rPr>
          <w:fldChar w:fldCharType="end"/>
        </w:r>
      </w:hyperlink>
    </w:p>
    <w:p w14:paraId="5BF1E35E" w14:textId="77777777" w:rsidR="00E232B8" w:rsidRDefault="0060362D">
      <w:pPr>
        <w:pStyle w:val="Obsah2"/>
        <w:rPr>
          <w:rFonts w:asciiTheme="minorHAnsi" w:eastAsiaTheme="minorEastAsia" w:hAnsiTheme="minorHAnsi" w:cstheme="minorBidi"/>
          <w:noProof/>
          <w:sz w:val="22"/>
          <w:szCs w:val="22"/>
        </w:rPr>
      </w:pPr>
      <w:hyperlink w:anchor="_Toc501630013" w:history="1">
        <w:r w:rsidR="00E232B8" w:rsidRPr="002151BC">
          <w:rPr>
            <w:rStyle w:val="Hypertextovprepojenie"/>
            <w:noProof/>
          </w:rPr>
          <w:t>2.1 Príprava a zmena partnerskej dohody</w:t>
        </w:r>
        <w:r w:rsidR="00E232B8">
          <w:rPr>
            <w:noProof/>
            <w:webHidden/>
          </w:rPr>
          <w:tab/>
        </w:r>
        <w:r w:rsidR="00E232B8">
          <w:rPr>
            <w:noProof/>
            <w:webHidden/>
          </w:rPr>
          <w:fldChar w:fldCharType="begin"/>
        </w:r>
        <w:r w:rsidR="00E232B8">
          <w:rPr>
            <w:noProof/>
            <w:webHidden/>
          </w:rPr>
          <w:instrText xml:space="preserve"> PAGEREF _Toc501630013 \h </w:instrText>
        </w:r>
        <w:r w:rsidR="00E232B8">
          <w:rPr>
            <w:noProof/>
            <w:webHidden/>
          </w:rPr>
        </w:r>
        <w:r w:rsidR="00E232B8">
          <w:rPr>
            <w:noProof/>
            <w:webHidden/>
          </w:rPr>
          <w:fldChar w:fldCharType="separate"/>
        </w:r>
        <w:r w:rsidR="00E232B8">
          <w:rPr>
            <w:noProof/>
            <w:webHidden/>
          </w:rPr>
          <w:t>40</w:t>
        </w:r>
        <w:r w:rsidR="00E232B8">
          <w:rPr>
            <w:noProof/>
            <w:webHidden/>
          </w:rPr>
          <w:fldChar w:fldCharType="end"/>
        </w:r>
      </w:hyperlink>
    </w:p>
    <w:p w14:paraId="69AC66E9" w14:textId="77777777" w:rsidR="00E232B8" w:rsidRDefault="0060362D">
      <w:pPr>
        <w:pStyle w:val="Obsah3"/>
        <w:rPr>
          <w:rFonts w:asciiTheme="minorHAnsi" w:eastAsiaTheme="minorEastAsia" w:hAnsiTheme="minorHAnsi" w:cstheme="minorBidi"/>
          <w:noProof/>
          <w:sz w:val="22"/>
          <w:szCs w:val="22"/>
        </w:rPr>
      </w:pPr>
      <w:hyperlink w:anchor="_Toc501630014" w:history="1">
        <w:r w:rsidR="00E232B8" w:rsidRPr="002151BC">
          <w:rPr>
            <w:rStyle w:val="Hypertextovprepojenie"/>
            <w:noProof/>
          </w:rPr>
          <w:t>2.1.1 Obsah partnerskej dohody</w:t>
        </w:r>
        <w:r w:rsidR="00E232B8">
          <w:rPr>
            <w:noProof/>
            <w:webHidden/>
          </w:rPr>
          <w:tab/>
        </w:r>
        <w:r w:rsidR="00E232B8">
          <w:rPr>
            <w:noProof/>
            <w:webHidden/>
          </w:rPr>
          <w:fldChar w:fldCharType="begin"/>
        </w:r>
        <w:r w:rsidR="00E232B8">
          <w:rPr>
            <w:noProof/>
            <w:webHidden/>
          </w:rPr>
          <w:instrText xml:space="preserve"> PAGEREF _Toc501630014 \h </w:instrText>
        </w:r>
        <w:r w:rsidR="00E232B8">
          <w:rPr>
            <w:noProof/>
            <w:webHidden/>
          </w:rPr>
        </w:r>
        <w:r w:rsidR="00E232B8">
          <w:rPr>
            <w:noProof/>
            <w:webHidden/>
          </w:rPr>
          <w:fldChar w:fldCharType="separate"/>
        </w:r>
        <w:r w:rsidR="00E232B8">
          <w:rPr>
            <w:noProof/>
            <w:webHidden/>
          </w:rPr>
          <w:t>40</w:t>
        </w:r>
        <w:r w:rsidR="00E232B8">
          <w:rPr>
            <w:noProof/>
            <w:webHidden/>
          </w:rPr>
          <w:fldChar w:fldCharType="end"/>
        </w:r>
      </w:hyperlink>
    </w:p>
    <w:p w14:paraId="15F4E9B7" w14:textId="77777777" w:rsidR="00E232B8" w:rsidRDefault="0060362D">
      <w:pPr>
        <w:pStyle w:val="Obsah3"/>
        <w:rPr>
          <w:rFonts w:asciiTheme="minorHAnsi" w:eastAsiaTheme="minorEastAsia" w:hAnsiTheme="minorHAnsi" w:cstheme="minorBidi"/>
          <w:noProof/>
          <w:sz w:val="22"/>
          <w:szCs w:val="22"/>
        </w:rPr>
      </w:pPr>
      <w:hyperlink w:anchor="_Toc501630015" w:history="1">
        <w:r w:rsidR="00E232B8" w:rsidRPr="002151BC">
          <w:rPr>
            <w:rStyle w:val="Hypertextovprepojenie"/>
            <w:noProof/>
          </w:rPr>
          <w:t>2.1.2 Prijatie a zmena partnerskej dohody</w:t>
        </w:r>
        <w:r w:rsidR="00E232B8">
          <w:rPr>
            <w:noProof/>
            <w:webHidden/>
          </w:rPr>
          <w:tab/>
        </w:r>
        <w:r w:rsidR="00E232B8">
          <w:rPr>
            <w:noProof/>
            <w:webHidden/>
          </w:rPr>
          <w:fldChar w:fldCharType="begin"/>
        </w:r>
        <w:r w:rsidR="00E232B8">
          <w:rPr>
            <w:noProof/>
            <w:webHidden/>
          </w:rPr>
          <w:instrText xml:space="preserve"> PAGEREF _Toc501630015 \h </w:instrText>
        </w:r>
        <w:r w:rsidR="00E232B8">
          <w:rPr>
            <w:noProof/>
            <w:webHidden/>
          </w:rPr>
        </w:r>
        <w:r w:rsidR="00E232B8">
          <w:rPr>
            <w:noProof/>
            <w:webHidden/>
          </w:rPr>
          <w:fldChar w:fldCharType="separate"/>
        </w:r>
        <w:r w:rsidR="00E232B8">
          <w:rPr>
            <w:noProof/>
            <w:webHidden/>
          </w:rPr>
          <w:t>41</w:t>
        </w:r>
        <w:r w:rsidR="00E232B8">
          <w:rPr>
            <w:noProof/>
            <w:webHidden/>
          </w:rPr>
          <w:fldChar w:fldCharType="end"/>
        </w:r>
      </w:hyperlink>
    </w:p>
    <w:p w14:paraId="6FB6C8A0" w14:textId="77777777" w:rsidR="00E232B8" w:rsidRDefault="0060362D">
      <w:pPr>
        <w:pStyle w:val="Obsah2"/>
        <w:rPr>
          <w:rFonts w:asciiTheme="minorHAnsi" w:eastAsiaTheme="minorEastAsia" w:hAnsiTheme="minorHAnsi" w:cstheme="minorBidi"/>
          <w:noProof/>
          <w:sz w:val="22"/>
          <w:szCs w:val="22"/>
        </w:rPr>
      </w:pPr>
      <w:hyperlink w:anchor="_Toc501630016" w:history="1">
        <w:r w:rsidR="00E232B8" w:rsidRPr="002151BC">
          <w:rPr>
            <w:rStyle w:val="Hypertextovprepojenie"/>
            <w:noProof/>
          </w:rPr>
          <w:t>2.2 Príprava a zmena operačných programov</w:t>
        </w:r>
        <w:r w:rsidR="00E232B8">
          <w:rPr>
            <w:noProof/>
            <w:webHidden/>
          </w:rPr>
          <w:tab/>
        </w:r>
        <w:r w:rsidR="00E232B8">
          <w:rPr>
            <w:noProof/>
            <w:webHidden/>
          </w:rPr>
          <w:fldChar w:fldCharType="begin"/>
        </w:r>
        <w:r w:rsidR="00E232B8">
          <w:rPr>
            <w:noProof/>
            <w:webHidden/>
          </w:rPr>
          <w:instrText xml:space="preserve"> PAGEREF _Toc501630016 \h </w:instrText>
        </w:r>
        <w:r w:rsidR="00E232B8">
          <w:rPr>
            <w:noProof/>
            <w:webHidden/>
          </w:rPr>
        </w:r>
        <w:r w:rsidR="00E232B8">
          <w:rPr>
            <w:noProof/>
            <w:webHidden/>
          </w:rPr>
          <w:fldChar w:fldCharType="separate"/>
        </w:r>
        <w:r w:rsidR="00E232B8">
          <w:rPr>
            <w:noProof/>
            <w:webHidden/>
          </w:rPr>
          <w:t>42</w:t>
        </w:r>
        <w:r w:rsidR="00E232B8">
          <w:rPr>
            <w:noProof/>
            <w:webHidden/>
          </w:rPr>
          <w:fldChar w:fldCharType="end"/>
        </w:r>
      </w:hyperlink>
    </w:p>
    <w:p w14:paraId="523B9657" w14:textId="77777777" w:rsidR="00E232B8" w:rsidRDefault="0060362D">
      <w:pPr>
        <w:pStyle w:val="Obsah3"/>
        <w:rPr>
          <w:rFonts w:asciiTheme="minorHAnsi" w:eastAsiaTheme="minorEastAsia" w:hAnsiTheme="minorHAnsi" w:cstheme="minorBidi"/>
          <w:noProof/>
          <w:sz w:val="22"/>
          <w:szCs w:val="22"/>
        </w:rPr>
      </w:pPr>
      <w:hyperlink w:anchor="_Toc501630017" w:history="1">
        <w:r w:rsidR="00E232B8" w:rsidRPr="002151BC">
          <w:rPr>
            <w:rStyle w:val="Hypertextovprepojenie"/>
            <w:noProof/>
          </w:rPr>
          <w:t>2.2.1 Obsah operačného programu</w:t>
        </w:r>
        <w:r w:rsidR="00E232B8">
          <w:rPr>
            <w:noProof/>
            <w:webHidden/>
          </w:rPr>
          <w:tab/>
        </w:r>
        <w:r w:rsidR="00E232B8">
          <w:rPr>
            <w:noProof/>
            <w:webHidden/>
          </w:rPr>
          <w:fldChar w:fldCharType="begin"/>
        </w:r>
        <w:r w:rsidR="00E232B8">
          <w:rPr>
            <w:noProof/>
            <w:webHidden/>
          </w:rPr>
          <w:instrText xml:space="preserve"> PAGEREF _Toc501630017 \h </w:instrText>
        </w:r>
        <w:r w:rsidR="00E232B8">
          <w:rPr>
            <w:noProof/>
            <w:webHidden/>
          </w:rPr>
        </w:r>
        <w:r w:rsidR="00E232B8">
          <w:rPr>
            <w:noProof/>
            <w:webHidden/>
          </w:rPr>
          <w:fldChar w:fldCharType="separate"/>
        </w:r>
        <w:r w:rsidR="00E232B8">
          <w:rPr>
            <w:noProof/>
            <w:webHidden/>
          </w:rPr>
          <w:t>42</w:t>
        </w:r>
        <w:r w:rsidR="00E232B8">
          <w:rPr>
            <w:noProof/>
            <w:webHidden/>
          </w:rPr>
          <w:fldChar w:fldCharType="end"/>
        </w:r>
      </w:hyperlink>
    </w:p>
    <w:p w14:paraId="530356F4" w14:textId="77777777" w:rsidR="00E232B8" w:rsidRDefault="0060362D">
      <w:pPr>
        <w:pStyle w:val="Obsah3"/>
        <w:rPr>
          <w:rFonts w:asciiTheme="minorHAnsi" w:eastAsiaTheme="minorEastAsia" w:hAnsiTheme="minorHAnsi" w:cstheme="minorBidi"/>
          <w:noProof/>
          <w:sz w:val="22"/>
          <w:szCs w:val="22"/>
        </w:rPr>
      </w:pPr>
      <w:hyperlink w:anchor="_Toc501630018" w:history="1">
        <w:r w:rsidR="00E232B8" w:rsidRPr="002151BC">
          <w:rPr>
            <w:rStyle w:val="Hypertextovprepojenie"/>
            <w:noProof/>
          </w:rPr>
          <w:t>2.2.2 Prijatie a zmena operačného programu</w:t>
        </w:r>
        <w:r w:rsidR="00E232B8">
          <w:rPr>
            <w:noProof/>
            <w:webHidden/>
          </w:rPr>
          <w:tab/>
        </w:r>
        <w:r w:rsidR="00E232B8">
          <w:rPr>
            <w:noProof/>
            <w:webHidden/>
          </w:rPr>
          <w:fldChar w:fldCharType="begin"/>
        </w:r>
        <w:r w:rsidR="00E232B8">
          <w:rPr>
            <w:noProof/>
            <w:webHidden/>
          </w:rPr>
          <w:instrText xml:space="preserve"> PAGEREF _Toc501630018 \h </w:instrText>
        </w:r>
        <w:r w:rsidR="00E232B8">
          <w:rPr>
            <w:noProof/>
            <w:webHidden/>
          </w:rPr>
        </w:r>
        <w:r w:rsidR="00E232B8">
          <w:rPr>
            <w:noProof/>
            <w:webHidden/>
          </w:rPr>
          <w:fldChar w:fldCharType="separate"/>
        </w:r>
        <w:r w:rsidR="00E232B8">
          <w:rPr>
            <w:noProof/>
            <w:webHidden/>
          </w:rPr>
          <w:t>44</w:t>
        </w:r>
        <w:r w:rsidR="00E232B8">
          <w:rPr>
            <w:noProof/>
            <w:webHidden/>
          </w:rPr>
          <w:fldChar w:fldCharType="end"/>
        </w:r>
      </w:hyperlink>
    </w:p>
    <w:p w14:paraId="422BB631" w14:textId="77777777" w:rsidR="00E232B8" w:rsidRDefault="0060362D">
      <w:pPr>
        <w:pStyle w:val="Obsah2"/>
        <w:rPr>
          <w:rFonts w:asciiTheme="minorHAnsi" w:eastAsiaTheme="minorEastAsia" w:hAnsiTheme="minorHAnsi" w:cstheme="minorBidi"/>
          <w:noProof/>
          <w:sz w:val="22"/>
          <w:szCs w:val="22"/>
        </w:rPr>
      </w:pPr>
      <w:hyperlink w:anchor="_Toc501630019" w:history="1">
        <w:r w:rsidR="00E232B8" w:rsidRPr="002151BC">
          <w:rPr>
            <w:rStyle w:val="Hypertextovprepojenie"/>
            <w:noProof/>
          </w:rPr>
          <w:t>2.3 Riadiaca dokumentácia na úrovni operačného programu</w:t>
        </w:r>
        <w:r w:rsidR="00E232B8">
          <w:rPr>
            <w:noProof/>
            <w:webHidden/>
          </w:rPr>
          <w:tab/>
        </w:r>
        <w:r w:rsidR="00E232B8">
          <w:rPr>
            <w:noProof/>
            <w:webHidden/>
          </w:rPr>
          <w:fldChar w:fldCharType="begin"/>
        </w:r>
        <w:r w:rsidR="00E232B8">
          <w:rPr>
            <w:noProof/>
            <w:webHidden/>
          </w:rPr>
          <w:instrText xml:space="preserve"> PAGEREF _Toc501630019 \h </w:instrText>
        </w:r>
        <w:r w:rsidR="00E232B8">
          <w:rPr>
            <w:noProof/>
            <w:webHidden/>
          </w:rPr>
        </w:r>
        <w:r w:rsidR="00E232B8">
          <w:rPr>
            <w:noProof/>
            <w:webHidden/>
          </w:rPr>
          <w:fldChar w:fldCharType="separate"/>
        </w:r>
        <w:r w:rsidR="00E232B8">
          <w:rPr>
            <w:noProof/>
            <w:webHidden/>
          </w:rPr>
          <w:t>45</w:t>
        </w:r>
        <w:r w:rsidR="00E232B8">
          <w:rPr>
            <w:noProof/>
            <w:webHidden/>
          </w:rPr>
          <w:fldChar w:fldCharType="end"/>
        </w:r>
      </w:hyperlink>
    </w:p>
    <w:p w14:paraId="21F950B1" w14:textId="77777777" w:rsidR="00E232B8" w:rsidRDefault="0060362D">
      <w:pPr>
        <w:pStyle w:val="Obsah3"/>
        <w:rPr>
          <w:rFonts w:asciiTheme="minorHAnsi" w:eastAsiaTheme="minorEastAsia" w:hAnsiTheme="minorHAnsi" w:cstheme="minorBidi"/>
          <w:noProof/>
          <w:sz w:val="22"/>
          <w:szCs w:val="22"/>
        </w:rPr>
      </w:pPr>
      <w:hyperlink w:anchor="_Toc501630020" w:history="1">
        <w:r w:rsidR="00E232B8" w:rsidRPr="002151BC">
          <w:rPr>
            <w:rStyle w:val="Hypertextovprepojenie"/>
            <w:noProof/>
          </w:rPr>
          <w:t>2.3.1 Manuál procedúr</w:t>
        </w:r>
        <w:r w:rsidR="00E232B8">
          <w:rPr>
            <w:noProof/>
            <w:webHidden/>
          </w:rPr>
          <w:tab/>
        </w:r>
        <w:r w:rsidR="00E232B8">
          <w:rPr>
            <w:noProof/>
            <w:webHidden/>
          </w:rPr>
          <w:fldChar w:fldCharType="begin"/>
        </w:r>
        <w:r w:rsidR="00E232B8">
          <w:rPr>
            <w:noProof/>
            <w:webHidden/>
          </w:rPr>
          <w:instrText xml:space="preserve"> PAGEREF _Toc501630020 \h </w:instrText>
        </w:r>
        <w:r w:rsidR="00E232B8">
          <w:rPr>
            <w:noProof/>
            <w:webHidden/>
          </w:rPr>
        </w:r>
        <w:r w:rsidR="00E232B8">
          <w:rPr>
            <w:noProof/>
            <w:webHidden/>
          </w:rPr>
          <w:fldChar w:fldCharType="separate"/>
        </w:r>
        <w:r w:rsidR="00E232B8">
          <w:rPr>
            <w:noProof/>
            <w:webHidden/>
          </w:rPr>
          <w:t>46</w:t>
        </w:r>
        <w:r w:rsidR="00E232B8">
          <w:rPr>
            <w:noProof/>
            <w:webHidden/>
          </w:rPr>
          <w:fldChar w:fldCharType="end"/>
        </w:r>
      </w:hyperlink>
    </w:p>
    <w:p w14:paraId="74995670" w14:textId="77777777" w:rsidR="00E232B8" w:rsidRDefault="0060362D">
      <w:pPr>
        <w:pStyle w:val="Obsah3"/>
        <w:rPr>
          <w:rFonts w:asciiTheme="minorHAnsi" w:eastAsiaTheme="minorEastAsia" w:hAnsiTheme="minorHAnsi" w:cstheme="minorBidi"/>
          <w:noProof/>
          <w:sz w:val="22"/>
          <w:szCs w:val="22"/>
        </w:rPr>
      </w:pPr>
      <w:hyperlink w:anchor="_Toc501630021" w:history="1">
        <w:r w:rsidR="00E232B8" w:rsidRPr="002151BC">
          <w:rPr>
            <w:rStyle w:val="Hypertextovprepojenie"/>
            <w:noProof/>
          </w:rPr>
          <w:t>2.3.2 Opis systémov riadenia a kontroly</w:t>
        </w:r>
        <w:r w:rsidR="00E232B8">
          <w:rPr>
            <w:noProof/>
            <w:webHidden/>
          </w:rPr>
          <w:tab/>
        </w:r>
        <w:r w:rsidR="00E232B8">
          <w:rPr>
            <w:noProof/>
            <w:webHidden/>
          </w:rPr>
          <w:fldChar w:fldCharType="begin"/>
        </w:r>
        <w:r w:rsidR="00E232B8">
          <w:rPr>
            <w:noProof/>
            <w:webHidden/>
          </w:rPr>
          <w:instrText xml:space="preserve"> PAGEREF _Toc501630021 \h </w:instrText>
        </w:r>
        <w:r w:rsidR="00E232B8">
          <w:rPr>
            <w:noProof/>
            <w:webHidden/>
          </w:rPr>
        </w:r>
        <w:r w:rsidR="00E232B8">
          <w:rPr>
            <w:noProof/>
            <w:webHidden/>
          </w:rPr>
          <w:fldChar w:fldCharType="separate"/>
        </w:r>
        <w:r w:rsidR="00E232B8">
          <w:rPr>
            <w:noProof/>
            <w:webHidden/>
          </w:rPr>
          <w:t>47</w:t>
        </w:r>
        <w:r w:rsidR="00E232B8">
          <w:rPr>
            <w:noProof/>
            <w:webHidden/>
          </w:rPr>
          <w:fldChar w:fldCharType="end"/>
        </w:r>
      </w:hyperlink>
    </w:p>
    <w:p w14:paraId="3995F31C" w14:textId="77777777" w:rsidR="00E232B8" w:rsidRDefault="0060362D">
      <w:pPr>
        <w:pStyle w:val="Obsah3"/>
        <w:rPr>
          <w:rFonts w:asciiTheme="minorHAnsi" w:eastAsiaTheme="minorEastAsia" w:hAnsiTheme="minorHAnsi" w:cstheme="minorBidi"/>
          <w:noProof/>
          <w:sz w:val="22"/>
          <w:szCs w:val="22"/>
        </w:rPr>
      </w:pPr>
      <w:hyperlink w:anchor="_Toc501630022" w:history="1">
        <w:r w:rsidR="00E232B8" w:rsidRPr="002151BC">
          <w:rPr>
            <w:rStyle w:val="Hypertextovprepojenie"/>
            <w:noProof/>
          </w:rPr>
          <w:t>2.3.3 Schémy pomoci</w:t>
        </w:r>
        <w:r w:rsidR="00E232B8">
          <w:rPr>
            <w:noProof/>
            <w:webHidden/>
          </w:rPr>
          <w:tab/>
        </w:r>
        <w:r w:rsidR="00E232B8">
          <w:rPr>
            <w:noProof/>
            <w:webHidden/>
          </w:rPr>
          <w:fldChar w:fldCharType="begin"/>
        </w:r>
        <w:r w:rsidR="00E232B8">
          <w:rPr>
            <w:noProof/>
            <w:webHidden/>
          </w:rPr>
          <w:instrText xml:space="preserve"> PAGEREF _Toc501630022 \h </w:instrText>
        </w:r>
        <w:r w:rsidR="00E232B8">
          <w:rPr>
            <w:noProof/>
            <w:webHidden/>
          </w:rPr>
        </w:r>
        <w:r w:rsidR="00E232B8">
          <w:rPr>
            <w:noProof/>
            <w:webHidden/>
          </w:rPr>
          <w:fldChar w:fldCharType="separate"/>
        </w:r>
        <w:r w:rsidR="00E232B8">
          <w:rPr>
            <w:noProof/>
            <w:webHidden/>
          </w:rPr>
          <w:t>47</w:t>
        </w:r>
        <w:r w:rsidR="00E232B8">
          <w:rPr>
            <w:noProof/>
            <w:webHidden/>
          </w:rPr>
          <w:fldChar w:fldCharType="end"/>
        </w:r>
      </w:hyperlink>
    </w:p>
    <w:p w14:paraId="489C4CB7" w14:textId="77777777" w:rsidR="00E232B8" w:rsidRDefault="0060362D">
      <w:pPr>
        <w:pStyle w:val="Obsah2"/>
        <w:rPr>
          <w:rFonts w:asciiTheme="minorHAnsi" w:eastAsiaTheme="minorEastAsia" w:hAnsiTheme="minorHAnsi" w:cstheme="minorBidi"/>
          <w:noProof/>
          <w:sz w:val="22"/>
          <w:szCs w:val="22"/>
        </w:rPr>
      </w:pPr>
      <w:hyperlink w:anchor="_Toc501630023" w:history="1">
        <w:r w:rsidR="00E232B8" w:rsidRPr="002151BC">
          <w:rPr>
            <w:rStyle w:val="Hypertextovprepojenie"/>
            <w:noProof/>
          </w:rPr>
          <w:t>2.4 Riadiaca dokumentácia pre výber a implementáciu projektov</w:t>
        </w:r>
        <w:r w:rsidR="00E232B8">
          <w:rPr>
            <w:noProof/>
            <w:webHidden/>
          </w:rPr>
          <w:tab/>
        </w:r>
        <w:r w:rsidR="00E232B8">
          <w:rPr>
            <w:noProof/>
            <w:webHidden/>
          </w:rPr>
          <w:fldChar w:fldCharType="begin"/>
        </w:r>
        <w:r w:rsidR="00E232B8">
          <w:rPr>
            <w:noProof/>
            <w:webHidden/>
          </w:rPr>
          <w:instrText xml:space="preserve"> PAGEREF _Toc501630023 \h </w:instrText>
        </w:r>
        <w:r w:rsidR="00E232B8">
          <w:rPr>
            <w:noProof/>
            <w:webHidden/>
          </w:rPr>
        </w:r>
        <w:r w:rsidR="00E232B8">
          <w:rPr>
            <w:noProof/>
            <w:webHidden/>
          </w:rPr>
          <w:fldChar w:fldCharType="separate"/>
        </w:r>
        <w:r w:rsidR="00E232B8">
          <w:rPr>
            <w:noProof/>
            <w:webHidden/>
          </w:rPr>
          <w:t>47</w:t>
        </w:r>
        <w:r w:rsidR="00E232B8">
          <w:rPr>
            <w:noProof/>
            <w:webHidden/>
          </w:rPr>
          <w:fldChar w:fldCharType="end"/>
        </w:r>
      </w:hyperlink>
    </w:p>
    <w:p w14:paraId="2F37F6A0" w14:textId="77777777" w:rsidR="00E232B8" w:rsidRDefault="0060362D">
      <w:pPr>
        <w:pStyle w:val="Obsah3"/>
        <w:rPr>
          <w:rFonts w:asciiTheme="minorHAnsi" w:eastAsiaTheme="minorEastAsia" w:hAnsiTheme="minorHAnsi" w:cstheme="minorBidi"/>
          <w:noProof/>
          <w:sz w:val="22"/>
          <w:szCs w:val="22"/>
        </w:rPr>
      </w:pPr>
      <w:hyperlink w:anchor="_Toc501630024" w:history="1">
        <w:r w:rsidR="00E232B8" w:rsidRPr="002151BC">
          <w:rPr>
            <w:rStyle w:val="Hypertextovprepojenie"/>
            <w:noProof/>
          </w:rPr>
          <w:t>2.4.1 Formulár projektového zámeru</w:t>
        </w:r>
        <w:r w:rsidR="00E232B8">
          <w:rPr>
            <w:noProof/>
            <w:webHidden/>
          </w:rPr>
          <w:tab/>
        </w:r>
        <w:r w:rsidR="00E232B8">
          <w:rPr>
            <w:noProof/>
            <w:webHidden/>
          </w:rPr>
          <w:fldChar w:fldCharType="begin"/>
        </w:r>
        <w:r w:rsidR="00E232B8">
          <w:rPr>
            <w:noProof/>
            <w:webHidden/>
          </w:rPr>
          <w:instrText xml:space="preserve"> PAGEREF _Toc501630024 \h </w:instrText>
        </w:r>
        <w:r w:rsidR="00E232B8">
          <w:rPr>
            <w:noProof/>
            <w:webHidden/>
          </w:rPr>
        </w:r>
        <w:r w:rsidR="00E232B8">
          <w:rPr>
            <w:noProof/>
            <w:webHidden/>
          </w:rPr>
          <w:fldChar w:fldCharType="separate"/>
        </w:r>
        <w:r w:rsidR="00E232B8">
          <w:rPr>
            <w:noProof/>
            <w:webHidden/>
          </w:rPr>
          <w:t>48</w:t>
        </w:r>
        <w:r w:rsidR="00E232B8">
          <w:rPr>
            <w:noProof/>
            <w:webHidden/>
          </w:rPr>
          <w:fldChar w:fldCharType="end"/>
        </w:r>
      </w:hyperlink>
    </w:p>
    <w:p w14:paraId="10FD326B" w14:textId="77777777" w:rsidR="00E232B8" w:rsidRDefault="0060362D">
      <w:pPr>
        <w:pStyle w:val="Obsah3"/>
        <w:rPr>
          <w:rFonts w:asciiTheme="minorHAnsi" w:eastAsiaTheme="minorEastAsia" w:hAnsiTheme="minorHAnsi" w:cstheme="minorBidi"/>
          <w:noProof/>
          <w:sz w:val="22"/>
          <w:szCs w:val="22"/>
        </w:rPr>
      </w:pPr>
      <w:hyperlink w:anchor="_Toc501630025" w:history="1">
        <w:r w:rsidR="00E232B8" w:rsidRPr="002151BC">
          <w:rPr>
            <w:rStyle w:val="Hypertextovprepojenie"/>
            <w:noProof/>
          </w:rPr>
          <w:t>2.4.2 Formulár žiadosti o poskytnutie nenávratného finančného príspevku</w:t>
        </w:r>
        <w:r w:rsidR="00E232B8">
          <w:rPr>
            <w:noProof/>
            <w:webHidden/>
          </w:rPr>
          <w:tab/>
        </w:r>
        <w:r w:rsidR="00E232B8">
          <w:rPr>
            <w:noProof/>
            <w:webHidden/>
          </w:rPr>
          <w:fldChar w:fldCharType="begin"/>
        </w:r>
        <w:r w:rsidR="00E232B8">
          <w:rPr>
            <w:noProof/>
            <w:webHidden/>
          </w:rPr>
          <w:instrText xml:space="preserve"> PAGEREF _Toc501630025 \h </w:instrText>
        </w:r>
        <w:r w:rsidR="00E232B8">
          <w:rPr>
            <w:noProof/>
            <w:webHidden/>
          </w:rPr>
        </w:r>
        <w:r w:rsidR="00E232B8">
          <w:rPr>
            <w:noProof/>
            <w:webHidden/>
          </w:rPr>
          <w:fldChar w:fldCharType="separate"/>
        </w:r>
        <w:r w:rsidR="00E232B8">
          <w:rPr>
            <w:noProof/>
            <w:webHidden/>
          </w:rPr>
          <w:t>49</w:t>
        </w:r>
        <w:r w:rsidR="00E232B8">
          <w:rPr>
            <w:noProof/>
            <w:webHidden/>
          </w:rPr>
          <w:fldChar w:fldCharType="end"/>
        </w:r>
      </w:hyperlink>
    </w:p>
    <w:p w14:paraId="5C83E1A0" w14:textId="77777777" w:rsidR="00E232B8" w:rsidRDefault="0060362D">
      <w:pPr>
        <w:pStyle w:val="Obsah4"/>
        <w:rPr>
          <w:rFonts w:asciiTheme="minorHAnsi" w:eastAsiaTheme="minorEastAsia" w:hAnsiTheme="minorHAnsi" w:cstheme="minorBidi"/>
        </w:rPr>
      </w:pPr>
      <w:hyperlink w:anchor="_Toc501630026" w:history="1">
        <w:r w:rsidR="00E232B8" w:rsidRPr="002151BC">
          <w:rPr>
            <w:rStyle w:val="Hypertextovprepojenie"/>
          </w:rPr>
          <w:t>2.4.2.1 Opis projektu</w:t>
        </w:r>
        <w:r w:rsidR="00E232B8">
          <w:rPr>
            <w:webHidden/>
          </w:rPr>
          <w:tab/>
        </w:r>
        <w:r w:rsidR="00E232B8">
          <w:rPr>
            <w:webHidden/>
          </w:rPr>
          <w:fldChar w:fldCharType="begin"/>
        </w:r>
        <w:r w:rsidR="00E232B8">
          <w:rPr>
            <w:webHidden/>
          </w:rPr>
          <w:instrText xml:space="preserve"> PAGEREF _Toc501630026 \h </w:instrText>
        </w:r>
        <w:r w:rsidR="00E232B8">
          <w:rPr>
            <w:webHidden/>
          </w:rPr>
        </w:r>
        <w:r w:rsidR="00E232B8">
          <w:rPr>
            <w:webHidden/>
          </w:rPr>
          <w:fldChar w:fldCharType="separate"/>
        </w:r>
        <w:r w:rsidR="00E232B8">
          <w:rPr>
            <w:webHidden/>
          </w:rPr>
          <w:t>62</w:t>
        </w:r>
        <w:r w:rsidR="00E232B8">
          <w:rPr>
            <w:webHidden/>
          </w:rPr>
          <w:fldChar w:fldCharType="end"/>
        </w:r>
      </w:hyperlink>
    </w:p>
    <w:p w14:paraId="4A739E27" w14:textId="77777777" w:rsidR="00E232B8" w:rsidRDefault="0060362D">
      <w:pPr>
        <w:pStyle w:val="Obsah3"/>
        <w:rPr>
          <w:rFonts w:asciiTheme="minorHAnsi" w:eastAsiaTheme="minorEastAsia" w:hAnsiTheme="minorHAnsi" w:cstheme="minorBidi"/>
          <w:noProof/>
          <w:sz w:val="22"/>
          <w:szCs w:val="22"/>
        </w:rPr>
      </w:pPr>
      <w:hyperlink w:anchor="_Toc501630027" w:history="1">
        <w:r w:rsidR="00E232B8" w:rsidRPr="002151BC">
          <w:rPr>
            <w:rStyle w:val="Hypertextovprepojenie"/>
            <w:noProof/>
          </w:rPr>
          <w:t>2.4.3 Kritériá pre výber projektov</w:t>
        </w:r>
        <w:r w:rsidR="00E232B8">
          <w:rPr>
            <w:noProof/>
            <w:webHidden/>
          </w:rPr>
          <w:tab/>
        </w:r>
        <w:r w:rsidR="00E232B8">
          <w:rPr>
            <w:noProof/>
            <w:webHidden/>
          </w:rPr>
          <w:fldChar w:fldCharType="begin"/>
        </w:r>
        <w:r w:rsidR="00E232B8">
          <w:rPr>
            <w:noProof/>
            <w:webHidden/>
          </w:rPr>
          <w:instrText xml:space="preserve"> PAGEREF _Toc501630027 \h </w:instrText>
        </w:r>
        <w:r w:rsidR="00E232B8">
          <w:rPr>
            <w:noProof/>
            <w:webHidden/>
          </w:rPr>
        </w:r>
        <w:r w:rsidR="00E232B8">
          <w:rPr>
            <w:noProof/>
            <w:webHidden/>
          </w:rPr>
          <w:fldChar w:fldCharType="separate"/>
        </w:r>
        <w:r w:rsidR="00E232B8">
          <w:rPr>
            <w:noProof/>
            <w:webHidden/>
          </w:rPr>
          <w:t>62</w:t>
        </w:r>
        <w:r w:rsidR="00E232B8">
          <w:rPr>
            <w:noProof/>
            <w:webHidden/>
          </w:rPr>
          <w:fldChar w:fldCharType="end"/>
        </w:r>
      </w:hyperlink>
    </w:p>
    <w:p w14:paraId="50870EA4" w14:textId="77777777" w:rsidR="00E232B8" w:rsidRDefault="0060362D">
      <w:pPr>
        <w:pStyle w:val="Obsah4"/>
        <w:rPr>
          <w:rFonts w:asciiTheme="minorHAnsi" w:eastAsiaTheme="minorEastAsia" w:hAnsiTheme="minorHAnsi" w:cstheme="minorBidi"/>
        </w:rPr>
      </w:pPr>
      <w:hyperlink w:anchor="_Toc501630028" w:history="1">
        <w:r w:rsidR="00E232B8" w:rsidRPr="002151BC">
          <w:rPr>
            <w:rStyle w:val="Hypertextovprepojenie"/>
          </w:rPr>
          <w:t>2.4.3.1 Kritériá pre posúdenie projektových zámerov</w:t>
        </w:r>
        <w:r w:rsidR="00E232B8">
          <w:rPr>
            <w:webHidden/>
          </w:rPr>
          <w:tab/>
        </w:r>
        <w:r w:rsidR="00E232B8">
          <w:rPr>
            <w:webHidden/>
          </w:rPr>
          <w:fldChar w:fldCharType="begin"/>
        </w:r>
        <w:r w:rsidR="00E232B8">
          <w:rPr>
            <w:webHidden/>
          </w:rPr>
          <w:instrText xml:space="preserve"> PAGEREF _Toc501630028 \h </w:instrText>
        </w:r>
        <w:r w:rsidR="00E232B8">
          <w:rPr>
            <w:webHidden/>
          </w:rPr>
        </w:r>
        <w:r w:rsidR="00E232B8">
          <w:rPr>
            <w:webHidden/>
          </w:rPr>
          <w:fldChar w:fldCharType="separate"/>
        </w:r>
        <w:r w:rsidR="00E232B8">
          <w:rPr>
            <w:webHidden/>
          </w:rPr>
          <w:t>64</w:t>
        </w:r>
        <w:r w:rsidR="00E232B8">
          <w:rPr>
            <w:webHidden/>
          </w:rPr>
          <w:fldChar w:fldCharType="end"/>
        </w:r>
      </w:hyperlink>
    </w:p>
    <w:p w14:paraId="68498690" w14:textId="77777777" w:rsidR="00E232B8" w:rsidRDefault="0060362D">
      <w:pPr>
        <w:pStyle w:val="Obsah4"/>
        <w:rPr>
          <w:rFonts w:asciiTheme="minorHAnsi" w:eastAsiaTheme="minorEastAsia" w:hAnsiTheme="minorHAnsi" w:cstheme="minorBidi"/>
        </w:rPr>
      </w:pPr>
      <w:hyperlink w:anchor="_Toc501630029" w:history="1">
        <w:r w:rsidR="00E232B8" w:rsidRPr="002151BC">
          <w:rPr>
            <w:rStyle w:val="Hypertextovprepojenie"/>
          </w:rPr>
          <w:t>2.4.3.2 Hodnotiace kritériá žiadostí o poskytnutie nenávratného finančného príspevku</w:t>
        </w:r>
        <w:r w:rsidR="00E232B8">
          <w:rPr>
            <w:webHidden/>
          </w:rPr>
          <w:tab/>
        </w:r>
        <w:r w:rsidR="00E232B8">
          <w:rPr>
            <w:webHidden/>
          </w:rPr>
          <w:fldChar w:fldCharType="begin"/>
        </w:r>
        <w:r w:rsidR="00E232B8">
          <w:rPr>
            <w:webHidden/>
          </w:rPr>
          <w:instrText xml:space="preserve"> PAGEREF _Toc501630029 \h </w:instrText>
        </w:r>
        <w:r w:rsidR="00E232B8">
          <w:rPr>
            <w:webHidden/>
          </w:rPr>
        </w:r>
        <w:r w:rsidR="00E232B8">
          <w:rPr>
            <w:webHidden/>
          </w:rPr>
          <w:fldChar w:fldCharType="separate"/>
        </w:r>
        <w:r w:rsidR="00E232B8">
          <w:rPr>
            <w:webHidden/>
          </w:rPr>
          <w:t>64</w:t>
        </w:r>
        <w:r w:rsidR="00E232B8">
          <w:rPr>
            <w:webHidden/>
          </w:rPr>
          <w:fldChar w:fldCharType="end"/>
        </w:r>
      </w:hyperlink>
    </w:p>
    <w:p w14:paraId="67BC2C1C" w14:textId="77777777" w:rsidR="00E232B8" w:rsidRDefault="0060362D">
      <w:pPr>
        <w:pStyle w:val="Obsah4"/>
        <w:rPr>
          <w:rFonts w:asciiTheme="minorHAnsi" w:eastAsiaTheme="minorEastAsia" w:hAnsiTheme="minorHAnsi" w:cstheme="minorBidi"/>
        </w:rPr>
      </w:pPr>
      <w:hyperlink w:anchor="_Toc501630030" w:history="1">
        <w:r w:rsidR="00E232B8" w:rsidRPr="002151BC">
          <w:rPr>
            <w:rStyle w:val="Hypertextovprepojenie"/>
          </w:rPr>
          <w:t>2.4.3.3 Výberové kritériá žiadostí o poskytnutie nenávratného finančného príspevku</w:t>
        </w:r>
        <w:r w:rsidR="00E232B8">
          <w:rPr>
            <w:webHidden/>
          </w:rPr>
          <w:tab/>
        </w:r>
        <w:r w:rsidR="00E232B8">
          <w:rPr>
            <w:webHidden/>
          </w:rPr>
          <w:fldChar w:fldCharType="begin"/>
        </w:r>
        <w:r w:rsidR="00E232B8">
          <w:rPr>
            <w:webHidden/>
          </w:rPr>
          <w:instrText xml:space="preserve"> PAGEREF _Toc501630030 \h </w:instrText>
        </w:r>
        <w:r w:rsidR="00E232B8">
          <w:rPr>
            <w:webHidden/>
          </w:rPr>
        </w:r>
        <w:r w:rsidR="00E232B8">
          <w:rPr>
            <w:webHidden/>
          </w:rPr>
          <w:fldChar w:fldCharType="separate"/>
        </w:r>
        <w:r w:rsidR="00E232B8">
          <w:rPr>
            <w:webHidden/>
          </w:rPr>
          <w:t>65</w:t>
        </w:r>
        <w:r w:rsidR="00E232B8">
          <w:rPr>
            <w:webHidden/>
          </w:rPr>
          <w:fldChar w:fldCharType="end"/>
        </w:r>
      </w:hyperlink>
    </w:p>
    <w:p w14:paraId="38F51A4B" w14:textId="77777777" w:rsidR="00E232B8" w:rsidRDefault="0060362D">
      <w:pPr>
        <w:pStyle w:val="Obsah4"/>
        <w:rPr>
          <w:rFonts w:asciiTheme="minorHAnsi" w:eastAsiaTheme="minorEastAsia" w:hAnsiTheme="minorHAnsi" w:cstheme="minorBidi"/>
        </w:rPr>
      </w:pPr>
      <w:hyperlink w:anchor="_Toc501630031" w:history="1">
        <w:r w:rsidR="00E232B8" w:rsidRPr="002151BC">
          <w:rPr>
            <w:rStyle w:val="Hypertextovprepojenie"/>
          </w:rPr>
          <w:t>2.4.3.4 Príručka pre odborných hodnotiteľov</w:t>
        </w:r>
        <w:r w:rsidR="00E232B8">
          <w:rPr>
            <w:webHidden/>
          </w:rPr>
          <w:tab/>
        </w:r>
        <w:r w:rsidR="00E232B8">
          <w:rPr>
            <w:webHidden/>
          </w:rPr>
          <w:fldChar w:fldCharType="begin"/>
        </w:r>
        <w:r w:rsidR="00E232B8">
          <w:rPr>
            <w:webHidden/>
          </w:rPr>
          <w:instrText xml:space="preserve"> PAGEREF _Toc501630031 \h </w:instrText>
        </w:r>
        <w:r w:rsidR="00E232B8">
          <w:rPr>
            <w:webHidden/>
          </w:rPr>
        </w:r>
        <w:r w:rsidR="00E232B8">
          <w:rPr>
            <w:webHidden/>
          </w:rPr>
          <w:fldChar w:fldCharType="separate"/>
        </w:r>
        <w:r w:rsidR="00E232B8">
          <w:rPr>
            <w:webHidden/>
          </w:rPr>
          <w:t>66</w:t>
        </w:r>
        <w:r w:rsidR="00E232B8">
          <w:rPr>
            <w:webHidden/>
          </w:rPr>
          <w:fldChar w:fldCharType="end"/>
        </w:r>
      </w:hyperlink>
    </w:p>
    <w:p w14:paraId="2DFE8D35" w14:textId="77777777" w:rsidR="00E232B8" w:rsidRDefault="0060362D">
      <w:pPr>
        <w:pStyle w:val="Obsah3"/>
        <w:rPr>
          <w:rFonts w:asciiTheme="minorHAnsi" w:eastAsiaTheme="minorEastAsia" w:hAnsiTheme="minorHAnsi" w:cstheme="minorBidi"/>
          <w:noProof/>
          <w:sz w:val="22"/>
          <w:szCs w:val="22"/>
        </w:rPr>
      </w:pPr>
      <w:hyperlink w:anchor="_Toc501630032" w:history="1">
        <w:r w:rsidR="00E232B8" w:rsidRPr="002151BC">
          <w:rPr>
            <w:rStyle w:val="Hypertextovprepojenie"/>
            <w:noProof/>
          </w:rPr>
          <w:t>2.4.4 Príručka pre žiadateľa</w:t>
        </w:r>
        <w:r w:rsidR="00E232B8">
          <w:rPr>
            <w:noProof/>
            <w:webHidden/>
          </w:rPr>
          <w:tab/>
        </w:r>
        <w:r w:rsidR="00E232B8">
          <w:rPr>
            <w:noProof/>
            <w:webHidden/>
          </w:rPr>
          <w:fldChar w:fldCharType="begin"/>
        </w:r>
        <w:r w:rsidR="00E232B8">
          <w:rPr>
            <w:noProof/>
            <w:webHidden/>
          </w:rPr>
          <w:instrText xml:space="preserve"> PAGEREF _Toc501630032 \h </w:instrText>
        </w:r>
        <w:r w:rsidR="00E232B8">
          <w:rPr>
            <w:noProof/>
            <w:webHidden/>
          </w:rPr>
        </w:r>
        <w:r w:rsidR="00E232B8">
          <w:rPr>
            <w:noProof/>
            <w:webHidden/>
          </w:rPr>
          <w:fldChar w:fldCharType="separate"/>
        </w:r>
        <w:r w:rsidR="00E232B8">
          <w:rPr>
            <w:noProof/>
            <w:webHidden/>
          </w:rPr>
          <w:t>66</w:t>
        </w:r>
        <w:r w:rsidR="00E232B8">
          <w:rPr>
            <w:noProof/>
            <w:webHidden/>
          </w:rPr>
          <w:fldChar w:fldCharType="end"/>
        </w:r>
      </w:hyperlink>
    </w:p>
    <w:p w14:paraId="197BFB8E" w14:textId="77777777" w:rsidR="00E232B8" w:rsidRDefault="0060362D">
      <w:pPr>
        <w:pStyle w:val="Obsah3"/>
        <w:rPr>
          <w:rFonts w:asciiTheme="minorHAnsi" w:eastAsiaTheme="minorEastAsia" w:hAnsiTheme="minorHAnsi" w:cstheme="minorBidi"/>
          <w:noProof/>
          <w:sz w:val="22"/>
          <w:szCs w:val="22"/>
        </w:rPr>
      </w:pPr>
      <w:hyperlink w:anchor="_Toc501630033" w:history="1">
        <w:r w:rsidR="00E232B8" w:rsidRPr="002151BC">
          <w:rPr>
            <w:rStyle w:val="Hypertextovprepojenie"/>
            <w:noProof/>
          </w:rPr>
          <w:t>2.4.5 Príručka pre prijímateľa</w:t>
        </w:r>
        <w:r w:rsidR="00E232B8">
          <w:rPr>
            <w:noProof/>
            <w:webHidden/>
          </w:rPr>
          <w:tab/>
        </w:r>
        <w:r w:rsidR="00E232B8">
          <w:rPr>
            <w:noProof/>
            <w:webHidden/>
          </w:rPr>
          <w:fldChar w:fldCharType="begin"/>
        </w:r>
        <w:r w:rsidR="00E232B8">
          <w:rPr>
            <w:noProof/>
            <w:webHidden/>
          </w:rPr>
          <w:instrText xml:space="preserve"> PAGEREF _Toc501630033 \h </w:instrText>
        </w:r>
        <w:r w:rsidR="00E232B8">
          <w:rPr>
            <w:noProof/>
            <w:webHidden/>
          </w:rPr>
        </w:r>
        <w:r w:rsidR="00E232B8">
          <w:rPr>
            <w:noProof/>
            <w:webHidden/>
          </w:rPr>
          <w:fldChar w:fldCharType="separate"/>
        </w:r>
        <w:r w:rsidR="00E232B8">
          <w:rPr>
            <w:noProof/>
            <w:webHidden/>
          </w:rPr>
          <w:t>67</w:t>
        </w:r>
        <w:r w:rsidR="00E232B8">
          <w:rPr>
            <w:noProof/>
            <w:webHidden/>
          </w:rPr>
          <w:fldChar w:fldCharType="end"/>
        </w:r>
      </w:hyperlink>
    </w:p>
    <w:p w14:paraId="446E2D22" w14:textId="77777777" w:rsidR="00E232B8" w:rsidRDefault="0060362D">
      <w:pPr>
        <w:pStyle w:val="Obsah3"/>
        <w:rPr>
          <w:rFonts w:asciiTheme="minorHAnsi" w:eastAsiaTheme="minorEastAsia" w:hAnsiTheme="minorHAnsi" w:cstheme="minorBidi"/>
          <w:noProof/>
          <w:sz w:val="22"/>
          <w:szCs w:val="22"/>
        </w:rPr>
      </w:pPr>
      <w:hyperlink w:anchor="_Toc501630034" w:history="1">
        <w:r w:rsidR="00E232B8" w:rsidRPr="002151BC">
          <w:rPr>
            <w:rStyle w:val="Hypertextovprepojenie"/>
            <w:noProof/>
          </w:rPr>
          <w:t>2.4.6 Merateľné ukazovatele</w:t>
        </w:r>
        <w:r w:rsidR="00E232B8">
          <w:rPr>
            <w:noProof/>
            <w:webHidden/>
          </w:rPr>
          <w:tab/>
        </w:r>
        <w:r w:rsidR="00E232B8">
          <w:rPr>
            <w:noProof/>
            <w:webHidden/>
          </w:rPr>
          <w:fldChar w:fldCharType="begin"/>
        </w:r>
        <w:r w:rsidR="00E232B8">
          <w:rPr>
            <w:noProof/>
            <w:webHidden/>
          </w:rPr>
          <w:instrText xml:space="preserve"> PAGEREF _Toc501630034 \h </w:instrText>
        </w:r>
        <w:r w:rsidR="00E232B8">
          <w:rPr>
            <w:noProof/>
            <w:webHidden/>
          </w:rPr>
        </w:r>
        <w:r w:rsidR="00E232B8">
          <w:rPr>
            <w:noProof/>
            <w:webHidden/>
          </w:rPr>
          <w:fldChar w:fldCharType="separate"/>
        </w:r>
        <w:r w:rsidR="00E232B8">
          <w:rPr>
            <w:noProof/>
            <w:webHidden/>
          </w:rPr>
          <w:t>68</w:t>
        </w:r>
        <w:r w:rsidR="00E232B8">
          <w:rPr>
            <w:noProof/>
            <w:webHidden/>
          </w:rPr>
          <w:fldChar w:fldCharType="end"/>
        </w:r>
      </w:hyperlink>
    </w:p>
    <w:p w14:paraId="51C6542E" w14:textId="77777777" w:rsidR="00E232B8" w:rsidRDefault="0060362D">
      <w:pPr>
        <w:pStyle w:val="Obsah4"/>
        <w:rPr>
          <w:rFonts w:asciiTheme="minorHAnsi" w:eastAsiaTheme="minorEastAsia" w:hAnsiTheme="minorHAnsi" w:cstheme="minorBidi"/>
        </w:rPr>
      </w:pPr>
      <w:hyperlink w:anchor="_Toc501630035" w:history="1">
        <w:r w:rsidR="00E232B8" w:rsidRPr="002151BC">
          <w:rPr>
            <w:rStyle w:val="Hypertextovprepojenie"/>
          </w:rPr>
          <w:t>2.4.6.1 Merateľné ukazovatele na úrovni projektov</w:t>
        </w:r>
        <w:r w:rsidR="00E232B8">
          <w:rPr>
            <w:webHidden/>
          </w:rPr>
          <w:tab/>
        </w:r>
        <w:r w:rsidR="00E232B8">
          <w:rPr>
            <w:webHidden/>
          </w:rPr>
          <w:fldChar w:fldCharType="begin"/>
        </w:r>
        <w:r w:rsidR="00E232B8">
          <w:rPr>
            <w:webHidden/>
          </w:rPr>
          <w:instrText xml:space="preserve"> PAGEREF _Toc501630035 \h </w:instrText>
        </w:r>
        <w:r w:rsidR="00E232B8">
          <w:rPr>
            <w:webHidden/>
          </w:rPr>
        </w:r>
        <w:r w:rsidR="00E232B8">
          <w:rPr>
            <w:webHidden/>
          </w:rPr>
          <w:fldChar w:fldCharType="separate"/>
        </w:r>
        <w:r w:rsidR="00E232B8">
          <w:rPr>
            <w:webHidden/>
          </w:rPr>
          <w:t>68</w:t>
        </w:r>
        <w:r w:rsidR="00E232B8">
          <w:rPr>
            <w:webHidden/>
          </w:rPr>
          <w:fldChar w:fldCharType="end"/>
        </w:r>
      </w:hyperlink>
    </w:p>
    <w:p w14:paraId="409858F4" w14:textId="77777777" w:rsidR="00E232B8" w:rsidRDefault="0060362D">
      <w:pPr>
        <w:pStyle w:val="Obsah5"/>
        <w:rPr>
          <w:rFonts w:asciiTheme="minorHAnsi" w:eastAsiaTheme="minorEastAsia" w:hAnsiTheme="minorHAnsi" w:cstheme="minorBidi"/>
          <w:sz w:val="22"/>
        </w:rPr>
      </w:pPr>
      <w:hyperlink w:anchor="_Toc501630036" w:history="1">
        <w:r w:rsidR="00E232B8" w:rsidRPr="002151BC">
          <w:rPr>
            <w:rStyle w:val="Hypertextovprepojenie"/>
          </w:rPr>
          <w:t>2.4.6.1.1 Používanie merateľných ukazovateľov projektu pri predkladaní ŽoNFP a počas implementácie projektu</w:t>
        </w:r>
        <w:r w:rsidR="00E232B8">
          <w:rPr>
            <w:webHidden/>
          </w:rPr>
          <w:tab/>
        </w:r>
        <w:r w:rsidR="00E232B8">
          <w:rPr>
            <w:webHidden/>
          </w:rPr>
          <w:fldChar w:fldCharType="begin"/>
        </w:r>
        <w:r w:rsidR="00E232B8">
          <w:rPr>
            <w:webHidden/>
          </w:rPr>
          <w:instrText xml:space="preserve"> PAGEREF _Toc501630036 \h </w:instrText>
        </w:r>
        <w:r w:rsidR="00E232B8">
          <w:rPr>
            <w:webHidden/>
          </w:rPr>
        </w:r>
        <w:r w:rsidR="00E232B8">
          <w:rPr>
            <w:webHidden/>
          </w:rPr>
          <w:fldChar w:fldCharType="separate"/>
        </w:r>
        <w:r w:rsidR="00E232B8">
          <w:rPr>
            <w:webHidden/>
          </w:rPr>
          <w:t>71</w:t>
        </w:r>
        <w:r w:rsidR="00E232B8">
          <w:rPr>
            <w:webHidden/>
          </w:rPr>
          <w:fldChar w:fldCharType="end"/>
        </w:r>
      </w:hyperlink>
    </w:p>
    <w:p w14:paraId="2F99663A" w14:textId="77777777" w:rsidR="00E232B8" w:rsidRDefault="0060362D">
      <w:pPr>
        <w:pStyle w:val="Obsah4"/>
        <w:rPr>
          <w:rFonts w:asciiTheme="minorHAnsi" w:eastAsiaTheme="minorEastAsia" w:hAnsiTheme="minorHAnsi" w:cstheme="minorBidi"/>
        </w:rPr>
      </w:pPr>
      <w:hyperlink w:anchor="_Toc501630037" w:history="1">
        <w:r w:rsidR="00E232B8" w:rsidRPr="002151BC">
          <w:rPr>
            <w:rStyle w:val="Hypertextovprepojenie"/>
          </w:rPr>
          <w:t>2.4.6.2 Číselník merateľných ukazovateľov</w:t>
        </w:r>
        <w:r w:rsidR="00E232B8">
          <w:rPr>
            <w:webHidden/>
          </w:rPr>
          <w:tab/>
        </w:r>
        <w:r w:rsidR="00E232B8">
          <w:rPr>
            <w:webHidden/>
          </w:rPr>
          <w:fldChar w:fldCharType="begin"/>
        </w:r>
        <w:r w:rsidR="00E232B8">
          <w:rPr>
            <w:webHidden/>
          </w:rPr>
          <w:instrText xml:space="preserve"> PAGEREF _Toc501630037 \h </w:instrText>
        </w:r>
        <w:r w:rsidR="00E232B8">
          <w:rPr>
            <w:webHidden/>
          </w:rPr>
        </w:r>
        <w:r w:rsidR="00E232B8">
          <w:rPr>
            <w:webHidden/>
          </w:rPr>
          <w:fldChar w:fldCharType="separate"/>
        </w:r>
        <w:r w:rsidR="00E232B8">
          <w:rPr>
            <w:webHidden/>
          </w:rPr>
          <w:t>73</w:t>
        </w:r>
        <w:r w:rsidR="00E232B8">
          <w:rPr>
            <w:webHidden/>
          </w:rPr>
          <w:fldChar w:fldCharType="end"/>
        </w:r>
      </w:hyperlink>
    </w:p>
    <w:p w14:paraId="2AF393E4" w14:textId="77777777" w:rsidR="00E232B8" w:rsidRDefault="0060362D">
      <w:pPr>
        <w:pStyle w:val="Obsah3"/>
        <w:rPr>
          <w:rFonts w:asciiTheme="minorHAnsi" w:eastAsiaTheme="minorEastAsia" w:hAnsiTheme="minorHAnsi" w:cstheme="minorBidi"/>
          <w:noProof/>
          <w:sz w:val="22"/>
          <w:szCs w:val="22"/>
        </w:rPr>
      </w:pPr>
      <w:hyperlink w:anchor="_Toc501630038" w:history="1">
        <w:r w:rsidR="00E232B8" w:rsidRPr="002151BC">
          <w:rPr>
            <w:rStyle w:val="Hypertextovprepojenie"/>
            <w:noProof/>
          </w:rPr>
          <w:t>2.4.7 Ďalšia dokumentácia na úrovni projektov</w:t>
        </w:r>
        <w:r w:rsidR="00E232B8">
          <w:rPr>
            <w:noProof/>
            <w:webHidden/>
          </w:rPr>
          <w:tab/>
        </w:r>
        <w:r w:rsidR="00E232B8">
          <w:rPr>
            <w:noProof/>
            <w:webHidden/>
          </w:rPr>
          <w:fldChar w:fldCharType="begin"/>
        </w:r>
        <w:r w:rsidR="00E232B8">
          <w:rPr>
            <w:noProof/>
            <w:webHidden/>
          </w:rPr>
          <w:instrText xml:space="preserve"> PAGEREF _Toc501630038 \h </w:instrText>
        </w:r>
        <w:r w:rsidR="00E232B8">
          <w:rPr>
            <w:noProof/>
            <w:webHidden/>
          </w:rPr>
        </w:r>
        <w:r w:rsidR="00E232B8">
          <w:rPr>
            <w:noProof/>
            <w:webHidden/>
          </w:rPr>
          <w:fldChar w:fldCharType="separate"/>
        </w:r>
        <w:r w:rsidR="00E232B8">
          <w:rPr>
            <w:noProof/>
            <w:webHidden/>
          </w:rPr>
          <w:t>73</w:t>
        </w:r>
        <w:r w:rsidR="00E232B8">
          <w:rPr>
            <w:noProof/>
            <w:webHidden/>
          </w:rPr>
          <w:fldChar w:fldCharType="end"/>
        </w:r>
      </w:hyperlink>
    </w:p>
    <w:p w14:paraId="5D7D5CFB" w14:textId="77777777" w:rsidR="00E232B8" w:rsidRDefault="0060362D">
      <w:pPr>
        <w:pStyle w:val="Obsah2"/>
        <w:rPr>
          <w:rFonts w:asciiTheme="minorHAnsi" w:eastAsiaTheme="minorEastAsia" w:hAnsiTheme="minorHAnsi" w:cstheme="minorBidi"/>
          <w:noProof/>
          <w:sz w:val="22"/>
          <w:szCs w:val="22"/>
        </w:rPr>
      </w:pPr>
      <w:hyperlink w:anchor="_Toc501630039" w:history="1">
        <w:r w:rsidR="00E232B8" w:rsidRPr="002151BC">
          <w:rPr>
            <w:rStyle w:val="Hypertextovprepojenie"/>
            <w:noProof/>
          </w:rPr>
          <w:t>2.5 Výber odborných hodnotiteľov v procese odborného hodnotenia</w:t>
        </w:r>
        <w:r w:rsidR="00E232B8">
          <w:rPr>
            <w:noProof/>
            <w:webHidden/>
          </w:rPr>
          <w:tab/>
        </w:r>
        <w:r w:rsidR="00E232B8">
          <w:rPr>
            <w:noProof/>
            <w:webHidden/>
          </w:rPr>
          <w:fldChar w:fldCharType="begin"/>
        </w:r>
        <w:r w:rsidR="00E232B8">
          <w:rPr>
            <w:noProof/>
            <w:webHidden/>
          </w:rPr>
          <w:instrText xml:space="preserve"> PAGEREF _Toc501630039 \h </w:instrText>
        </w:r>
        <w:r w:rsidR="00E232B8">
          <w:rPr>
            <w:noProof/>
            <w:webHidden/>
          </w:rPr>
        </w:r>
        <w:r w:rsidR="00E232B8">
          <w:rPr>
            <w:noProof/>
            <w:webHidden/>
          </w:rPr>
          <w:fldChar w:fldCharType="separate"/>
        </w:r>
        <w:r w:rsidR="00E232B8">
          <w:rPr>
            <w:noProof/>
            <w:webHidden/>
          </w:rPr>
          <w:t>74</w:t>
        </w:r>
        <w:r w:rsidR="00E232B8">
          <w:rPr>
            <w:noProof/>
            <w:webHidden/>
          </w:rPr>
          <w:fldChar w:fldCharType="end"/>
        </w:r>
      </w:hyperlink>
    </w:p>
    <w:p w14:paraId="2D64EA24" w14:textId="77777777" w:rsidR="00E232B8" w:rsidRDefault="0060362D">
      <w:pPr>
        <w:pStyle w:val="Obsah1"/>
        <w:rPr>
          <w:rFonts w:asciiTheme="minorHAnsi" w:eastAsiaTheme="minorEastAsia" w:hAnsiTheme="minorHAnsi" w:cstheme="minorBidi"/>
          <w:b w:val="0"/>
          <w:sz w:val="22"/>
          <w:szCs w:val="22"/>
        </w:rPr>
      </w:pPr>
      <w:hyperlink w:anchor="_Toc501630040" w:history="1">
        <w:r w:rsidR="00E232B8" w:rsidRPr="002151BC">
          <w:rPr>
            <w:rStyle w:val="Hypertextovprepojenie"/>
          </w:rPr>
          <w:t>Časť 3 Implementácia operačných programov</w:t>
        </w:r>
        <w:r w:rsidR="00E232B8">
          <w:rPr>
            <w:webHidden/>
          </w:rPr>
          <w:tab/>
        </w:r>
        <w:r w:rsidR="00E232B8">
          <w:rPr>
            <w:webHidden/>
          </w:rPr>
          <w:fldChar w:fldCharType="begin"/>
        </w:r>
        <w:r w:rsidR="00E232B8">
          <w:rPr>
            <w:webHidden/>
          </w:rPr>
          <w:instrText xml:space="preserve"> PAGEREF _Toc501630040 \h </w:instrText>
        </w:r>
        <w:r w:rsidR="00E232B8">
          <w:rPr>
            <w:webHidden/>
          </w:rPr>
        </w:r>
        <w:r w:rsidR="00E232B8">
          <w:rPr>
            <w:webHidden/>
          </w:rPr>
          <w:fldChar w:fldCharType="separate"/>
        </w:r>
        <w:r w:rsidR="00E232B8">
          <w:rPr>
            <w:webHidden/>
          </w:rPr>
          <w:t>75</w:t>
        </w:r>
        <w:r w:rsidR="00E232B8">
          <w:rPr>
            <w:webHidden/>
          </w:rPr>
          <w:fldChar w:fldCharType="end"/>
        </w:r>
      </w:hyperlink>
    </w:p>
    <w:p w14:paraId="13774292" w14:textId="77777777" w:rsidR="00E232B8" w:rsidRDefault="0060362D">
      <w:pPr>
        <w:pStyle w:val="Obsah2"/>
        <w:rPr>
          <w:rFonts w:asciiTheme="minorHAnsi" w:eastAsiaTheme="minorEastAsia" w:hAnsiTheme="minorHAnsi" w:cstheme="minorBidi"/>
          <w:noProof/>
          <w:sz w:val="22"/>
          <w:szCs w:val="22"/>
        </w:rPr>
      </w:pPr>
      <w:hyperlink w:anchor="_Toc501630041" w:history="1">
        <w:r w:rsidR="00E232B8" w:rsidRPr="002151BC">
          <w:rPr>
            <w:rStyle w:val="Hypertextovprepojenie"/>
            <w:noProof/>
          </w:rPr>
          <w:t>3.1 Výzvy – spoločné ustanovenia</w:t>
        </w:r>
        <w:r w:rsidR="00E232B8">
          <w:rPr>
            <w:noProof/>
            <w:webHidden/>
          </w:rPr>
          <w:tab/>
        </w:r>
        <w:r w:rsidR="00E232B8">
          <w:rPr>
            <w:noProof/>
            <w:webHidden/>
          </w:rPr>
          <w:fldChar w:fldCharType="begin"/>
        </w:r>
        <w:r w:rsidR="00E232B8">
          <w:rPr>
            <w:noProof/>
            <w:webHidden/>
          </w:rPr>
          <w:instrText xml:space="preserve"> PAGEREF _Toc501630041 \h </w:instrText>
        </w:r>
        <w:r w:rsidR="00E232B8">
          <w:rPr>
            <w:noProof/>
            <w:webHidden/>
          </w:rPr>
        </w:r>
        <w:r w:rsidR="00E232B8">
          <w:rPr>
            <w:noProof/>
            <w:webHidden/>
          </w:rPr>
          <w:fldChar w:fldCharType="separate"/>
        </w:r>
        <w:r w:rsidR="00E232B8">
          <w:rPr>
            <w:noProof/>
            <w:webHidden/>
          </w:rPr>
          <w:t>75</w:t>
        </w:r>
        <w:r w:rsidR="00E232B8">
          <w:rPr>
            <w:noProof/>
            <w:webHidden/>
          </w:rPr>
          <w:fldChar w:fldCharType="end"/>
        </w:r>
      </w:hyperlink>
    </w:p>
    <w:p w14:paraId="61418632" w14:textId="77777777" w:rsidR="00E232B8" w:rsidRDefault="0060362D">
      <w:pPr>
        <w:pStyle w:val="Obsah3"/>
        <w:rPr>
          <w:rFonts w:asciiTheme="minorHAnsi" w:eastAsiaTheme="minorEastAsia" w:hAnsiTheme="minorHAnsi" w:cstheme="minorBidi"/>
          <w:noProof/>
          <w:sz w:val="22"/>
          <w:szCs w:val="22"/>
        </w:rPr>
      </w:pPr>
      <w:hyperlink w:anchor="_Toc501630042" w:history="1">
        <w:r w:rsidR="00E232B8" w:rsidRPr="002151BC">
          <w:rPr>
            <w:rStyle w:val="Hypertextovprepojenie"/>
            <w:noProof/>
          </w:rPr>
          <w:t>3.1.1 Výzva</w:t>
        </w:r>
        <w:r w:rsidR="00E232B8">
          <w:rPr>
            <w:noProof/>
            <w:webHidden/>
          </w:rPr>
          <w:tab/>
        </w:r>
        <w:r w:rsidR="00E232B8">
          <w:rPr>
            <w:noProof/>
            <w:webHidden/>
          </w:rPr>
          <w:fldChar w:fldCharType="begin"/>
        </w:r>
        <w:r w:rsidR="00E232B8">
          <w:rPr>
            <w:noProof/>
            <w:webHidden/>
          </w:rPr>
          <w:instrText xml:space="preserve"> PAGEREF _Toc501630042 \h </w:instrText>
        </w:r>
        <w:r w:rsidR="00E232B8">
          <w:rPr>
            <w:noProof/>
            <w:webHidden/>
          </w:rPr>
        </w:r>
        <w:r w:rsidR="00E232B8">
          <w:rPr>
            <w:noProof/>
            <w:webHidden/>
          </w:rPr>
          <w:fldChar w:fldCharType="separate"/>
        </w:r>
        <w:r w:rsidR="00E232B8">
          <w:rPr>
            <w:noProof/>
            <w:webHidden/>
          </w:rPr>
          <w:t>77</w:t>
        </w:r>
        <w:r w:rsidR="00E232B8">
          <w:rPr>
            <w:noProof/>
            <w:webHidden/>
          </w:rPr>
          <w:fldChar w:fldCharType="end"/>
        </w:r>
      </w:hyperlink>
    </w:p>
    <w:p w14:paraId="29C61DFB" w14:textId="77777777" w:rsidR="00E232B8" w:rsidRDefault="0060362D">
      <w:pPr>
        <w:pStyle w:val="Obsah4"/>
        <w:rPr>
          <w:rFonts w:asciiTheme="minorHAnsi" w:eastAsiaTheme="minorEastAsia" w:hAnsiTheme="minorHAnsi" w:cstheme="minorBidi"/>
        </w:rPr>
      </w:pPr>
      <w:hyperlink w:anchor="_Toc501630043" w:history="1">
        <w:r w:rsidR="00E232B8" w:rsidRPr="002151BC">
          <w:rPr>
            <w:rStyle w:val="Hypertextovprepojenie"/>
          </w:rPr>
          <w:t>3.1.1.1 Zmena a zrušenie výzvy</w:t>
        </w:r>
        <w:r w:rsidR="00E232B8">
          <w:rPr>
            <w:webHidden/>
          </w:rPr>
          <w:tab/>
        </w:r>
        <w:r w:rsidR="00E232B8">
          <w:rPr>
            <w:webHidden/>
          </w:rPr>
          <w:fldChar w:fldCharType="begin"/>
        </w:r>
        <w:r w:rsidR="00E232B8">
          <w:rPr>
            <w:webHidden/>
          </w:rPr>
          <w:instrText xml:space="preserve"> PAGEREF _Toc501630043 \h </w:instrText>
        </w:r>
        <w:r w:rsidR="00E232B8">
          <w:rPr>
            <w:webHidden/>
          </w:rPr>
        </w:r>
        <w:r w:rsidR="00E232B8">
          <w:rPr>
            <w:webHidden/>
          </w:rPr>
          <w:fldChar w:fldCharType="separate"/>
        </w:r>
        <w:r w:rsidR="00E232B8">
          <w:rPr>
            <w:webHidden/>
          </w:rPr>
          <w:t>80</w:t>
        </w:r>
        <w:r w:rsidR="00E232B8">
          <w:rPr>
            <w:webHidden/>
          </w:rPr>
          <w:fldChar w:fldCharType="end"/>
        </w:r>
      </w:hyperlink>
    </w:p>
    <w:p w14:paraId="3078FCA7" w14:textId="77777777" w:rsidR="00E232B8" w:rsidRDefault="0060362D">
      <w:pPr>
        <w:pStyle w:val="Obsah3"/>
        <w:rPr>
          <w:rFonts w:asciiTheme="minorHAnsi" w:eastAsiaTheme="minorEastAsia" w:hAnsiTheme="minorHAnsi" w:cstheme="minorBidi"/>
          <w:noProof/>
          <w:sz w:val="22"/>
          <w:szCs w:val="22"/>
        </w:rPr>
      </w:pPr>
      <w:hyperlink w:anchor="_Toc501630044" w:history="1">
        <w:r w:rsidR="00E232B8" w:rsidRPr="002151BC">
          <w:rPr>
            <w:rStyle w:val="Hypertextovprepojenie"/>
            <w:noProof/>
          </w:rPr>
          <w:t>3.1.2 Výzva na predkladanie projektových zámerov</w:t>
        </w:r>
        <w:r w:rsidR="00E232B8">
          <w:rPr>
            <w:noProof/>
            <w:webHidden/>
          </w:rPr>
          <w:tab/>
        </w:r>
        <w:r w:rsidR="00E232B8">
          <w:rPr>
            <w:noProof/>
            <w:webHidden/>
          </w:rPr>
          <w:fldChar w:fldCharType="begin"/>
        </w:r>
        <w:r w:rsidR="00E232B8">
          <w:rPr>
            <w:noProof/>
            <w:webHidden/>
          </w:rPr>
          <w:instrText xml:space="preserve"> PAGEREF _Toc501630044 \h </w:instrText>
        </w:r>
        <w:r w:rsidR="00E232B8">
          <w:rPr>
            <w:noProof/>
            <w:webHidden/>
          </w:rPr>
        </w:r>
        <w:r w:rsidR="00E232B8">
          <w:rPr>
            <w:noProof/>
            <w:webHidden/>
          </w:rPr>
          <w:fldChar w:fldCharType="separate"/>
        </w:r>
        <w:r w:rsidR="00E232B8">
          <w:rPr>
            <w:noProof/>
            <w:webHidden/>
          </w:rPr>
          <w:t>82</w:t>
        </w:r>
        <w:r w:rsidR="00E232B8">
          <w:rPr>
            <w:noProof/>
            <w:webHidden/>
          </w:rPr>
          <w:fldChar w:fldCharType="end"/>
        </w:r>
      </w:hyperlink>
    </w:p>
    <w:p w14:paraId="2C815DAC" w14:textId="77777777" w:rsidR="00E232B8" w:rsidRDefault="0060362D">
      <w:pPr>
        <w:pStyle w:val="Obsah2"/>
        <w:rPr>
          <w:rFonts w:asciiTheme="minorHAnsi" w:eastAsiaTheme="minorEastAsia" w:hAnsiTheme="minorHAnsi" w:cstheme="minorBidi"/>
          <w:noProof/>
          <w:sz w:val="22"/>
          <w:szCs w:val="22"/>
        </w:rPr>
      </w:pPr>
      <w:hyperlink w:anchor="_Toc501630045" w:history="1">
        <w:r w:rsidR="00E232B8" w:rsidRPr="002151BC">
          <w:rPr>
            <w:rStyle w:val="Hypertextovprepojenie"/>
            <w:noProof/>
          </w:rPr>
          <w:t>3.2 Schvaľovací proces</w:t>
        </w:r>
        <w:r w:rsidR="00E232B8">
          <w:rPr>
            <w:noProof/>
            <w:webHidden/>
          </w:rPr>
          <w:tab/>
        </w:r>
        <w:r w:rsidR="00E232B8">
          <w:rPr>
            <w:noProof/>
            <w:webHidden/>
          </w:rPr>
          <w:fldChar w:fldCharType="begin"/>
        </w:r>
        <w:r w:rsidR="00E232B8">
          <w:rPr>
            <w:noProof/>
            <w:webHidden/>
          </w:rPr>
          <w:instrText xml:space="preserve"> PAGEREF _Toc501630045 \h </w:instrText>
        </w:r>
        <w:r w:rsidR="00E232B8">
          <w:rPr>
            <w:noProof/>
            <w:webHidden/>
          </w:rPr>
        </w:r>
        <w:r w:rsidR="00E232B8">
          <w:rPr>
            <w:noProof/>
            <w:webHidden/>
          </w:rPr>
          <w:fldChar w:fldCharType="separate"/>
        </w:r>
        <w:r w:rsidR="00E232B8">
          <w:rPr>
            <w:noProof/>
            <w:webHidden/>
          </w:rPr>
          <w:t>83</w:t>
        </w:r>
        <w:r w:rsidR="00E232B8">
          <w:rPr>
            <w:noProof/>
            <w:webHidden/>
          </w:rPr>
          <w:fldChar w:fldCharType="end"/>
        </w:r>
      </w:hyperlink>
    </w:p>
    <w:p w14:paraId="79F36280" w14:textId="77777777" w:rsidR="00E232B8" w:rsidRDefault="0060362D">
      <w:pPr>
        <w:pStyle w:val="Obsah3"/>
        <w:rPr>
          <w:rFonts w:asciiTheme="minorHAnsi" w:eastAsiaTheme="minorEastAsia" w:hAnsiTheme="minorHAnsi" w:cstheme="minorBidi"/>
          <w:noProof/>
          <w:sz w:val="22"/>
          <w:szCs w:val="22"/>
        </w:rPr>
      </w:pPr>
      <w:hyperlink w:anchor="_Toc501630046" w:history="1">
        <w:r w:rsidR="00E232B8" w:rsidRPr="002151BC">
          <w:rPr>
            <w:rStyle w:val="Hypertextovprepojenie"/>
            <w:noProof/>
          </w:rPr>
          <w:t>3.2.1 Schvaľovací proces žiadostí o poskytnutie nenávratného finančného príspevku</w:t>
        </w:r>
        <w:r w:rsidR="00E232B8">
          <w:rPr>
            <w:noProof/>
            <w:webHidden/>
          </w:rPr>
          <w:tab/>
        </w:r>
        <w:r w:rsidR="00E232B8">
          <w:rPr>
            <w:noProof/>
            <w:webHidden/>
          </w:rPr>
          <w:fldChar w:fldCharType="begin"/>
        </w:r>
        <w:r w:rsidR="00E232B8">
          <w:rPr>
            <w:noProof/>
            <w:webHidden/>
          </w:rPr>
          <w:instrText xml:space="preserve"> PAGEREF _Toc501630046 \h </w:instrText>
        </w:r>
        <w:r w:rsidR="00E232B8">
          <w:rPr>
            <w:noProof/>
            <w:webHidden/>
          </w:rPr>
        </w:r>
        <w:r w:rsidR="00E232B8">
          <w:rPr>
            <w:noProof/>
            <w:webHidden/>
          </w:rPr>
          <w:fldChar w:fldCharType="separate"/>
        </w:r>
        <w:r w:rsidR="00E232B8">
          <w:rPr>
            <w:noProof/>
            <w:webHidden/>
          </w:rPr>
          <w:t>85</w:t>
        </w:r>
        <w:r w:rsidR="00E232B8">
          <w:rPr>
            <w:noProof/>
            <w:webHidden/>
          </w:rPr>
          <w:fldChar w:fldCharType="end"/>
        </w:r>
      </w:hyperlink>
    </w:p>
    <w:p w14:paraId="0916D299" w14:textId="77777777" w:rsidR="00E232B8" w:rsidRDefault="0060362D">
      <w:pPr>
        <w:pStyle w:val="Obsah4"/>
        <w:rPr>
          <w:rFonts w:asciiTheme="minorHAnsi" w:eastAsiaTheme="minorEastAsia" w:hAnsiTheme="minorHAnsi" w:cstheme="minorBidi"/>
        </w:rPr>
      </w:pPr>
      <w:hyperlink w:anchor="_Toc501630047" w:history="1">
        <w:r w:rsidR="00E232B8" w:rsidRPr="002151BC">
          <w:rPr>
            <w:rStyle w:val="Hypertextovprepojenie"/>
          </w:rPr>
          <w:t>3.2.1.1 Administratívne overenie</w:t>
        </w:r>
        <w:r w:rsidR="00E232B8">
          <w:rPr>
            <w:webHidden/>
          </w:rPr>
          <w:tab/>
        </w:r>
        <w:r w:rsidR="00E232B8">
          <w:rPr>
            <w:webHidden/>
          </w:rPr>
          <w:fldChar w:fldCharType="begin"/>
        </w:r>
        <w:r w:rsidR="00E232B8">
          <w:rPr>
            <w:webHidden/>
          </w:rPr>
          <w:instrText xml:space="preserve"> PAGEREF _Toc501630047 \h </w:instrText>
        </w:r>
        <w:r w:rsidR="00E232B8">
          <w:rPr>
            <w:webHidden/>
          </w:rPr>
        </w:r>
        <w:r w:rsidR="00E232B8">
          <w:rPr>
            <w:webHidden/>
          </w:rPr>
          <w:fldChar w:fldCharType="separate"/>
        </w:r>
        <w:r w:rsidR="00E232B8">
          <w:rPr>
            <w:webHidden/>
          </w:rPr>
          <w:t>86</w:t>
        </w:r>
        <w:r w:rsidR="00E232B8">
          <w:rPr>
            <w:webHidden/>
          </w:rPr>
          <w:fldChar w:fldCharType="end"/>
        </w:r>
      </w:hyperlink>
    </w:p>
    <w:p w14:paraId="4B99E211" w14:textId="77777777" w:rsidR="00E232B8" w:rsidRDefault="0060362D">
      <w:pPr>
        <w:pStyle w:val="Obsah4"/>
        <w:tabs>
          <w:tab w:val="left" w:pos="1843"/>
        </w:tabs>
        <w:rPr>
          <w:rFonts w:asciiTheme="minorHAnsi" w:eastAsiaTheme="minorEastAsia" w:hAnsiTheme="minorHAnsi" w:cstheme="minorBidi"/>
        </w:rPr>
      </w:pPr>
      <w:hyperlink w:anchor="_Toc501630048" w:history="1">
        <w:r w:rsidR="00E232B8" w:rsidRPr="002151BC">
          <w:rPr>
            <w:rStyle w:val="Hypertextovprepojenie"/>
          </w:rPr>
          <w:t>3.2.1.2</w:t>
        </w:r>
        <w:r w:rsidR="00E232B8">
          <w:rPr>
            <w:rFonts w:asciiTheme="minorHAnsi" w:eastAsiaTheme="minorEastAsia" w:hAnsiTheme="minorHAnsi" w:cstheme="minorBidi"/>
          </w:rPr>
          <w:tab/>
        </w:r>
        <w:r w:rsidR="00E232B8" w:rsidRPr="002151BC">
          <w:rPr>
            <w:rStyle w:val="Hypertextovprepojenie"/>
          </w:rPr>
          <w:t>Odborné hodnotenie a výber žiadostí o poskytnutie nenávratného finančného príspevku</w:t>
        </w:r>
        <w:r w:rsidR="00E232B8">
          <w:rPr>
            <w:webHidden/>
          </w:rPr>
          <w:tab/>
        </w:r>
        <w:r w:rsidR="00E232B8">
          <w:rPr>
            <w:webHidden/>
          </w:rPr>
          <w:fldChar w:fldCharType="begin"/>
        </w:r>
        <w:r w:rsidR="00E232B8">
          <w:rPr>
            <w:webHidden/>
          </w:rPr>
          <w:instrText xml:space="preserve"> PAGEREF _Toc501630048 \h </w:instrText>
        </w:r>
        <w:r w:rsidR="00E232B8">
          <w:rPr>
            <w:webHidden/>
          </w:rPr>
        </w:r>
        <w:r w:rsidR="00E232B8">
          <w:rPr>
            <w:webHidden/>
          </w:rPr>
          <w:fldChar w:fldCharType="separate"/>
        </w:r>
        <w:r w:rsidR="00E232B8">
          <w:rPr>
            <w:webHidden/>
          </w:rPr>
          <w:t>88</w:t>
        </w:r>
        <w:r w:rsidR="00E232B8">
          <w:rPr>
            <w:webHidden/>
          </w:rPr>
          <w:fldChar w:fldCharType="end"/>
        </w:r>
      </w:hyperlink>
    </w:p>
    <w:p w14:paraId="69827FA3" w14:textId="77777777" w:rsidR="00E232B8" w:rsidRDefault="0060362D">
      <w:pPr>
        <w:pStyle w:val="Obsah5"/>
        <w:rPr>
          <w:rFonts w:asciiTheme="minorHAnsi" w:eastAsiaTheme="minorEastAsia" w:hAnsiTheme="minorHAnsi" w:cstheme="minorBidi"/>
          <w:sz w:val="22"/>
        </w:rPr>
      </w:pPr>
      <w:hyperlink w:anchor="_Toc501630049" w:history="1">
        <w:r w:rsidR="00E232B8" w:rsidRPr="002151BC">
          <w:rPr>
            <w:rStyle w:val="Hypertextovprepojenie"/>
          </w:rPr>
          <w:t>3.2.1.2.1 Osobitné postupy pri odbornom hodnotení vedecko-výskumných projektov (výskumno-vývojových projektov) a projektov, zavádzajúcich inovácie s výškou NFP nad 10 miliónov EUR</w:t>
        </w:r>
        <w:r w:rsidR="00E232B8">
          <w:rPr>
            <w:webHidden/>
          </w:rPr>
          <w:tab/>
        </w:r>
        <w:r w:rsidR="00E232B8">
          <w:rPr>
            <w:webHidden/>
          </w:rPr>
          <w:fldChar w:fldCharType="begin"/>
        </w:r>
        <w:r w:rsidR="00E232B8">
          <w:rPr>
            <w:webHidden/>
          </w:rPr>
          <w:instrText xml:space="preserve"> PAGEREF _Toc501630049 \h </w:instrText>
        </w:r>
        <w:r w:rsidR="00E232B8">
          <w:rPr>
            <w:webHidden/>
          </w:rPr>
        </w:r>
        <w:r w:rsidR="00E232B8">
          <w:rPr>
            <w:webHidden/>
          </w:rPr>
          <w:fldChar w:fldCharType="separate"/>
        </w:r>
        <w:r w:rsidR="00E232B8">
          <w:rPr>
            <w:webHidden/>
          </w:rPr>
          <w:t>93</w:t>
        </w:r>
        <w:r w:rsidR="00E232B8">
          <w:rPr>
            <w:webHidden/>
          </w:rPr>
          <w:fldChar w:fldCharType="end"/>
        </w:r>
      </w:hyperlink>
    </w:p>
    <w:p w14:paraId="4E678BC5" w14:textId="77777777" w:rsidR="00E232B8" w:rsidRDefault="0060362D">
      <w:pPr>
        <w:pStyle w:val="Obsah4"/>
        <w:rPr>
          <w:rFonts w:asciiTheme="minorHAnsi" w:eastAsiaTheme="minorEastAsia" w:hAnsiTheme="minorHAnsi" w:cstheme="minorBidi"/>
        </w:rPr>
      </w:pPr>
      <w:hyperlink w:anchor="_Toc501630050" w:history="1">
        <w:r w:rsidR="00E232B8" w:rsidRPr="002151BC">
          <w:rPr>
            <w:rStyle w:val="Hypertextovprepojenie"/>
          </w:rPr>
          <w:t>3.2.1.3 Postup pri vydávaní rozhodnutí a náležitosti rozhodnutia</w:t>
        </w:r>
        <w:r w:rsidR="00E232B8">
          <w:rPr>
            <w:webHidden/>
          </w:rPr>
          <w:tab/>
        </w:r>
        <w:r w:rsidR="00E232B8">
          <w:rPr>
            <w:webHidden/>
          </w:rPr>
          <w:fldChar w:fldCharType="begin"/>
        </w:r>
        <w:r w:rsidR="00E232B8">
          <w:rPr>
            <w:webHidden/>
          </w:rPr>
          <w:instrText xml:space="preserve"> PAGEREF _Toc501630050 \h </w:instrText>
        </w:r>
        <w:r w:rsidR="00E232B8">
          <w:rPr>
            <w:webHidden/>
          </w:rPr>
        </w:r>
        <w:r w:rsidR="00E232B8">
          <w:rPr>
            <w:webHidden/>
          </w:rPr>
          <w:fldChar w:fldCharType="separate"/>
        </w:r>
        <w:r w:rsidR="00E232B8">
          <w:rPr>
            <w:webHidden/>
          </w:rPr>
          <w:t>94</w:t>
        </w:r>
        <w:r w:rsidR="00E232B8">
          <w:rPr>
            <w:webHidden/>
          </w:rPr>
          <w:fldChar w:fldCharType="end"/>
        </w:r>
      </w:hyperlink>
    </w:p>
    <w:p w14:paraId="7569F28F" w14:textId="77777777" w:rsidR="00E232B8" w:rsidRDefault="0060362D">
      <w:pPr>
        <w:pStyle w:val="Obsah4"/>
        <w:rPr>
          <w:rFonts w:asciiTheme="minorHAnsi" w:eastAsiaTheme="minorEastAsia" w:hAnsiTheme="minorHAnsi" w:cstheme="minorBidi"/>
        </w:rPr>
      </w:pPr>
      <w:hyperlink w:anchor="_Toc501630051" w:history="1">
        <w:r w:rsidR="00E232B8" w:rsidRPr="002151BC">
          <w:rPr>
            <w:rStyle w:val="Hypertextovprepojenie"/>
          </w:rPr>
          <w:t>3.2.1.4 Záverečná správa výzvy</w:t>
        </w:r>
        <w:r w:rsidR="00E232B8">
          <w:rPr>
            <w:webHidden/>
          </w:rPr>
          <w:tab/>
        </w:r>
        <w:r w:rsidR="00E232B8">
          <w:rPr>
            <w:webHidden/>
          </w:rPr>
          <w:fldChar w:fldCharType="begin"/>
        </w:r>
        <w:r w:rsidR="00E232B8">
          <w:rPr>
            <w:webHidden/>
          </w:rPr>
          <w:instrText xml:space="preserve"> PAGEREF _Toc501630051 \h </w:instrText>
        </w:r>
        <w:r w:rsidR="00E232B8">
          <w:rPr>
            <w:webHidden/>
          </w:rPr>
        </w:r>
        <w:r w:rsidR="00E232B8">
          <w:rPr>
            <w:webHidden/>
          </w:rPr>
          <w:fldChar w:fldCharType="separate"/>
        </w:r>
        <w:r w:rsidR="00E232B8">
          <w:rPr>
            <w:webHidden/>
          </w:rPr>
          <w:t>97</w:t>
        </w:r>
        <w:r w:rsidR="00E232B8">
          <w:rPr>
            <w:webHidden/>
          </w:rPr>
          <w:fldChar w:fldCharType="end"/>
        </w:r>
      </w:hyperlink>
    </w:p>
    <w:p w14:paraId="7C8B4AA9" w14:textId="77777777" w:rsidR="00E232B8" w:rsidRDefault="0060362D">
      <w:pPr>
        <w:pStyle w:val="Obsah4"/>
        <w:rPr>
          <w:rFonts w:asciiTheme="minorHAnsi" w:eastAsiaTheme="minorEastAsia" w:hAnsiTheme="minorHAnsi" w:cstheme="minorBidi"/>
        </w:rPr>
      </w:pPr>
      <w:hyperlink w:anchor="_Toc501630052" w:history="1">
        <w:r w:rsidR="00E232B8" w:rsidRPr="002151BC">
          <w:rPr>
            <w:rStyle w:val="Hypertextovprepojenie"/>
          </w:rPr>
          <w:t>3.2.1.5 Overovanie splnenia podmienok poskytnutia príspevku na mieste</w:t>
        </w:r>
        <w:r w:rsidR="00E232B8">
          <w:rPr>
            <w:webHidden/>
          </w:rPr>
          <w:tab/>
        </w:r>
        <w:r w:rsidR="00E232B8">
          <w:rPr>
            <w:webHidden/>
          </w:rPr>
          <w:fldChar w:fldCharType="begin"/>
        </w:r>
        <w:r w:rsidR="00E232B8">
          <w:rPr>
            <w:webHidden/>
          </w:rPr>
          <w:instrText xml:space="preserve"> PAGEREF _Toc501630052 \h </w:instrText>
        </w:r>
        <w:r w:rsidR="00E232B8">
          <w:rPr>
            <w:webHidden/>
          </w:rPr>
        </w:r>
        <w:r w:rsidR="00E232B8">
          <w:rPr>
            <w:webHidden/>
          </w:rPr>
          <w:fldChar w:fldCharType="separate"/>
        </w:r>
        <w:r w:rsidR="00E232B8">
          <w:rPr>
            <w:webHidden/>
          </w:rPr>
          <w:t>97</w:t>
        </w:r>
        <w:r w:rsidR="00E232B8">
          <w:rPr>
            <w:webHidden/>
          </w:rPr>
          <w:fldChar w:fldCharType="end"/>
        </w:r>
      </w:hyperlink>
    </w:p>
    <w:p w14:paraId="06BC3932" w14:textId="77777777" w:rsidR="00E232B8" w:rsidRDefault="0060362D">
      <w:pPr>
        <w:pStyle w:val="Obsah4"/>
        <w:rPr>
          <w:rFonts w:asciiTheme="minorHAnsi" w:eastAsiaTheme="minorEastAsia" w:hAnsiTheme="minorHAnsi" w:cstheme="minorBidi"/>
        </w:rPr>
      </w:pPr>
      <w:hyperlink w:anchor="_Toc501630053" w:history="1">
        <w:r w:rsidR="00E232B8" w:rsidRPr="002151BC">
          <w:rPr>
            <w:rStyle w:val="Hypertextovprepojenie"/>
          </w:rPr>
          <w:t>3.2.1.6 Zverejňovanie</w:t>
        </w:r>
        <w:r w:rsidR="00E232B8">
          <w:rPr>
            <w:webHidden/>
          </w:rPr>
          <w:tab/>
        </w:r>
        <w:r w:rsidR="00E232B8">
          <w:rPr>
            <w:webHidden/>
          </w:rPr>
          <w:fldChar w:fldCharType="begin"/>
        </w:r>
        <w:r w:rsidR="00E232B8">
          <w:rPr>
            <w:webHidden/>
          </w:rPr>
          <w:instrText xml:space="preserve"> PAGEREF _Toc501630053 \h </w:instrText>
        </w:r>
        <w:r w:rsidR="00E232B8">
          <w:rPr>
            <w:webHidden/>
          </w:rPr>
        </w:r>
        <w:r w:rsidR="00E232B8">
          <w:rPr>
            <w:webHidden/>
          </w:rPr>
          <w:fldChar w:fldCharType="separate"/>
        </w:r>
        <w:r w:rsidR="00E232B8">
          <w:rPr>
            <w:webHidden/>
          </w:rPr>
          <w:t>97</w:t>
        </w:r>
        <w:r w:rsidR="00E232B8">
          <w:rPr>
            <w:webHidden/>
          </w:rPr>
          <w:fldChar w:fldCharType="end"/>
        </w:r>
      </w:hyperlink>
    </w:p>
    <w:p w14:paraId="7DEAFA1E" w14:textId="77777777" w:rsidR="00E232B8" w:rsidRDefault="0060362D">
      <w:pPr>
        <w:pStyle w:val="Obsah3"/>
        <w:rPr>
          <w:rFonts w:asciiTheme="minorHAnsi" w:eastAsiaTheme="minorEastAsia" w:hAnsiTheme="minorHAnsi" w:cstheme="minorBidi"/>
          <w:noProof/>
          <w:sz w:val="22"/>
          <w:szCs w:val="22"/>
        </w:rPr>
      </w:pPr>
      <w:hyperlink w:anchor="_Toc501630054" w:history="1">
        <w:r w:rsidR="00E232B8" w:rsidRPr="002151BC">
          <w:rPr>
            <w:rStyle w:val="Hypertextovprepojenie"/>
            <w:noProof/>
          </w:rPr>
          <w:t>3.2.2 Schvaľovací proces pri využití dvojkolového procesu výberu</w:t>
        </w:r>
        <w:r w:rsidR="00E232B8">
          <w:rPr>
            <w:noProof/>
            <w:webHidden/>
          </w:rPr>
          <w:tab/>
        </w:r>
        <w:r w:rsidR="00E232B8">
          <w:rPr>
            <w:noProof/>
            <w:webHidden/>
          </w:rPr>
          <w:fldChar w:fldCharType="begin"/>
        </w:r>
        <w:r w:rsidR="00E232B8">
          <w:rPr>
            <w:noProof/>
            <w:webHidden/>
          </w:rPr>
          <w:instrText xml:space="preserve"> PAGEREF _Toc501630054 \h </w:instrText>
        </w:r>
        <w:r w:rsidR="00E232B8">
          <w:rPr>
            <w:noProof/>
            <w:webHidden/>
          </w:rPr>
        </w:r>
        <w:r w:rsidR="00E232B8">
          <w:rPr>
            <w:noProof/>
            <w:webHidden/>
          </w:rPr>
          <w:fldChar w:fldCharType="separate"/>
        </w:r>
        <w:r w:rsidR="00E232B8">
          <w:rPr>
            <w:noProof/>
            <w:webHidden/>
          </w:rPr>
          <w:t>98</w:t>
        </w:r>
        <w:r w:rsidR="00E232B8">
          <w:rPr>
            <w:noProof/>
            <w:webHidden/>
          </w:rPr>
          <w:fldChar w:fldCharType="end"/>
        </w:r>
      </w:hyperlink>
    </w:p>
    <w:p w14:paraId="3A8A51A0" w14:textId="77777777" w:rsidR="00E232B8" w:rsidRDefault="0060362D">
      <w:pPr>
        <w:pStyle w:val="Obsah4"/>
        <w:rPr>
          <w:rFonts w:asciiTheme="minorHAnsi" w:eastAsiaTheme="minorEastAsia" w:hAnsiTheme="minorHAnsi" w:cstheme="minorBidi"/>
        </w:rPr>
      </w:pPr>
      <w:hyperlink w:anchor="_Toc501630055" w:history="1">
        <w:r w:rsidR="00E232B8" w:rsidRPr="002151BC">
          <w:rPr>
            <w:rStyle w:val="Hypertextovprepojenie"/>
          </w:rPr>
          <w:t>3.2.2.1 Posudzovanie projektových zámerov</w:t>
        </w:r>
        <w:r w:rsidR="00E232B8">
          <w:rPr>
            <w:webHidden/>
          </w:rPr>
          <w:tab/>
        </w:r>
        <w:r w:rsidR="00E232B8">
          <w:rPr>
            <w:webHidden/>
          </w:rPr>
          <w:fldChar w:fldCharType="begin"/>
        </w:r>
        <w:r w:rsidR="00E232B8">
          <w:rPr>
            <w:webHidden/>
          </w:rPr>
          <w:instrText xml:space="preserve"> PAGEREF _Toc501630055 \h </w:instrText>
        </w:r>
        <w:r w:rsidR="00E232B8">
          <w:rPr>
            <w:webHidden/>
          </w:rPr>
        </w:r>
        <w:r w:rsidR="00E232B8">
          <w:rPr>
            <w:webHidden/>
          </w:rPr>
          <w:fldChar w:fldCharType="separate"/>
        </w:r>
        <w:r w:rsidR="00E232B8">
          <w:rPr>
            <w:webHidden/>
          </w:rPr>
          <w:t>98</w:t>
        </w:r>
        <w:r w:rsidR="00E232B8">
          <w:rPr>
            <w:webHidden/>
          </w:rPr>
          <w:fldChar w:fldCharType="end"/>
        </w:r>
      </w:hyperlink>
    </w:p>
    <w:p w14:paraId="676A435C" w14:textId="77777777" w:rsidR="00E232B8" w:rsidRDefault="0060362D">
      <w:pPr>
        <w:pStyle w:val="Obsah4"/>
        <w:rPr>
          <w:rFonts w:asciiTheme="minorHAnsi" w:eastAsiaTheme="minorEastAsia" w:hAnsiTheme="minorHAnsi" w:cstheme="minorBidi"/>
        </w:rPr>
      </w:pPr>
      <w:hyperlink w:anchor="_Toc501630056" w:history="1">
        <w:r w:rsidR="00E232B8" w:rsidRPr="002151BC">
          <w:rPr>
            <w:rStyle w:val="Hypertextovprepojenie"/>
          </w:rPr>
          <w:t>3.2.2.2 Zohľadnenie výsledkov posúdenia projektových zámerov pri vyhlásení výzvy a konaní o žiadostiach o poskytnutí nenávratného finančného príspevku</w:t>
        </w:r>
        <w:r w:rsidR="00E232B8">
          <w:rPr>
            <w:webHidden/>
          </w:rPr>
          <w:tab/>
        </w:r>
        <w:r w:rsidR="00E232B8">
          <w:rPr>
            <w:webHidden/>
          </w:rPr>
          <w:fldChar w:fldCharType="begin"/>
        </w:r>
        <w:r w:rsidR="00E232B8">
          <w:rPr>
            <w:webHidden/>
          </w:rPr>
          <w:instrText xml:space="preserve"> PAGEREF _Toc501630056 \h </w:instrText>
        </w:r>
        <w:r w:rsidR="00E232B8">
          <w:rPr>
            <w:webHidden/>
          </w:rPr>
        </w:r>
        <w:r w:rsidR="00E232B8">
          <w:rPr>
            <w:webHidden/>
          </w:rPr>
          <w:fldChar w:fldCharType="separate"/>
        </w:r>
        <w:r w:rsidR="00E232B8">
          <w:rPr>
            <w:webHidden/>
          </w:rPr>
          <w:t>100</w:t>
        </w:r>
        <w:r w:rsidR="00E232B8">
          <w:rPr>
            <w:webHidden/>
          </w:rPr>
          <w:fldChar w:fldCharType="end"/>
        </w:r>
      </w:hyperlink>
    </w:p>
    <w:p w14:paraId="72A71143" w14:textId="77777777" w:rsidR="00E232B8" w:rsidRDefault="0060362D">
      <w:pPr>
        <w:pStyle w:val="Obsah4"/>
        <w:rPr>
          <w:rFonts w:asciiTheme="minorHAnsi" w:eastAsiaTheme="minorEastAsia" w:hAnsiTheme="minorHAnsi" w:cstheme="minorBidi"/>
        </w:rPr>
      </w:pPr>
      <w:hyperlink w:anchor="_Toc501630057" w:history="1">
        <w:r w:rsidR="00E232B8" w:rsidRPr="002151BC">
          <w:rPr>
            <w:rStyle w:val="Hypertextovprepojenie"/>
          </w:rPr>
          <w:t>3.2.2.3 Záverečná správa z výzvy na predkladanie projektových zámerov</w:t>
        </w:r>
        <w:r w:rsidR="00E232B8">
          <w:rPr>
            <w:webHidden/>
          </w:rPr>
          <w:tab/>
        </w:r>
        <w:r w:rsidR="00E232B8">
          <w:rPr>
            <w:webHidden/>
          </w:rPr>
          <w:fldChar w:fldCharType="begin"/>
        </w:r>
        <w:r w:rsidR="00E232B8">
          <w:rPr>
            <w:webHidden/>
          </w:rPr>
          <w:instrText xml:space="preserve"> PAGEREF _Toc501630057 \h </w:instrText>
        </w:r>
        <w:r w:rsidR="00E232B8">
          <w:rPr>
            <w:webHidden/>
          </w:rPr>
        </w:r>
        <w:r w:rsidR="00E232B8">
          <w:rPr>
            <w:webHidden/>
          </w:rPr>
          <w:fldChar w:fldCharType="separate"/>
        </w:r>
        <w:r w:rsidR="00E232B8">
          <w:rPr>
            <w:webHidden/>
          </w:rPr>
          <w:t>101</w:t>
        </w:r>
        <w:r w:rsidR="00E232B8">
          <w:rPr>
            <w:webHidden/>
          </w:rPr>
          <w:fldChar w:fldCharType="end"/>
        </w:r>
      </w:hyperlink>
    </w:p>
    <w:p w14:paraId="0E4E2650" w14:textId="77777777" w:rsidR="00E232B8" w:rsidRDefault="0060362D">
      <w:pPr>
        <w:pStyle w:val="Obsah3"/>
        <w:rPr>
          <w:rFonts w:asciiTheme="minorHAnsi" w:eastAsiaTheme="minorEastAsia" w:hAnsiTheme="minorHAnsi" w:cstheme="minorBidi"/>
          <w:noProof/>
          <w:sz w:val="22"/>
          <w:szCs w:val="22"/>
        </w:rPr>
      </w:pPr>
      <w:hyperlink w:anchor="_Toc501630058" w:history="1">
        <w:r w:rsidR="00E232B8" w:rsidRPr="002151BC">
          <w:rPr>
            <w:rStyle w:val="Hypertextovprepojenie"/>
            <w:noProof/>
          </w:rPr>
          <w:t>3.2.3 Zásobník projektov</w:t>
        </w:r>
        <w:r w:rsidR="00E232B8">
          <w:rPr>
            <w:noProof/>
            <w:webHidden/>
          </w:rPr>
          <w:tab/>
        </w:r>
        <w:r w:rsidR="00E232B8">
          <w:rPr>
            <w:noProof/>
            <w:webHidden/>
          </w:rPr>
          <w:fldChar w:fldCharType="begin"/>
        </w:r>
        <w:r w:rsidR="00E232B8">
          <w:rPr>
            <w:noProof/>
            <w:webHidden/>
          </w:rPr>
          <w:instrText xml:space="preserve"> PAGEREF _Toc501630058 \h </w:instrText>
        </w:r>
        <w:r w:rsidR="00E232B8">
          <w:rPr>
            <w:noProof/>
            <w:webHidden/>
          </w:rPr>
        </w:r>
        <w:r w:rsidR="00E232B8">
          <w:rPr>
            <w:noProof/>
            <w:webHidden/>
          </w:rPr>
          <w:fldChar w:fldCharType="separate"/>
        </w:r>
        <w:r w:rsidR="00E232B8">
          <w:rPr>
            <w:noProof/>
            <w:webHidden/>
          </w:rPr>
          <w:t>102</w:t>
        </w:r>
        <w:r w:rsidR="00E232B8">
          <w:rPr>
            <w:noProof/>
            <w:webHidden/>
          </w:rPr>
          <w:fldChar w:fldCharType="end"/>
        </w:r>
      </w:hyperlink>
    </w:p>
    <w:p w14:paraId="67207EFC" w14:textId="77777777" w:rsidR="00E232B8" w:rsidRDefault="0060362D">
      <w:pPr>
        <w:pStyle w:val="Obsah3"/>
        <w:rPr>
          <w:rFonts w:asciiTheme="minorHAnsi" w:eastAsiaTheme="minorEastAsia" w:hAnsiTheme="minorHAnsi" w:cstheme="minorBidi"/>
          <w:noProof/>
          <w:sz w:val="22"/>
          <w:szCs w:val="22"/>
        </w:rPr>
      </w:pPr>
      <w:hyperlink w:anchor="_Toc501630059" w:history="1">
        <w:r w:rsidR="00E232B8" w:rsidRPr="002151BC">
          <w:rPr>
            <w:rStyle w:val="Hypertextovprepojenie"/>
            <w:noProof/>
          </w:rPr>
          <w:t>3.2.4 Opravné prostriedky</w:t>
        </w:r>
        <w:r w:rsidR="00E232B8">
          <w:rPr>
            <w:noProof/>
            <w:webHidden/>
          </w:rPr>
          <w:tab/>
        </w:r>
        <w:r w:rsidR="00E232B8">
          <w:rPr>
            <w:noProof/>
            <w:webHidden/>
          </w:rPr>
          <w:fldChar w:fldCharType="begin"/>
        </w:r>
        <w:r w:rsidR="00E232B8">
          <w:rPr>
            <w:noProof/>
            <w:webHidden/>
          </w:rPr>
          <w:instrText xml:space="preserve"> PAGEREF _Toc501630059 \h </w:instrText>
        </w:r>
        <w:r w:rsidR="00E232B8">
          <w:rPr>
            <w:noProof/>
            <w:webHidden/>
          </w:rPr>
        </w:r>
        <w:r w:rsidR="00E232B8">
          <w:rPr>
            <w:noProof/>
            <w:webHidden/>
          </w:rPr>
          <w:fldChar w:fldCharType="separate"/>
        </w:r>
        <w:r w:rsidR="00E232B8">
          <w:rPr>
            <w:noProof/>
            <w:webHidden/>
          </w:rPr>
          <w:t>104</w:t>
        </w:r>
        <w:r w:rsidR="00E232B8">
          <w:rPr>
            <w:noProof/>
            <w:webHidden/>
          </w:rPr>
          <w:fldChar w:fldCharType="end"/>
        </w:r>
      </w:hyperlink>
    </w:p>
    <w:p w14:paraId="64B48507" w14:textId="77777777" w:rsidR="00E232B8" w:rsidRDefault="0060362D">
      <w:pPr>
        <w:pStyle w:val="Obsah4"/>
        <w:rPr>
          <w:rFonts w:asciiTheme="minorHAnsi" w:eastAsiaTheme="minorEastAsia" w:hAnsiTheme="minorHAnsi" w:cstheme="minorBidi"/>
        </w:rPr>
      </w:pPr>
      <w:hyperlink w:anchor="_Toc501630060" w:history="1">
        <w:r w:rsidR="00E232B8" w:rsidRPr="002151BC">
          <w:rPr>
            <w:rStyle w:val="Hypertextovprepojenie"/>
          </w:rPr>
          <w:t>3.2.4.1 Odvolanie a odvolacie konanie</w:t>
        </w:r>
        <w:r w:rsidR="00E232B8">
          <w:rPr>
            <w:webHidden/>
          </w:rPr>
          <w:tab/>
        </w:r>
        <w:r w:rsidR="00E232B8">
          <w:rPr>
            <w:webHidden/>
          </w:rPr>
          <w:fldChar w:fldCharType="begin"/>
        </w:r>
        <w:r w:rsidR="00E232B8">
          <w:rPr>
            <w:webHidden/>
          </w:rPr>
          <w:instrText xml:space="preserve"> PAGEREF _Toc501630060 \h </w:instrText>
        </w:r>
        <w:r w:rsidR="00E232B8">
          <w:rPr>
            <w:webHidden/>
          </w:rPr>
        </w:r>
        <w:r w:rsidR="00E232B8">
          <w:rPr>
            <w:webHidden/>
          </w:rPr>
          <w:fldChar w:fldCharType="separate"/>
        </w:r>
        <w:r w:rsidR="00E232B8">
          <w:rPr>
            <w:webHidden/>
          </w:rPr>
          <w:t>105</w:t>
        </w:r>
        <w:r w:rsidR="00E232B8">
          <w:rPr>
            <w:webHidden/>
          </w:rPr>
          <w:fldChar w:fldCharType="end"/>
        </w:r>
      </w:hyperlink>
    </w:p>
    <w:p w14:paraId="7C604491" w14:textId="77777777" w:rsidR="00E232B8" w:rsidRDefault="0060362D">
      <w:pPr>
        <w:pStyle w:val="Obsah4"/>
        <w:rPr>
          <w:rFonts w:asciiTheme="minorHAnsi" w:eastAsiaTheme="minorEastAsia" w:hAnsiTheme="minorHAnsi" w:cstheme="minorBidi"/>
        </w:rPr>
      </w:pPr>
      <w:hyperlink w:anchor="_Toc501630061" w:history="1">
        <w:r w:rsidR="00E232B8" w:rsidRPr="002151BC">
          <w:rPr>
            <w:rStyle w:val="Hypertextovprepojenie"/>
          </w:rPr>
          <w:t>3.2.4.2 Preskúmanie rozhodnutia mimo odvolacieho konania</w:t>
        </w:r>
        <w:r w:rsidR="00E232B8">
          <w:rPr>
            <w:webHidden/>
          </w:rPr>
          <w:tab/>
        </w:r>
        <w:r w:rsidR="00E232B8">
          <w:rPr>
            <w:webHidden/>
          </w:rPr>
          <w:fldChar w:fldCharType="begin"/>
        </w:r>
        <w:r w:rsidR="00E232B8">
          <w:rPr>
            <w:webHidden/>
          </w:rPr>
          <w:instrText xml:space="preserve"> PAGEREF _Toc501630061 \h </w:instrText>
        </w:r>
        <w:r w:rsidR="00E232B8">
          <w:rPr>
            <w:webHidden/>
          </w:rPr>
        </w:r>
        <w:r w:rsidR="00E232B8">
          <w:rPr>
            <w:webHidden/>
          </w:rPr>
          <w:fldChar w:fldCharType="separate"/>
        </w:r>
        <w:r w:rsidR="00E232B8">
          <w:rPr>
            <w:webHidden/>
          </w:rPr>
          <w:t>108</w:t>
        </w:r>
        <w:r w:rsidR="00E232B8">
          <w:rPr>
            <w:webHidden/>
          </w:rPr>
          <w:fldChar w:fldCharType="end"/>
        </w:r>
      </w:hyperlink>
    </w:p>
    <w:p w14:paraId="14336584" w14:textId="77777777" w:rsidR="00E232B8" w:rsidRDefault="0060362D">
      <w:pPr>
        <w:pStyle w:val="Obsah4"/>
        <w:rPr>
          <w:rFonts w:asciiTheme="minorHAnsi" w:eastAsiaTheme="minorEastAsia" w:hAnsiTheme="minorHAnsi" w:cstheme="minorBidi"/>
        </w:rPr>
      </w:pPr>
      <w:hyperlink w:anchor="_Toc501630062" w:history="1">
        <w:r w:rsidR="00E232B8" w:rsidRPr="002151BC">
          <w:rPr>
            <w:rStyle w:val="Hypertextovprepojenie"/>
          </w:rPr>
          <w:t>3.2.4.3 Oprava rozhodnutia</w:t>
        </w:r>
        <w:r w:rsidR="00E232B8">
          <w:rPr>
            <w:webHidden/>
          </w:rPr>
          <w:tab/>
        </w:r>
        <w:r w:rsidR="00E232B8">
          <w:rPr>
            <w:webHidden/>
          </w:rPr>
          <w:fldChar w:fldCharType="begin"/>
        </w:r>
        <w:r w:rsidR="00E232B8">
          <w:rPr>
            <w:webHidden/>
          </w:rPr>
          <w:instrText xml:space="preserve"> PAGEREF _Toc501630062 \h </w:instrText>
        </w:r>
        <w:r w:rsidR="00E232B8">
          <w:rPr>
            <w:webHidden/>
          </w:rPr>
        </w:r>
        <w:r w:rsidR="00E232B8">
          <w:rPr>
            <w:webHidden/>
          </w:rPr>
          <w:fldChar w:fldCharType="separate"/>
        </w:r>
        <w:r w:rsidR="00E232B8">
          <w:rPr>
            <w:webHidden/>
          </w:rPr>
          <w:t>110</w:t>
        </w:r>
        <w:r w:rsidR="00E232B8">
          <w:rPr>
            <w:webHidden/>
          </w:rPr>
          <w:fldChar w:fldCharType="end"/>
        </w:r>
      </w:hyperlink>
    </w:p>
    <w:p w14:paraId="12CA2FBB" w14:textId="77777777" w:rsidR="00E232B8" w:rsidRDefault="0060362D">
      <w:pPr>
        <w:pStyle w:val="Obsah2"/>
        <w:rPr>
          <w:rFonts w:asciiTheme="minorHAnsi" w:eastAsiaTheme="minorEastAsia" w:hAnsiTheme="minorHAnsi" w:cstheme="minorBidi"/>
          <w:noProof/>
          <w:sz w:val="22"/>
          <w:szCs w:val="22"/>
        </w:rPr>
      </w:pPr>
      <w:hyperlink w:anchor="_Toc501630063" w:history="1">
        <w:r w:rsidR="00E232B8" w:rsidRPr="002151BC">
          <w:rPr>
            <w:rStyle w:val="Hypertextovprepojenie"/>
            <w:noProof/>
          </w:rPr>
          <w:t>3.3 Implementácia projektov</w:t>
        </w:r>
        <w:r w:rsidR="00E232B8">
          <w:rPr>
            <w:noProof/>
            <w:webHidden/>
          </w:rPr>
          <w:tab/>
        </w:r>
        <w:r w:rsidR="00E232B8">
          <w:rPr>
            <w:noProof/>
            <w:webHidden/>
          </w:rPr>
          <w:fldChar w:fldCharType="begin"/>
        </w:r>
        <w:r w:rsidR="00E232B8">
          <w:rPr>
            <w:noProof/>
            <w:webHidden/>
          </w:rPr>
          <w:instrText xml:space="preserve"> PAGEREF _Toc501630063 \h </w:instrText>
        </w:r>
        <w:r w:rsidR="00E232B8">
          <w:rPr>
            <w:noProof/>
            <w:webHidden/>
          </w:rPr>
        </w:r>
        <w:r w:rsidR="00E232B8">
          <w:rPr>
            <w:noProof/>
            <w:webHidden/>
          </w:rPr>
          <w:fldChar w:fldCharType="separate"/>
        </w:r>
        <w:r w:rsidR="00E232B8">
          <w:rPr>
            <w:noProof/>
            <w:webHidden/>
          </w:rPr>
          <w:t>110</w:t>
        </w:r>
        <w:r w:rsidR="00E232B8">
          <w:rPr>
            <w:noProof/>
            <w:webHidden/>
          </w:rPr>
          <w:fldChar w:fldCharType="end"/>
        </w:r>
      </w:hyperlink>
    </w:p>
    <w:p w14:paraId="7195C3F1" w14:textId="77777777" w:rsidR="00E232B8" w:rsidRDefault="0060362D">
      <w:pPr>
        <w:pStyle w:val="Obsah3"/>
        <w:rPr>
          <w:rFonts w:asciiTheme="minorHAnsi" w:eastAsiaTheme="minorEastAsia" w:hAnsiTheme="minorHAnsi" w:cstheme="minorBidi"/>
          <w:noProof/>
          <w:sz w:val="22"/>
          <w:szCs w:val="22"/>
        </w:rPr>
      </w:pPr>
      <w:hyperlink w:anchor="_Toc501630064" w:history="1">
        <w:r w:rsidR="00E232B8" w:rsidRPr="002151BC">
          <w:rPr>
            <w:rStyle w:val="Hypertextovprepojenie"/>
            <w:noProof/>
          </w:rPr>
          <w:t>3.3.1 Príprava zmluvy o NFP</w:t>
        </w:r>
        <w:r w:rsidR="00E232B8">
          <w:rPr>
            <w:noProof/>
            <w:webHidden/>
          </w:rPr>
          <w:tab/>
        </w:r>
        <w:r w:rsidR="00E232B8">
          <w:rPr>
            <w:noProof/>
            <w:webHidden/>
          </w:rPr>
          <w:fldChar w:fldCharType="begin"/>
        </w:r>
        <w:r w:rsidR="00E232B8">
          <w:rPr>
            <w:noProof/>
            <w:webHidden/>
          </w:rPr>
          <w:instrText xml:space="preserve"> PAGEREF _Toc501630064 \h </w:instrText>
        </w:r>
        <w:r w:rsidR="00E232B8">
          <w:rPr>
            <w:noProof/>
            <w:webHidden/>
          </w:rPr>
        </w:r>
        <w:r w:rsidR="00E232B8">
          <w:rPr>
            <w:noProof/>
            <w:webHidden/>
          </w:rPr>
          <w:fldChar w:fldCharType="separate"/>
        </w:r>
        <w:r w:rsidR="00E232B8">
          <w:rPr>
            <w:noProof/>
            <w:webHidden/>
          </w:rPr>
          <w:t>111</w:t>
        </w:r>
        <w:r w:rsidR="00E232B8">
          <w:rPr>
            <w:noProof/>
            <w:webHidden/>
          </w:rPr>
          <w:fldChar w:fldCharType="end"/>
        </w:r>
      </w:hyperlink>
    </w:p>
    <w:p w14:paraId="198AD86F" w14:textId="77777777" w:rsidR="00E232B8" w:rsidRDefault="0060362D">
      <w:pPr>
        <w:pStyle w:val="Obsah3"/>
        <w:rPr>
          <w:rFonts w:asciiTheme="minorHAnsi" w:eastAsiaTheme="minorEastAsia" w:hAnsiTheme="minorHAnsi" w:cstheme="minorBidi"/>
          <w:noProof/>
          <w:sz w:val="22"/>
          <w:szCs w:val="22"/>
        </w:rPr>
      </w:pPr>
      <w:hyperlink w:anchor="_Toc501630065" w:history="1">
        <w:r w:rsidR="00E232B8" w:rsidRPr="002151BC">
          <w:rPr>
            <w:rStyle w:val="Hypertextovprepojenie"/>
            <w:noProof/>
          </w:rPr>
          <w:t>3.3.2 Uzavretie zmluvy o NFP</w:t>
        </w:r>
        <w:r w:rsidR="00E232B8">
          <w:rPr>
            <w:noProof/>
            <w:webHidden/>
          </w:rPr>
          <w:tab/>
        </w:r>
        <w:r w:rsidR="00E232B8">
          <w:rPr>
            <w:noProof/>
            <w:webHidden/>
          </w:rPr>
          <w:fldChar w:fldCharType="begin"/>
        </w:r>
        <w:r w:rsidR="00E232B8">
          <w:rPr>
            <w:noProof/>
            <w:webHidden/>
          </w:rPr>
          <w:instrText xml:space="preserve"> PAGEREF _Toc501630065 \h </w:instrText>
        </w:r>
        <w:r w:rsidR="00E232B8">
          <w:rPr>
            <w:noProof/>
            <w:webHidden/>
          </w:rPr>
        </w:r>
        <w:r w:rsidR="00E232B8">
          <w:rPr>
            <w:noProof/>
            <w:webHidden/>
          </w:rPr>
          <w:fldChar w:fldCharType="separate"/>
        </w:r>
        <w:r w:rsidR="00E232B8">
          <w:rPr>
            <w:noProof/>
            <w:webHidden/>
          </w:rPr>
          <w:t>111</w:t>
        </w:r>
        <w:r w:rsidR="00E232B8">
          <w:rPr>
            <w:noProof/>
            <w:webHidden/>
          </w:rPr>
          <w:fldChar w:fldCharType="end"/>
        </w:r>
      </w:hyperlink>
    </w:p>
    <w:p w14:paraId="7E9DD2BE" w14:textId="77777777" w:rsidR="00E232B8" w:rsidRDefault="0060362D">
      <w:pPr>
        <w:pStyle w:val="Obsah3"/>
        <w:rPr>
          <w:rFonts w:asciiTheme="minorHAnsi" w:eastAsiaTheme="minorEastAsia" w:hAnsiTheme="minorHAnsi" w:cstheme="minorBidi"/>
          <w:noProof/>
          <w:sz w:val="22"/>
          <w:szCs w:val="22"/>
        </w:rPr>
      </w:pPr>
      <w:hyperlink w:anchor="_Toc501630066" w:history="1">
        <w:r w:rsidR="00E232B8" w:rsidRPr="002151BC">
          <w:rPr>
            <w:rStyle w:val="Hypertextovprepojenie"/>
            <w:noProof/>
          </w:rPr>
          <w:t>3.3.3 Zabezpečenie pohľadávky RO</w:t>
        </w:r>
        <w:r w:rsidR="00E232B8">
          <w:rPr>
            <w:noProof/>
            <w:webHidden/>
          </w:rPr>
          <w:tab/>
        </w:r>
        <w:r w:rsidR="00E232B8">
          <w:rPr>
            <w:noProof/>
            <w:webHidden/>
          </w:rPr>
          <w:fldChar w:fldCharType="begin"/>
        </w:r>
        <w:r w:rsidR="00E232B8">
          <w:rPr>
            <w:noProof/>
            <w:webHidden/>
          </w:rPr>
          <w:instrText xml:space="preserve"> PAGEREF _Toc501630066 \h </w:instrText>
        </w:r>
        <w:r w:rsidR="00E232B8">
          <w:rPr>
            <w:noProof/>
            <w:webHidden/>
          </w:rPr>
        </w:r>
        <w:r w:rsidR="00E232B8">
          <w:rPr>
            <w:noProof/>
            <w:webHidden/>
          </w:rPr>
          <w:fldChar w:fldCharType="separate"/>
        </w:r>
        <w:r w:rsidR="00E232B8">
          <w:rPr>
            <w:noProof/>
            <w:webHidden/>
          </w:rPr>
          <w:t>112</w:t>
        </w:r>
        <w:r w:rsidR="00E232B8">
          <w:rPr>
            <w:noProof/>
            <w:webHidden/>
          </w:rPr>
          <w:fldChar w:fldCharType="end"/>
        </w:r>
      </w:hyperlink>
    </w:p>
    <w:p w14:paraId="07AABA9D" w14:textId="77777777" w:rsidR="00E232B8" w:rsidRDefault="0060362D">
      <w:pPr>
        <w:pStyle w:val="Obsah3"/>
        <w:rPr>
          <w:rFonts w:asciiTheme="minorHAnsi" w:eastAsiaTheme="minorEastAsia" w:hAnsiTheme="minorHAnsi" w:cstheme="minorBidi"/>
          <w:noProof/>
          <w:sz w:val="22"/>
          <w:szCs w:val="22"/>
        </w:rPr>
      </w:pPr>
      <w:hyperlink w:anchor="_Toc501630067" w:history="1">
        <w:r w:rsidR="00E232B8" w:rsidRPr="002151BC">
          <w:rPr>
            <w:rStyle w:val="Hypertextovprepojenie"/>
            <w:noProof/>
          </w:rPr>
          <w:t>3.3.4 Základné princípy realizácie projektov</w:t>
        </w:r>
        <w:r w:rsidR="00E232B8">
          <w:rPr>
            <w:noProof/>
            <w:webHidden/>
          </w:rPr>
          <w:tab/>
        </w:r>
        <w:r w:rsidR="00E232B8">
          <w:rPr>
            <w:noProof/>
            <w:webHidden/>
          </w:rPr>
          <w:fldChar w:fldCharType="begin"/>
        </w:r>
        <w:r w:rsidR="00E232B8">
          <w:rPr>
            <w:noProof/>
            <w:webHidden/>
          </w:rPr>
          <w:instrText xml:space="preserve"> PAGEREF _Toc501630067 \h </w:instrText>
        </w:r>
        <w:r w:rsidR="00E232B8">
          <w:rPr>
            <w:noProof/>
            <w:webHidden/>
          </w:rPr>
        </w:r>
        <w:r w:rsidR="00E232B8">
          <w:rPr>
            <w:noProof/>
            <w:webHidden/>
          </w:rPr>
          <w:fldChar w:fldCharType="separate"/>
        </w:r>
        <w:r w:rsidR="00E232B8">
          <w:rPr>
            <w:noProof/>
            <w:webHidden/>
          </w:rPr>
          <w:t>113</w:t>
        </w:r>
        <w:r w:rsidR="00E232B8">
          <w:rPr>
            <w:noProof/>
            <w:webHidden/>
          </w:rPr>
          <w:fldChar w:fldCharType="end"/>
        </w:r>
      </w:hyperlink>
    </w:p>
    <w:p w14:paraId="3BC5C89D" w14:textId="77777777" w:rsidR="00E232B8" w:rsidRDefault="0060362D">
      <w:pPr>
        <w:pStyle w:val="Obsah4"/>
        <w:rPr>
          <w:rFonts w:asciiTheme="minorHAnsi" w:eastAsiaTheme="minorEastAsia" w:hAnsiTheme="minorHAnsi" w:cstheme="minorBidi"/>
        </w:rPr>
      </w:pPr>
      <w:hyperlink w:anchor="_Toc501630068" w:history="1">
        <w:r w:rsidR="00E232B8" w:rsidRPr="002151BC">
          <w:rPr>
            <w:rStyle w:val="Hypertextovprepojenie"/>
          </w:rPr>
          <w:t>3.3.4.1 Monitorovanie projektov</w:t>
        </w:r>
        <w:r w:rsidR="00E232B8">
          <w:rPr>
            <w:webHidden/>
          </w:rPr>
          <w:tab/>
        </w:r>
        <w:r w:rsidR="00E232B8">
          <w:rPr>
            <w:webHidden/>
          </w:rPr>
          <w:fldChar w:fldCharType="begin"/>
        </w:r>
        <w:r w:rsidR="00E232B8">
          <w:rPr>
            <w:webHidden/>
          </w:rPr>
          <w:instrText xml:space="preserve"> PAGEREF _Toc501630068 \h </w:instrText>
        </w:r>
        <w:r w:rsidR="00E232B8">
          <w:rPr>
            <w:webHidden/>
          </w:rPr>
        </w:r>
        <w:r w:rsidR="00E232B8">
          <w:rPr>
            <w:webHidden/>
          </w:rPr>
          <w:fldChar w:fldCharType="separate"/>
        </w:r>
        <w:r w:rsidR="00E232B8">
          <w:rPr>
            <w:webHidden/>
          </w:rPr>
          <w:t>113</w:t>
        </w:r>
        <w:r w:rsidR="00E232B8">
          <w:rPr>
            <w:webHidden/>
          </w:rPr>
          <w:fldChar w:fldCharType="end"/>
        </w:r>
      </w:hyperlink>
    </w:p>
    <w:p w14:paraId="2DAE15FD" w14:textId="77777777" w:rsidR="00E232B8" w:rsidRDefault="0060362D">
      <w:pPr>
        <w:pStyle w:val="Obsah4"/>
        <w:rPr>
          <w:rFonts w:asciiTheme="minorHAnsi" w:eastAsiaTheme="minorEastAsia" w:hAnsiTheme="minorHAnsi" w:cstheme="minorBidi"/>
        </w:rPr>
      </w:pPr>
      <w:hyperlink w:anchor="_Toc501630069" w:history="1">
        <w:r w:rsidR="00E232B8" w:rsidRPr="002151BC">
          <w:rPr>
            <w:rStyle w:val="Hypertextovprepojenie"/>
          </w:rPr>
          <w:t>3.3.4.2 Udržateľnosť projektov</w:t>
        </w:r>
        <w:r w:rsidR="00E232B8">
          <w:rPr>
            <w:webHidden/>
          </w:rPr>
          <w:tab/>
        </w:r>
        <w:r w:rsidR="00E232B8">
          <w:rPr>
            <w:webHidden/>
          </w:rPr>
          <w:fldChar w:fldCharType="begin"/>
        </w:r>
        <w:r w:rsidR="00E232B8">
          <w:rPr>
            <w:webHidden/>
          </w:rPr>
          <w:instrText xml:space="preserve"> PAGEREF _Toc501630069 \h </w:instrText>
        </w:r>
        <w:r w:rsidR="00E232B8">
          <w:rPr>
            <w:webHidden/>
          </w:rPr>
        </w:r>
        <w:r w:rsidR="00E232B8">
          <w:rPr>
            <w:webHidden/>
          </w:rPr>
          <w:fldChar w:fldCharType="separate"/>
        </w:r>
        <w:r w:rsidR="00E232B8">
          <w:rPr>
            <w:webHidden/>
          </w:rPr>
          <w:t>114</w:t>
        </w:r>
        <w:r w:rsidR="00E232B8">
          <w:rPr>
            <w:webHidden/>
          </w:rPr>
          <w:fldChar w:fldCharType="end"/>
        </w:r>
      </w:hyperlink>
    </w:p>
    <w:p w14:paraId="0A8E546B" w14:textId="77777777" w:rsidR="00E232B8" w:rsidRDefault="0060362D">
      <w:pPr>
        <w:pStyle w:val="Obsah3"/>
        <w:rPr>
          <w:rFonts w:asciiTheme="minorHAnsi" w:eastAsiaTheme="minorEastAsia" w:hAnsiTheme="minorHAnsi" w:cstheme="minorBidi"/>
          <w:noProof/>
          <w:sz w:val="22"/>
          <w:szCs w:val="22"/>
        </w:rPr>
      </w:pPr>
      <w:hyperlink w:anchor="_Toc501630070" w:history="1">
        <w:r w:rsidR="00E232B8" w:rsidRPr="002151BC">
          <w:rPr>
            <w:rStyle w:val="Hypertextovprepojenie"/>
            <w:noProof/>
          </w:rPr>
          <w:t>3.3.5 Zmenové konanie</w:t>
        </w:r>
        <w:r w:rsidR="00E232B8">
          <w:rPr>
            <w:noProof/>
            <w:webHidden/>
          </w:rPr>
          <w:tab/>
        </w:r>
        <w:r w:rsidR="00E232B8">
          <w:rPr>
            <w:noProof/>
            <w:webHidden/>
          </w:rPr>
          <w:fldChar w:fldCharType="begin"/>
        </w:r>
        <w:r w:rsidR="00E232B8">
          <w:rPr>
            <w:noProof/>
            <w:webHidden/>
          </w:rPr>
          <w:instrText xml:space="preserve"> PAGEREF _Toc501630070 \h </w:instrText>
        </w:r>
        <w:r w:rsidR="00E232B8">
          <w:rPr>
            <w:noProof/>
            <w:webHidden/>
          </w:rPr>
        </w:r>
        <w:r w:rsidR="00E232B8">
          <w:rPr>
            <w:noProof/>
            <w:webHidden/>
          </w:rPr>
          <w:fldChar w:fldCharType="separate"/>
        </w:r>
        <w:r w:rsidR="00E232B8">
          <w:rPr>
            <w:noProof/>
            <w:webHidden/>
          </w:rPr>
          <w:t>114</w:t>
        </w:r>
        <w:r w:rsidR="00E232B8">
          <w:rPr>
            <w:noProof/>
            <w:webHidden/>
          </w:rPr>
          <w:fldChar w:fldCharType="end"/>
        </w:r>
      </w:hyperlink>
    </w:p>
    <w:p w14:paraId="1149479E" w14:textId="77777777" w:rsidR="00E232B8" w:rsidRDefault="0060362D">
      <w:pPr>
        <w:pStyle w:val="Obsah3"/>
        <w:rPr>
          <w:rFonts w:asciiTheme="minorHAnsi" w:eastAsiaTheme="minorEastAsia" w:hAnsiTheme="minorHAnsi" w:cstheme="minorBidi"/>
          <w:noProof/>
          <w:sz w:val="22"/>
          <w:szCs w:val="22"/>
        </w:rPr>
      </w:pPr>
      <w:hyperlink w:anchor="_Toc501630071" w:history="1">
        <w:r w:rsidR="00E232B8" w:rsidRPr="002151BC">
          <w:rPr>
            <w:rStyle w:val="Hypertextovprepojenie"/>
            <w:noProof/>
          </w:rPr>
          <w:t>3.3.6 Kontrola projektu</w:t>
        </w:r>
        <w:r w:rsidR="00E232B8">
          <w:rPr>
            <w:noProof/>
            <w:webHidden/>
          </w:rPr>
          <w:tab/>
        </w:r>
        <w:r w:rsidR="00E232B8">
          <w:rPr>
            <w:noProof/>
            <w:webHidden/>
          </w:rPr>
          <w:fldChar w:fldCharType="begin"/>
        </w:r>
        <w:r w:rsidR="00E232B8">
          <w:rPr>
            <w:noProof/>
            <w:webHidden/>
          </w:rPr>
          <w:instrText xml:space="preserve"> PAGEREF _Toc501630071 \h </w:instrText>
        </w:r>
        <w:r w:rsidR="00E232B8">
          <w:rPr>
            <w:noProof/>
            <w:webHidden/>
          </w:rPr>
        </w:r>
        <w:r w:rsidR="00E232B8">
          <w:rPr>
            <w:noProof/>
            <w:webHidden/>
          </w:rPr>
          <w:fldChar w:fldCharType="separate"/>
        </w:r>
        <w:r w:rsidR="00E232B8">
          <w:rPr>
            <w:noProof/>
            <w:webHidden/>
          </w:rPr>
          <w:t>115</w:t>
        </w:r>
        <w:r w:rsidR="00E232B8">
          <w:rPr>
            <w:noProof/>
            <w:webHidden/>
          </w:rPr>
          <w:fldChar w:fldCharType="end"/>
        </w:r>
      </w:hyperlink>
    </w:p>
    <w:p w14:paraId="434D3B76" w14:textId="77777777" w:rsidR="00E232B8" w:rsidRDefault="0060362D">
      <w:pPr>
        <w:pStyle w:val="Obsah4"/>
        <w:rPr>
          <w:rFonts w:asciiTheme="minorHAnsi" w:eastAsiaTheme="minorEastAsia" w:hAnsiTheme="minorHAnsi" w:cstheme="minorBidi"/>
        </w:rPr>
      </w:pPr>
      <w:hyperlink w:anchor="_Toc501630072" w:history="1">
        <w:r w:rsidR="00E232B8" w:rsidRPr="002151BC">
          <w:rPr>
            <w:rStyle w:val="Hypertextovprepojenie"/>
          </w:rPr>
          <w:t>3.3.6.1 Všeobecné ustanovenia o kontrole projektu</w:t>
        </w:r>
        <w:r w:rsidR="00E232B8">
          <w:rPr>
            <w:webHidden/>
          </w:rPr>
          <w:tab/>
        </w:r>
        <w:r w:rsidR="00E232B8">
          <w:rPr>
            <w:webHidden/>
          </w:rPr>
          <w:fldChar w:fldCharType="begin"/>
        </w:r>
        <w:r w:rsidR="00E232B8">
          <w:rPr>
            <w:webHidden/>
          </w:rPr>
          <w:instrText xml:space="preserve"> PAGEREF _Toc501630072 \h </w:instrText>
        </w:r>
        <w:r w:rsidR="00E232B8">
          <w:rPr>
            <w:webHidden/>
          </w:rPr>
        </w:r>
        <w:r w:rsidR="00E232B8">
          <w:rPr>
            <w:webHidden/>
          </w:rPr>
          <w:fldChar w:fldCharType="separate"/>
        </w:r>
        <w:r w:rsidR="00E232B8">
          <w:rPr>
            <w:webHidden/>
          </w:rPr>
          <w:t>115</w:t>
        </w:r>
        <w:r w:rsidR="00E232B8">
          <w:rPr>
            <w:webHidden/>
          </w:rPr>
          <w:fldChar w:fldCharType="end"/>
        </w:r>
      </w:hyperlink>
    </w:p>
    <w:p w14:paraId="04EEE727" w14:textId="77777777" w:rsidR="00E232B8" w:rsidRDefault="0060362D">
      <w:pPr>
        <w:pStyle w:val="Obsah5"/>
        <w:rPr>
          <w:rFonts w:asciiTheme="minorHAnsi" w:eastAsiaTheme="minorEastAsia" w:hAnsiTheme="minorHAnsi" w:cstheme="minorBidi"/>
          <w:sz w:val="22"/>
        </w:rPr>
      </w:pPr>
      <w:hyperlink w:anchor="_Toc501630073" w:history="1">
        <w:r w:rsidR="00E232B8" w:rsidRPr="002151BC">
          <w:rPr>
            <w:rStyle w:val="Hypertextovprepojenie"/>
          </w:rPr>
          <w:t>3.3.6.1.1 Základné povinnosti a oprávnenia riadiaceho orgánu pri výkone kontroly projektu</w:t>
        </w:r>
        <w:r w:rsidR="00E232B8">
          <w:rPr>
            <w:webHidden/>
          </w:rPr>
          <w:tab/>
        </w:r>
        <w:r w:rsidR="00E232B8">
          <w:rPr>
            <w:webHidden/>
          </w:rPr>
          <w:fldChar w:fldCharType="begin"/>
        </w:r>
        <w:r w:rsidR="00E232B8">
          <w:rPr>
            <w:webHidden/>
          </w:rPr>
          <w:instrText xml:space="preserve"> PAGEREF _Toc501630073 \h </w:instrText>
        </w:r>
        <w:r w:rsidR="00E232B8">
          <w:rPr>
            <w:webHidden/>
          </w:rPr>
        </w:r>
        <w:r w:rsidR="00E232B8">
          <w:rPr>
            <w:webHidden/>
          </w:rPr>
          <w:fldChar w:fldCharType="separate"/>
        </w:r>
        <w:r w:rsidR="00E232B8">
          <w:rPr>
            <w:webHidden/>
          </w:rPr>
          <w:t>121</w:t>
        </w:r>
        <w:r w:rsidR="00E232B8">
          <w:rPr>
            <w:webHidden/>
          </w:rPr>
          <w:fldChar w:fldCharType="end"/>
        </w:r>
      </w:hyperlink>
    </w:p>
    <w:p w14:paraId="5C266901" w14:textId="77777777" w:rsidR="00E232B8" w:rsidRDefault="0060362D">
      <w:pPr>
        <w:pStyle w:val="Obsah5"/>
        <w:rPr>
          <w:rFonts w:asciiTheme="minorHAnsi" w:eastAsiaTheme="minorEastAsia" w:hAnsiTheme="minorHAnsi" w:cstheme="minorBidi"/>
          <w:sz w:val="22"/>
        </w:rPr>
      </w:pPr>
      <w:hyperlink w:anchor="_Toc501630074" w:history="1">
        <w:r w:rsidR="00E232B8" w:rsidRPr="002151BC">
          <w:rPr>
            <w:rStyle w:val="Hypertextovprepojenie"/>
          </w:rPr>
          <w:t>3.3.6.1.2 Predmet a cieľ kontroly projektu</w:t>
        </w:r>
        <w:r w:rsidR="00E232B8">
          <w:rPr>
            <w:webHidden/>
          </w:rPr>
          <w:tab/>
        </w:r>
        <w:r w:rsidR="00E232B8">
          <w:rPr>
            <w:webHidden/>
          </w:rPr>
          <w:fldChar w:fldCharType="begin"/>
        </w:r>
        <w:r w:rsidR="00E232B8">
          <w:rPr>
            <w:webHidden/>
          </w:rPr>
          <w:instrText xml:space="preserve"> PAGEREF _Toc501630074 \h </w:instrText>
        </w:r>
        <w:r w:rsidR="00E232B8">
          <w:rPr>
            <w:webHidden/>
          </w:rPr>
        </w:r>
        <w:r w:rsidR="00E232B8">
          <w:rPr>
            <w:webHidden/>
          </w:rPr>
          <w:fldChar w:fldCharType="separate"/>
        </w:r>
        <w:r w:rsidR="00E232B8">
          <w:rPr>
            <w:webHidden/>
          </w:rPr>
          <w:t>126</w:t>
        </w:r>
        <w:r w:rsidR="00E232B8">
          <w:rPr>
            <w:webHidden/>
          </w:rPr>
          <w:fldChar w:fldCharType="end"/>
        </w:r>
      </w:hyperlink>
    </w:p>
    <w:p w14:paraId="48974126" w14:textId="77777777" w:rsidR="00E232B8" w:rsidRDefault="0060362D">
      <w:pPr>
        <w:pStyle w:val="Obsah5"/>
        <w:tabs>
          <w:tab w:val="left" w:pos="2456"/>
        </w:tabs>
        <w:rPr>
          <w:rFonts w:asciiTheme="minorHAnsi" w:eastAsiaTheme="minorEastAsia" w:hAnsiTheme="minorHAnsi" w:cstheme="minorBidi"/>
          <w:sz w:val="22"/>
        </w:rPr>
      </w:pPr>
      <w:hyperlink w:anchor="_Toc501630075" w:history="1">
        <w:r w:rsidR="00E232B8" w:rsidRPr="002151BC">
          <w:rPr>
            <w:rStyle w:val="Hypertextovprepojenie"/>
          </w:rPr>
          <w:t>3.3.6.1.3</w:t>
        </w:r>
        <w:r w:rsidR="00E232B8">
          <w:rPr>
            <w:rFonts w:asciiTheme="minorHAnsi" w:eastAsiaTheme="minorEastAsia" w:hAnsiTheme="minorHAnsi" w:cstheme="minorBidi"/>
            <w:sz w:val="22"/>
          </w:rPr>
          <w:tab/>
        </w:r>
        <w:r w:rsidR="00E232B8" w:rsidRPr="002151BC">
          <w:rPr>
            <w:rStyle w:val="Hypertextovprepojenie"/>
          </w:rPr>
          <w:t>Výstup z finančnej kontroly projektu a ukončenie kontroly projektu</w:t>
        </w:r>
        <w:r w:rsidR="00E232B8">
          <w:rPr>
            <w:webHidden/>
          </w:rPr>
          <w:tab/>
        </w:r>
        <w:r w:rsidR="00E232B8">
          <w:rPr>
            <w:webHidden/>
          </w:rPr>
          <w:fldChar w:fldCharType="begin"/>
        </w:r>
        <w:r w:rsidR="00E232B8">
          <w:rPr>
            <w:webHidden/>
          </w:rPr>
          <w:instrText xml:space="preserve"> PAGEREF _Toc501630075 \h </w:instrText>
        </w:r>
        <w:r w:rsidR="00E232B8">
          <w:rPr>
            <w:webHidden/>
          </w:rPr>
        </w:r>
        <w:r w:rsidR="00E232B8">
          <w:rPr>
            <w:webHidden/>
          </w:rPr>
          <w:fldChar w:fldCharType="separate"/>
        </w:r>
        <w:r w:rsidR="00E232B8">
          <w:rPr>
            <w:webHidden/>
          </w:rPr>
          <w:t>129</w:t>
        </w:r>
        <w:r w:rsidR="00E232B8">
          <w:rPr>
            <w:webHidden/>
          </w:rPr>
          <w:fldChar w:fldCharType="end"/>
        </w:r>
      </w:hyperlink>
    </w:p>
    <w:p w14:paraId="6DAB3D52" w14:textId="77777777" w:rsidR="00E232B8" w:rsidRDefault="0060362D">
      <w:pPr>
        <w:pStyle w:val="Obsah5"/>
        <w:rPr>
          <w:rFonts w:asciiTheme="minorHAnsi" w:eastAsiaTheme="minorEastAsia" w:hAnsiTheme="minorHAnsi" w:cstheme="minorBidi"/>
          <w:sz w:val="22"/>
        </w:rPr>
      </w:pPr>
      <w:hyperlink w:anchor="_Toc501630076" w:history="1">
        <w:r w:rsidR="00E232B8" w:rsidRPr="002151BC">
          <w:rPr>
            <w:rStyle w:val="Hypertextovprepojenie"/>
          </w:rPr>
          <w:t>3.3.6.1.4 Osobitné ustanovenia pre výkon finančnej kontroly na mieste</w:t>
        </w:r>
        <w:r w:rsidR="00E232B8">
          <w:rPr>
            <w:webHidden/>
          </w:rPr>
          <w:tab/>
        </w:r>
        <w:r w:rsidR="00E232B8">
          <w:rPr>
            <w:webHidden/>
          </w:rPr>
          <w:fldChar w:fldCharType="begin"/>
        </w:r>
        <w:r w:rsidR="00E232B8">
          <w:rPr>
            <w:webHidden/>
          </w:rPr>
          <w:instrText xml:space="preserve"> PAGEREF _Toc501630076 \h </w:instrText>
        </w:r>
        <w:r w:rsidR="00E232B8">
          <w:rPr>
            <w:webHidden/>
          </w:rPr>
        </w:r>
        <w:r w:rsidR="00E232B8">
          <w:rPr>
            <w:webHidden/>
          </w:rPr>
          <w:fldChar w:fldCharType="separate"/>
        </w:r>
        <w:r w:rsidR="00E232B8">
          <w:rPr>
            <w:webHidden/>
          </w:rPr>
          <w:t>133</w:t>
        </w:r>
        <w:r w:rsidR="00E232B8">
          <w:rPr>
            <w:webHidden/>
          </w:rPr>
          <w:fldChar w:fldCharType="end"/>
        </w:r>
      </w:hyperlink>
    </w:p>
    <w:p w14:paraId="5D5C6FEB" w14:textId="77777777" w:rsidR="00E232B8" w:rsidRDefault="0060362D">
      <w:pPr>
        <w:pStyle w:val="Obsah4"/>
        <w:rPr>
          <w:rFonts w:asciiTheme="minorHAnsi" w:eastAsiaTheme="minorEastAsia" w:hAnsiTheme="minorHAnsi" w:cstheme="minorBidi"/>
        </w:rPr>
      </w:pPr>
      <w:hyperlink w:anchor="_Toc501630077" w:history="1">
        <w:r w:rsidR="00E232B8" w:rsidRPr="002151BC">
          <w:rPr>
            <w:rStyle w:val="Hypertextovprepojenie"/>
          </w:rPr>
          <w:t>3.3.6.2 Osobitné ustanovenia k predmetu kontroly</w:t>
        </w:r>
        <w:r w:rsidR="00E232B8">
          <w:rPr>
            <w:webHidden/>
          </w:rPr>
          <w:tab/>
        </w:r>
        <w:r w:rsidR="00E232B8">
          <w:rPr>
            <w:webHidden/>
          </w:rPr>
          <w:fldChar w:fldCharType="begin"/>
        </w:r>
        <w:r w:rsidR="00E232B8">
          <w:rPr>
            <w:webHidden/>
          </w:rPr>
          <w:instrText xml:space="preserve"> PAGEREF _Toc501630077 \h </w:instrText>
        </w:r>
        <w:r w:rsidR="00E232B8">
          <w:rPr>
            <w:webHidden/>
          </w:rPr>
        </w:r>
        <w:r w:rsidR="00E232B8">
          <w:rPr>
            <w:webHidden/>
          </w:rPr>
          <w:fldChar w:fldCharType="separate"/>
        </w:r>
        <w:r w:rsidR="00E232B8">
          <w:rPr>
            <w:webHidden/>
          </w:rPr>
          <w:t>138</w:t>
        </w:r>
        <w:r w:rsidR="00E232B8">
          <w:rPr>
            <w:webHidden/>
          </w:rPr>
          <w:fldChar w:fldCharType="end"/>
        </w:r>
      </w:hyperlink>
    </w:p>
    <w:p w14:paraId="3E3E7166" w14:textId="77777777" w:rsidR="00E232B8" w:rsidRDefault="0060362D">
      <w:pPr>
        <w:pStyle w:val="Obsah5"/>
        <w:rPr>
          <w:rFonts w:asciiTheme="minorHAnsi" w:eastAsiaTheme="minorEastAsia" w:hAnsiTheme="minorHAnsi" w:cstheme="minorBidi"/>
          <w:sz w:val="22"/>
        </w:rPr>
      </w:pPr>
      <w:hyperlink w:anchor="_Toc501630078" w:history="1">
        <w:r w:rsidR="00E232B8" w:rsidRPr="002151BC">
          <w:rPr>
            <w:rStyle w:val="Hypertextovprepojenie"/>
          </w:rPr>
          <w:t>3.3.6.2.1 Osobitné predmety kontroly</w:t>
        </w:r>
        <w:r w:rsidR="00E232B8">
          <w:rPr>
            <w:webHidden/>
          </w:rPr>
          <w:tab/>
        </w:r>
        <w:r w:rsidR="00E232B8">
          <w:rPr>
            <w:webHidden/>
          </w:rPr>
          <w:fldChar w:fldCharType="begin"/>
        </w:r>
        <w:r w:rsidR="00E232B8">
          <w:rPr>
            <w:webHidden/>
          </w:rPr>
          <w:instrText xml:space="preserve"> PAGEREF _Toc501630078 \h </w:instrText>
        </w:r>
        <w:r w:rsidR="00E232B8">
          <w:rPr>
            <w:webHidden/>
          </w:rPr>
        </w:r>
        <w:r w:rsidR="00E232B8">
          <w:rPr>
            <w:webHidden/>
          </w:rPr>
          <w:fldChar w:fldCharType="separate"/>
        </w:r>
        <w:r w:rsidR="00E232B8">
          <w:rPr>
            <w:webHidden/>
          </w:rPr>
          <w:t>138</w:t>
        </w:r>
        <w:r w:rsidR="00E232B8">
          <w:rPr>
            <w:webHidden/>
          </w:rPr>
          <w:fldChar w:fldCharType="end"/>
        </w:r>
      </w:hyperlink>
    </w:p>
    <w:p w14:paraId="7C912686" w14:textId="77777777" w:rsidR="00E232B8" w:rsidRDefault="0060362D">
      <w:pPr>
        <w:pStyle w:val="Obsah5"/>
        <w:rPr>
          <w:rFonts w:asciiTheme="minorHAnsi" w:eastAsiaTheme="minorEastAsia" w:hAnsiTheme="minorHAnsi" w:cstheme="minorBidi"/>
          <w:sz w:val="22"/>
        </w:rPr>
      </w:pPr>
      <w:hyperlink w:anchor="_Toc501630079" w:history="1">
        <w:r w:rsidR="00E232B8" w:rsidRPr="002151BC">
          <w:rPr>
            <w:rStyle w:val="Hypertextovprepojenie"/>
          </w:rPr>
          <w:t>3.3.6.2.2 Kontrola žiadosti o platbu</w:t>
        </w:r>
        <w:r w:rsidR="00E232B8">
          <w:rPr>
            <w:webHidden/>
          </w:rPr>
          <w:tab/>
        </w:r>
        <w:r w:rsidR="00E232B8">
          <w:rPr>
            <w:webHidden/>
          </w:rPr>
          <w:fldChar w:fldCharType="begin"/>
        </w:r>
        <w:r w:rsidR="00E232B8">
          <w:rPr>
            <w:webHidden/>
          </w:rPr>
          <w:instrText xml:space="preserve"> PAGEREF _Toc501630079 \h </w:instrText>
        </w:r>
        <w:r w:rsidR="00E232B8">
          <w:rPr>
            <w:webHidden/>
          </w:rPr>
        </w:r>
        <w:r w:rsidR="00E232B8">
          <w:rPr>
            <w:webHidden/>
          </w:rPr>
          <w:fldChar w:fldCharType="separate"/>
        </w:r>
        <w:r w:rsidR="00E232B8">
          <w:rPr>
            <w:webHidden/>
          </w:rPr>
          <w:t>140</w:t>
        </w:r>
        <w:r w:rsidR="00E232B8">
          <w:rPr>
            <w:webHidden/>
          </w:rPr>
          <w:fldChar w:fldCharType="end"/>
        </w:r>
      </w:hyperlink>
    </w:p>
    <w:p w14:paraId="677FE607" w14:textId="77777777" w:rsidR="00E232B8" w:rsidRDefault="0060362D">
      <w:pPr>
        <w:pStyle w:val="Obsah3"/>
        <w:rPr>
          <w:rFonts w:asciiTheme="minorHAnsi" w:eastAsiaTheme="minorEastAsia" w:hAnsiTheme="minorHAnsi" w:cstheme="minorBidi"/>
          <w:noProof/>
          <w:sz w:val="22"/>
          <w:szCs w:val="22"/>
        </w:rPr>
      </w:pPr>
      <w:hyperlink w:anchor="_Toc501630080" w:history="1">
        <w:r w:rsidR="00E232B8" w:rsidRPr="002151BC">
          <w:rPr>
            <w:rStyle w:val="Hypertextovprepojenie"/>
            <w:noProof/>
          </w:rPr>
          <w:t>3.3.7 Kontrola verejného obstarávania</w:t>
        </w:r>
        <w:r w:rsidR="00E232B8">
          <w:rPr>
            <w:noProof/>
            <w:webHidden/>
          </w:rPr>
          <w:tab/>
        </w:r>
        <w:r w:rsidR="00E232B8">
          <w:rPr>
            <w:noProof/>
            <w:webHidden/>
          </w:rPr>
          <w:fldChar w:fldCharType="begin"/>
        </w:r>
        <w:r w:rsidR="00E232B8">
          <w:rPr>
            <w:noProof/>
            <w:webHidden/>
          </w:rPr>
          <w:instrText xml:space="preserve"> PAGEREF _Toc501630080 \h </w:instrText>
        </w:r>
        <w:r w:rsidR="00E232B8">
          <w:rPr>
            <w:noProof/>
            <w:webHidden/>
          </w:rPr>
        </w:r>
        <w:r w:rsidR="00E232B8">
          <w:rPr>
            <w:noProof/>
            <w:webHidden/>
          </w:rPr>
          <w:fldChar w:fldCharType="separate"/>
        </w:r>
        <w:r w:rsidR="00E232B8">
          <w:rPr>
            <w:noProof/>
            <w:webHidden/>
          </w:rPr>
          <w:t>146</w:t>
        </w:r>
        <w:r w:rsidR="00E232B8">
          <w:rPr>
            <w:noProof/>
            <w:webHidden/>
          </w:rPr>
          <w:fldChar w:fldCharType="end"/>
        </w:r>
      </w:hyperlink>
    </w:p>
    <w:p w14:paraId="30A8846B" w14:textId="77777777" w:rsidR="00E232B8" w:rsidRDefault="0060362D">
      <w:pPr>
        <w:pStyle w:val="Obsah4"/>
        <w:rPr>
          <w:rFonts w:asciiTheme="minorHAnsi" w:eastAsiaTheme="minorEastAsia" w:hAnsiTheme="minorHAnsi" w:cstheme="minorBidi"/>
        </w:rPr>
      </w:pPr>
      <w:hyperlink w:anchor="_Toc501630081" w:history="1">
        <w:r w:rsidR="00E232B8" w:rsidRPr="002151BC">
          <w:rPr>
            <w:rStyle w:val="Hypertextovprepojenie"/>
          </w:rPr>
          <w:t>3.3.7.1. Všeobecné ustanovenia k výkonu finančnej  kontroly verejného obstarávania</w:t>
        </w:r>
        <w:r w:rsidR="00E232B8">
          <w:rPr>
            <w:webHidden/>
          </w:rPr>
          <w:tab/>
        </w:r>
        <w:r w:rsidR="00E232B8">
          <w:rPr>
            <w:webHidden/>
          </w:rPr>
          <w:fldChar w:fldCharType="begin"/>
        </w:r>
        <w:r w:rsidR="00E232B8">
          <w:rPr>
            <w:webHidden/>
          </w:rPr>
          <w:instrText xml:space="preserve"> PAGEREF _Toc501630081 \h </w:instrText>
        </w:r>
        <w:r w:rsidR="00E232B8">
          <w:rPr>
            <w:webHidden/>
          </w:rPr>
        </w:r>
        <w:r w:rsidR="00E232B8">
          <w:rPr>
            <w:webHidden/>
          </w:rPr>
          <w:fldChar w:fldCharType="separate"/>
        </w:r>
        <w:r w:rsidR="00E232B8">
          <w:rPr>
            <w:webHidden/>
          </w:rPr>
          <w:t>146</w:t>
        </w:r>
        <w:r w:rsidR="00E232B8">
          <w:rPr>
            <w:webHidden/>
          </w:rPr>
          <w:fldChar w:fldCharType="end"/>
        </w:r>
      </w:hyperlink>
    </w:p>
    <w:p w14:paraId="4BECC999" w14:textId="77777777" w:rsidR="00E232B8" w:rsidRDefault="0060362D">
      <w:pPr>
        <w:pStyle w:val="Obsah4"/>
        <w:rPr>
          <w:rFonts w:asciiTheme="minorHAnsi" w:eastAsiaTheme="minorEastAsia" w:hAnsiTheme="minorHAnsi" w:cstheme="minorBidi"/>
        </w:rPr>
      </w:pPr>
      <w:hyperlink w:anchor="_Toc501630082" w:history="1">
        <w:r w:rsidR="00E232B8" w:rsidRPr="002151BC">
          <w:rPr>
            <w:rStyle w:val="Hypertextovprepojenie"/>
          </w:rPr>
          <w:t>3.3.7.2.  Finančná kontrola pravidiel a postupov stanovených ZVO – všeobecné pravidlá</w:t>
        </w:r>
        <w:r w:rsidR="00E232B8">
          <w:rPr>
            <w:webHidden/>
          </w:rPr>
          <w:tab/>
        </w:r>
        <w:r w:rsidR="00E232B8">
          <w:rPr>
            <w:webHidden/>
          </w:rPr>
          <w:fldChar w:fldCharType="begin"/>
        </w:r>
        <w:r w:rsidR="00E232B8">
          <w:rPr>
            <w:webHidden/>
          </w:rPr>
          <w:instrText xml:space="preserve"> PAGEREF _Toc501630082 \h </w:instrText>
        </w:r>
        <w:r w:rsidR="00E232B8">
          <w:rPr>
            <w:webHidden/>
          </w:rPr>
        </w:r>
        <w:r w:rsidR="00E232B8">
          <w:rPr>
            <w:webHidden/>
          </w:rPr>
          <w:fldChar w:fldCharType="separate"/>
        </w:r>
        <w:r w:rsidR="00E232B8">
          <w:rPr>
            <w:webHidden/>
          </w:rPr>
          <w:t>149</w:t>
        </w:r>
        <w:r w:rsidR="00E232B8">
          <w:rPr>
            <w:webHidden/>
          </w:rPr>
          <w:fldChar w:fldCharType="end"/>
        </w:r>
      </w:hyperlink>
    </w:p>
    <w:p w14:paraId="55FECC6C" w14:textId="77777777" w:rsidR="00E232B8" w:rsidRDefault="0060362D">
      <w:pPr>
        <w:pStyle w:val="Obsah5"/>
        <w:rPr>
          <w:rFonts w:asciiTheme="minorHAnsi" w:eastAsiaTheme="minorEastAsia" w:hAnsiTheme="minorHAnsi" w:cstheme="minorBidi"/>
          <w:sz w:val="22"/>
        </w:rPr>
      </w:pPr>
      <w:hyperlink w:anchor="_Toc501630083" w:history="1">
        <w:r w:rsidR="00E232B8" w:rsidRPr="002151BC">
          <w:rPr>
            <w:rStyle w:val="Hypertextovprepojenie"/>
          </w:rPr>
          <w:t>3.3.7.2.1.  Prvá ex ante kontrola po podpise zmluvy o NFP</w:t>
        </w:r>
        <w:r w:rsidR="00E232B8">
          <w:rPr>
            <w:webHidden/>
          </w:rPr>
          <w:tab/>
        </w:r>
        <w:r w:rsidR="00E232B8">
          <w:rPr>
            <w:webHidden/>
          </w:rPr>
          <w:fldChar w:fldCharType="begin"/>
        </w:r>
        <w:r w:rsidR="00E232B8">
          <w:rPr>
            <w:webHidden/>
          </w:rPr>
          <w:instrText xml:space="preserve"> PAGEREF _Toc501630083 \h </w:instrText>
        </w:r>
        <w:r w:rsidR="00E232B8">
          <w:rPr>
            <w:webHidden/>
          </w:rPr>
        </w:r>
        <w:r w:rsidR="00E232B8">
          <w:rPr>
            <w:webHidden/>
          </w:rPr>
          <w:fldChar w:fldCharType="separate"/>
        </w:r>
        <w:r w:rsidR="00E232B8">
          <w:rPr>
            <w:webHidden/>
          </w:rPr>
          <w:t>154</w:t>
        </w:r>
        <w:r w:rsidR="00E232B8">
          <w:rPr>
            <w:webHidden/>
          </w:rPr>
          <w:fldChar w:fldCharType="end"/>
        </w:r>
      </w:hyperlink>
    </w:p>
    <w:p w14:paraId="2AF51CE8" w14:textId="77777777" w:rsidR="00E232B8" w:rsidRDefault="0060362D">
      <w:pPr>
        <w:pStyle w:val="Obsah5"/>
        <w:rPr>
          <w:rFonts w:asciiTheme="minorHAnsi" w:eastAsiaTheme="minorEastAsia" w:hAnsiTheme="minorHAnsi" w:cstheme="minorBidi"/>
          <w:sz w:val="22"/>
        </w:rPr>
      </w:pPr>
      <w:hyperlink w:anchor="_Toc501630084" w:history="1">
        <w:r w:rsidR="00E232B8" w:rsidRPr="002151BC">
          <w:rPr>
            <w:rStyle w:val="Hypertextovprepojenie"/>
          </w:rPr>
          <w:t>3.3.7.2.2.  Druhá ex ante kontrola</w:t>
        </w:r>
        <w:r w:rsidR="00E232B8">
          <w:rPr>
            <w:webHidden/>
          </w:rPr>
          <w:tab/>
        </w:r>
        <w:r w:rsidR="00E232B8">
          <w:rPr>
            <w:webHidden/>
          </w:rPr>
          <w:fldChar w:fldCharType="begin"/>
        </w:r>
        <w:r w:rsidR="00E232B8">
          <w:rPr>
            <w:webHidden/>
          </w:rPr>
          <w:instrText xml:space="preserve"> PAGEREF _Toc501630084 \h </w:instrText>
        </w:r>
        <w:r w:rsidR="00E232B8">
          <w:rPr>
            <w:webHidden/>
          </w:rPr>
        </w:r>
        <w:r w:rsidR="00E232B8">
          <w:rPr>
            <w:webHidden/>
          </w:rPr>
          <w:fldChar w:fldCharType="separate"/>
        </w:r>
        <w:r w:rsidR="00E232B8">
          <w:rPr>
            <w:webHidden/>
          </w:rPr>
          <w:t>156</w:t>
        </w:r>
        <w:r w:rsidR="00E232B8">
          <w:rPr>
            <w:webHidden/>
          </w:rPr>
          <w:fldChar w:fldCharType="end"/>
        </w:r>
      </w:hyperlink>
    </w:p>
    <w:p w14:paraId="1862C9AC" w14:textId="77777777" w:rsidR="00E232B8" w:rsidRDefault="0060362D">
      <w:pPr>
        <w:pStyle w:val="Obsah5"/>
        <w:rPr>
          <w:rFonts w:asciiTheme="minorHAnsi" w:eastAsiaTheme="minorEastAsia" w:hAnsiTheme="minorHAnsi" w:cstheme="minorBidi"/>
          <w:sz w:val="22"/>
        </w:rPr>
      </w:pPr>
      <w:hyperlink w:anchor="_Toc501630085" w:history="1">
        <w:r w:rsidR="00E232B8" w:rsidRPr="002151BC">
          <w:rPr>
            <w:rStyle w:val="Hypertextovprepojenie"/>
          </w:rPr>
          <w:t>3.3.7.2.3.  Štandardná ex post kontrola</w:t>
        </w:r>
        <w:r w:rsidR="00E232B8">
          <w:rPr>
            <w:webHidden/>
          </w:rPr>
          <w:tab/>
        </w:r>
        <w:r w:rsidR="00E232B8">
          <w:rPr>
            <w:webHidden/>
          </w:rPr>
          <w:fldChar w:fldCharType="begin"/>
        </w:r>
        <w:r w:rsidR="00E232B8">
          <w:rPr>
            <w:webHidden/>
          </w:rPr>
          <w:instrText xml:space="preserve"> PAGEREF _Toc501630085 \h </w:instrText>
        </w:r>
        <w:r w:rsidR="00E232B8">
          <w:rPr>
            <w:webHidden/>
          </w:rPr>
        </w:r>
        <w:r w:rsidR="00E232B8">
          <w:rPr>
            <w:webHidden/>
          </w:rPr>
          <w:fldChar w:fldCharType="separate"/>
        </w:r>
        <w:r w:rsidR="00E232B8">
          <w:rPr>
            <w:webHidden/>
          </w:rPr>
          <w:t>160</w:t>
        </w:r>
        <w:r w:rsidR="00E232B8">
          <w:rPr>
            <w:webHidden/>
          </w:rPr>
          <w:fldChar w:fldCharType="end"/>
        </w:r>
      </w:hyperlink>
    </w:p>
    <w:p w14:paraId="20DF99B6" w14:textId="77777777" w:rsidR="00E232B8" w:rsidRDefault="0060362D">
      <w:pPr>
        <w:pStyle w:val="Obsah5"/>
        <w:rPr>
          <w:rFonts w:asciiTheme="minorHAnsi" w:eastAsiaTheme="minorEastAsia" w:hAnsiTheme="minorHAnsi" w:cstheme="minorBidi"/>
          <w:sz w:val="22"/>
        </w:rPr>
      </w:pPr>
      <w:hyperlink w:anchor="_Toc501630086" w:history="1">
        <w:r w:rsidR="00E232B8" w:rsidRPr="002151BC">
          <w:rPr>
            <w:rStyle w:val="Hypertextovprepojenie"/>
          </w:rPr>
          <w:t>3.3.7.2.4.   Následná ex post kontrola</w:t>
        </w:r>
        <w:r w:rsidR="00E232B8">
          <w:rPr>
            <w:webHidden/>
          </w:rPr>
          <w:tab/>
        </w:r>
        <w:r w:rsidR="00E232B8">
          <w:rPr>
            <w:webHidden/>
          </w:rPr>
          <w:fldChar w:fldCharType="begin"/>
        </w:r>
        <w:r w:rsidR="00E232B8">
          <w:rPr>
            <w:webHidden/>
          </w:rPr>
          <w:instrText xml:space="preserve"> PAGEREF _Toc501630086 \h </w:instrText>
        </w:r>
        <w:r w:rsidR="00E232B8">
          <w:rPr>
            <w:webHidden/>
          </w:rPr>
        </w:r>
        <w:r w:rsidR="00E232B8">
          <w:rPr>
            <w:webHidden/>
          </w:rPr>
          <w:fldChar w:fldCharType="separate"/>
        </w:r>
        <w:r w:rsidR="00E232B8">
          <w:rPr>
            <w:webHidden/>
          </w:rPr>
          <w:t>162</w:t>
        </w:r>
        <w:r w:rsidR="00E232B8">
          <w:rPr>
            <w:webHidden/>
          </w:rPr>
          <w:fldChar w:fldCharType="end"/>
        </w:r>
      </w:hyperlink>
    </w:p>
    <w:p w14:paraId="3D18A6DF" w14:textId="77777777" w:rsidR="00E232B8" w:rsidRDefault="0060362D">
      <w:pPr>
        <w:pStyle w:val="Obsah5"/>
        <w:rPr>
          <w:rFonts w:asciiTheme="minorHAnsi" w:eastAsiaTheme="minorEastAsia" w:hAnsiTheme="minorHAnsi" w:cstheme="minorBidi"/>
          <w:sz w:val="22"/>
        </w:rPr>
      </w:pPr>
      <w:hyperlink w:anchor="_Toc501630087" w:history="1">
        <w:r w:rsidR="00E232B8" w:rsidRPr="002151BC">
          <w:rPr>
            <w:rStyle w:val="Hypertextovprepojenie"/>
          </w:rPr>
          <w:t>3.3.7.2.5. Kontrola zákaziek s nízkymi hodnotami podľa § 117 ZVO – všeobecné ustanovenia</w:t>
        </w:r>
        <w:r w:rsidR="00E232B8">
          <w:rPr>
            <w:webHidden/>
          </w:rPr>
          <w:tab/>
        </w:r>
        <w:r w:rsidR="00E232B8">
          <w:rPr>
            <w:webHidden/>
          </w:rPr>
          <w:fldChar w:fldCharType="begin"/>
        </w:r>
        <w:r w:rsidR="00E232B8">
          <w:rPr>
            <w:webHidden/>
          </w:rPr>
          <w:instrText xml:space="preserve"> PAGEREF _Toc501630087 \h </w:instrText>
        </w:r>
        <w:r w:rsidR="00E232B8">
          <w:rPr>
            <w:webHidden/>
          </w:rPr>
        </w:r>
        <w:r w:rsidR="00E232B8">
          <w:rPr>
            <w:webHidden/>
          </w:rPr>
          <w:fldChar w:fldCharType="separate"/>
        </w:r>
        <w:r w:rsidR="00E232B8">
          <w:rPr>
            <w:webHidden/>
          </w:rPr>
          <w:t>164</w:t>
        </w:r>
        <w:r w:rsidR="00E232B8">
          <w:rPr>
            <w:webHidden/>
          </w:rPr>
          <w:fldChar w:fldCharType="end"/>
        </w:r>
      </w:hyperlink>
    </w:p>
    <w:p w14:paraId="75C684FC" w14:textId="77777777" w:rsidR="00E232B8" w:rsidRDefault="0060362D">
      <w:pPr>
        <w:pStyle w:val="Obsah5"/>
        <w:rPr>
          <w:rFonts w:asciiTheme="minorHAnsi" w:eastAsiaTheme="minorEastAsia" w:hAnsiTheme="minorHAnsi" w:cstheme="minorBidi"/>
          <w:sz w:val="22"/>
        </w:rPr>
      </w:pPr>
      <w:hyperlink w:anchor="_Toc501630088" w:history="1">
        <w:r w:rsidR="00E232B8" w:rsidRPr="002151BC">
          <w:rPr>
            <w:rStyle w:val="Hypertextovprepojenie"/>
          </w:rPr>
          <w:t>3.3.7.2.5.1 Zákazky nad 15 000 EUR</w:t>
        </w:r>
        <w:r w:rsidR="00E232B8">
          <w:rPr>
            <w:webHidden/>
          </w:rPr>
          <w:tab/>
        </w:r>
        <w:r w:rsidR="00E232B8">
          <w:rPr>
            <w:webHidden/>
          </w:rPr>
          <w:fldChar w:fldCharType="begin"/>
        </w:r>
        <w:r w:rsidR="00E232B8">
          <w:rPr>
            <w:webHidden/>
          </w:rPr>
          <w:instrText xml:space="preserve"> PAGEREF _Toc501630088 \h </w:instrText>
        </w:r>
        <w:r w:rsidR="00E232B8">
          <w:rPr>
            <w:webHidden/>
          </w:rPr>
        </w:r>
        <w:r w:rsidR="00E232B8">
          <w:rPr>
            <w:webHidden/>
          </w:rPr>
          <w:fldChar w:fldCharType="separate"/>
        </w:r>
        <w:r w:rsidR="00E232B8">
          <w:rPr>
            <w:webHidden/>
          </w:rPr>
          <w:t>165</w:t>
        </w:r>
        <w:r w:rsidR="00E232B8">
          <w:rPr>
            <w:webHidden/>
          </w:rPr>
          <w:fldChar w:fldCharType="end"/>
        </w:r>
      </w:hyperlink>
    </w:p>
    <w:p w14:paraId="5BE8BECB" w14:textId="77777777" w:rsidR="00E232B8" w:rsidRDefault="0060362D">
      <w:pPr>
        <w:pStyle w:val="Obsah5"/>
        <w:rPr>
          <w:rFonts w:asciiTheme="minorHAnsi" w:eastAsiaTheme="minorEastAsia" w:hAnsiTheme="minorHAnsi" w:cstheme="minorBidi"/>
          <w:sz w:val="22"/>
        </w:rPr>
      </w:pPr>
      <w:hyperlink w:anchor="_Toc501630089" w:history="1">
        <w:r w:rsidR="00E232B8" w:rsidRPr="002151BC">
          <w:rPr>
            <w:rStyle w:val="Hypertextovprepojenie"/>
          </w:rPr>
          <w:t>3.3.7.2.5.2 Zákazky do 15 000 EUR</w:t>
        </w:r>
        <w:r w:rsidR="00E232B8">
          <w:rPr>
            <w:webHidden/>
          </w:rPr>
          <w:tab/>
        </w:r>
        <w:r w:rsidR="00E232B8">
          <w:rPr>
            <w:webHidden/>
          </w:rPr>
          <w:fldChar w:fldCharType="begin"/>
        </w:r>
        <w:r w:rsidR="00E232B8">
          <w:rPr>
            <w:webHidden/>
          </w:rPr>
          <w:instrText xml:space="preserve"> PAGEREF _Toc501630089 \h </w:instrText>
        </w:r>
        <w:r w:rsidR="00E232B8">
          <w:rPr>
            <w:webHidden/>
          </w:rPr>
        </w:r>
        <w:r w:rsidR="00E232B8">
          <w:rPr>
            <w:webHidden/>
          </w:rPr>
          <w:fldChar w:fldCharType="separate"/>
        </w:r>
        <w:r w:rsidR="00E232B8">
          <w:rPr>
            <w:webHidden/>
          </w:rPr>
          <w:t>166</w:t>
        </w:r>
        <w:r w:rsidR="00E232B8">
          <w:rPr>
            <w:webHidden/>
          </w:rPr>
          <w:fldChar w:fldCharType="end"/>
        </w:r>
      </w:hyperlink>
    </w:p>
    <w:p w14:paraId="0AEC4658" w14:textId="77777777" w:rsidR="00E232B8" w:rsidRDefault="0060362D">
      <w:pPr>
        <w:pStyle w:val="Obsah5"/>
        <w:rPr>
          <w:rFonts w:asciiTheme="minorHAnsi" w:eastAsiaTheme="minorEastAsia" w:hAnsiTheme="minorHAnsi" w:cstheme="minorBidi"/>
          <w:sz w:val="22"/>
        </w:rPr>
      </w:pPr>
      <w:hyperlink w:anchor="_Toc501630090" w:history="1">
        <w:r w:rsidR="00E232B8" w:rsidRPr="002151BC">
          <w:rPr>
            <w:rStyle w:val="Hypertextovprepojenie"/>
          </w:rPr>
          <w:t>3.3.7.2.6. Kontrola verejného obstarávania, v rámci ktorého viacerí prijímatelia nadobúdajú tovary, práce alebo služby prostredníctvom centrálnej obstarávacej organizácie podľa § 15 ods. 2 a ods. 4 ZVO.</w:t>
        </w:r>
        <w:r w:rsidR="00E232B8">
          <w:rPr>
            <w:webHidden/>
          </w:rPr>
          <w:tab/>
        </w:r>
        <w:r w:rsidR="00E232B8">
          <w:rPr>
            <w:webHidden/>
          </w:rPr>
          <w:fldChar w:fldCharType="begin"/>
        </w:r>
        <w:r w:rsidR="00E232B8">
          <w:rPr>
            <w:webHidden/>
          </w:rPr>
          <w:instrText xml:space="preserve"> PAGEREF _Toc501630090 \h </w:instrText>
        </w:r>
        <w:r w:rsidR="00E232B8">
          <w:rPr>
            <w:webHidden/>
          </w:rPr>
        </w:r>
        <w:r w:rsidR="00E232B8">
          <w:rPr>
            <w:webHidden/>
          </w:rPr>
          <w:fldChar w:fldCharType="separate"/>
        </w:r>
        <w:r w:rsidR="00E232B8">
          <w:rPr>
            <w:webHidden/>
          </w:rPr>
          <w:t>167</w:t>
        </w:r>
        <w:r w:rsidR="00E232B8">
          <w:rPr>
            <w:webHidden/>
          </w:rPr>
          <w:fldChar w:fldCharType="end"/>
        </w:r>
      </w:hyperlink>
    </w:p>
    <w:p w14:paraId="25535438" w14:textId="77777777" w:rsidR="00E232B8" w:rsidRDefault="0060362D">
      <w:pPr>
        <w:pStyle w:val="Obsah5"/>
        <w:rPr>
          <w:rFonts w:asciiTheme="minorHAnsi" w:eastAsiaTheme="minorEastAsia" w:hAnsiTheme="minorHAnsi" w:cstheme="minorBidi"/>
          <w:sz w:val="22"/>
        </w:rPr>
      </w:pPr>
      <w:hyperlink w:anchor="_Toc501630091" w:history="1">
        <w:r w:rsidR="00E232B8" w:rsidRPr="002151BC">
          <w:rPr>
            <w:rStyle w:val="Hypertextovprepojenie"/>
          </w:rPr>
          <w:t>3.3.7.2.7. Kontrola verejného obstarávania v rámci schvaľovacieho procesu ŽoNFP alebo hodnotenia národného projektu</w:t>
        </w:r>
        <w:r w:rsidR="00E232B8">
          <w:rPr>
            <w:webHidden/>
          </w:rPr>
          <w:tab/>
        </w:r>
        <w:r w:rsidR="00E232B8">
          <w:rPr>
            <w:webHidden/>
          </w:rPr>
          <w:fldChar w:fldCharType="begin"/>
        </w:r>
        <w:r w:rsidR="00E232B8">
          <w:rPr>
            <w:webHidden/>
          </w:rPr>
          <w:instrText xml:space="preserve"> PAGEREF _Toc501630091 \h </w:instrText>
        </w:r>
        <w:r w:rsidR="00E232B8">
          <w:rPr>
            <w:webHidden/>
          </w:rPr>
        </w:r>
        <w:r w:rsidR="00E232B8">
          <w:rPr>
            <w:webHidden/>
          </w:rPr>
          <w:fldChar w:fldCharType="separate"/>
        </w:r>
        <w:r w:rsidR="00E232B8">
          <w:rPr>
            <w:webHidden/>
          </w:rPr>
          <w:t>168</w:t>
        </w:r>
        <w:r w:rsidR="00E232B8">
          <w:rPr>
            <w:webHidden/>
          </w:rPr>
          <w:fldChar w:fldCharType="end"/>
        </w:r>
      </w:hyperlink>
    </w:p>
    <w:p w14:paraId="08D2AF4E" w14:textId="77777777" w:rsidR="00E232B8" w:rsidRDefault="0060362D">
      <w:pPr>
        <w:pStyle w:val="Obsah5"/>
        <w:rPr>
          <w:rFonts w:asciiTheme="minorHAnsi" w:eastAsiaTheme="minorEastAsia" w:hAnsiTheme="minorHAnsi" w:cstheme="minorBidi"/>
          <w:sz w:val="22"/>
        </w:rPr>
      </w:pPr>
      <w:hyperlink w:anchor="_Toc501630092" w:history="1">
        <w:r w:rsidR="00E232B8" w:rsidRPr="002151BC">
          <w:rPr>
            <w:rStyle w:val="Hypertextovprepojenie"/>
          </w:rPr>
          <w:t>3.3.7.2.8. Kontrola verejného obstarávania národných projektov, veľkých projektov, ktoré sú súčasťou zoznamu projektov a kontrola projektov technickej pomoci, pred podpisom zmluvy o NFP</w:t>
        </w:r>
        <w:r w:rsidR="00E232B8">
          <w:rPr>
            <w:webHidden/>
          </w:rPr>
          <w:tab/>
        </w:r>
        <w:r w:rsidR="00E232B8">
          <w:rPr>
            <w:webHidden/>
          </w:rPr>
          <w:fldChar w:fldCharType="begin"/>
        </w:r>
        <w:r w:rsidR="00E232B8">
          <w:rPr>
            <w:webHidden/>
          </w:rPr>
          <w:instrText xml:space="preserve"> PAGEREF _Toc501630092 \h </w:instrText>
        </w:r>
        <w:r w:rsidR="00E232B8">
          <w:rPr>
            <w:webHidden/>
          </w:rPr>
        </w:r>
        <w:r w:rsidR="00E232B8">
          <w:rPr>
            <w:webHidden/>
          </w:rPr>
          <w:fldChar w:fldCharType="separate"/>
        </w:r>
        <w:r w:rsidR="00E232B8">
          <w:rPr>
            <w:webHidden/>
          </w:rPr>
          <w:t>170</w:t>
        </w:r>
        <w:r w:rsidR="00E232B8">
          <w:rPr>
            <w:webHidden/>
          </w:rPr>
          <w:fldChar w:fldCharType="end"/>
        </w:r>
      </w:hyperlink>
    </w:p>
    <w:p w14:paraId="159BF757" w14:textId="77777777" w:rsidR="00E232B8" w:rsidRDefault="0060362D">
      <w:pPr>
        <w:pStyle w:val="Obsah5"/>
        <w:rPr>
          <w:rFonts w:asciiTheme="minorHAnsi" w:eastAsiaTheme="minorEastAsia" w:hAnsiTheme="minorHAnsi" w:cstheme="minorBidi"/>
          <w:sz w:val="22"/>
        </w:rPr>
      </w:pPr>
      <w:hyperlink w:anchor="_Toc501630093" w:history="1">
        <w:r w:rsidR="00E232B8" w:rsidRPr="002151BC">
          <w:rPr>
            <w:rStyle w:val="Hypertextovprepojenie"/>
          </w:rPr>
          <w:t>3.3.7.2.9. Kontrola verejného obstarávania realizovaného cez elektronické trhovisko</w:t>
        </w:r>
        <w:r w:rsidR="00E232B8">
          <w:rPr>
            <w:webHidden/>
          </w:rPr>
          <w:tab/>
        </w:r>
        <w:r w:rsidR="00E232B8">
          <w:rPr>
            <w:webHidden/>
          </w:rPr>
          <w:fldChar w:fldCharType="begin"/>
        </w:r>
        <w:r w:rsidR="00E232B8">
          <w:rPr>
            <w:webHidden/>
          </w:rPr>
          <w:instrText xml:space="preserve"> PAGEREF _Toc501630093 \h </w:instrText>
        </w:r>
        <w:r w:rsidR="00E232B8">
          <w:rPr>
            <w:webHidden/>
          </w:rPr>
        </w:r>
        <w:r w:rsidR="00E232B8">
          <w:rPr>
            <w:webHidden/>
          </w:rPr>
          <w:fldChar w:fldCharType="separate"/>
        </w:r>
        <w:r w:rsidR="00E232B8">
          <w:rPr>
            <w:webHidden/>
          </w:rPr>
          <w:t>171</w:t>
        </w:r>
        <w:r w:rsidR="00E232B8">
          <w:rPr>
            <w:webHidden/>
          </w:rPr>
          <w:fldChar w:fldCharType="end"/>
        </w:r>
      </w:hyperlink>
    </w:p>
    <w:p w14:paraId="1B6C7A55" w14:textId="77777777" w:rsidR="00E232B8" w:rsidRDefault="0060362D">
      <w:pPr>
        <w:pStyle w:val="Obsah5"/>
        <w:rPr>
          <w:rFonts w:asciiTheme="minorHAnsi" w:eastAsiaTheme="minorEastAsia" w:hAnsiTheme="minorHAnsi" w:cstheme="minorBidi"/>
          <w:sz w:val="22"/>
        </w:rPr>
      </w:pPr>
      <w:hyperlink w:anchor="_Toc501630094" w:history="1">
        <w:r w:rsidR="00E232B8" w:rsidRPr="002151BC">
          <w:rPr>
            <w:rStyle w:val="Hypertextovprepojenie"/>
          </w:rPr>
          <w:t>3.3.7.2.10. Kontrola dodatkov (zmena zmluvy, rámcovej dohody a koncesnej zmluvy počas ich trvania)</w:t>
        </w:r>
        <w:r w:rsidR="00E232B8">
          <w:rPr>
            <w:webHidden/>
          </w:rPr>
          <w:tab/>
        </w:r>
        <w:r w:rsidR="00E232B8">
          <w:rPr>
            <w:webHidden/>
          </w:rPr>
          <w:fldChar w:fldCharType="begin"/>
        </w:r>
        <w:r w:rsidR="00E232B8">
          <w:rPr>
            <w:webHidden/>
          </w:rPr>
          <w:instrText xml:space="preserve"> PAGEREF _Toc501630094 \h </w:instrText>
        </w:r>
        <w:r w:rsidR="00E232B8">
          <w:rPr>
            <w:webHidden/>
          </w:rPr>
        </w:r>
        <w:r w:rsidR="00E232B8">
          <w:rPr>
            <w:webHidden/>
          </w:rPr>
          <w:fldChar w:fldCharType="separate"/>
        </w:r>
        <w:r w:rsidR="00E232B8">
          <w:rPr>
            <w:webHidden/>
          </w:rPr>
          <w:t>172</w:t>
        </w:r>
        <w:r w:rsidR="00E232B8">
          <w:rPr>
            <w:webHidden/>
          </w:rPr>
          <w:fldChar w:fldCharType="end"/>
        </w:r>
      </w:hyperlink>
    </w:p>
    <w:p w14:paraId="2B9DCB6C" w14:textId="77777777" w:rsidR="00E232B8" w:rsidRDefault="0060362D">
      <w:pPr>
        <w:pStyle w:val="Obsah4"/>
        <w:rPr>
          <w:rFonts w:asciiTheme="minorHAnsi" w:eastAsiaTheme="minorEastAsia" w:hAnsiTheme="minorHAnsi" w:cstheme="minorBidi"/>
        </w:rPr>
      </w:pPr>
      <w:hyperlink w:anchor="_Toc501630095" w:history="1">
        <w:r w:rsidR="00E232B8" w:rsidRPr="002151BC">
          <w:rPr>
            <w:rStyle w:val="Hypertextovprepojenie"/>
          </w:rPr>
          <w:t>3.3.7.3. Kontrola postupov pri obstarávaní zákazky, na ktorú sa ZVO nevzťahuje</w:t>
        </w:r>
        <w:r w:rsidR="00E232B8">
          <w:rPr>
            <w:webHidden/>
          </w:rPr>
          <w:tab/>
        </w:r>
        <w:r w:rsidR="00E232B8">
          <w:rPr>
            <w:webHidden/>
          </w:rPr>
          <w:fldChar w:fldCharType="begin"/>
        </w:r>
        <w:r w:rsidR="00E232B8">
          <w:rPr>
            <w:webHidden/>
          </w:rPr>
          <w:instrText xml:space="preserve"> PAGEREF _Toc501630095 \h </w:instrText>
        </w:r>
        <w:r w:rsidR="00E232B8">
          <w:rPr>
            <w:webHidden/>
          </w:rPr>
        </w:r>
        <w:r w:rsidR="00E232B8">
          <w:rPr>
            <w:webHidden/>
          </w:rPr>
          <w:fldChar w:fldCharType="separate"/>
        </w:r>
        <w:r w:rsidR="00E232B8">
          <w:rPr>
            <w:webHidden/>
          </w:rPr>
          <w:t>174</w:t>
        </w:r>
        <w:r w:rsidR="00E232B8">
          <w:rPr>
            <w:webHidden/>
          </w:rPr>
          <w:fldChar w:fldCharType="end"/>
        </w:r>
      </w:hyperlink>
    </w:p>
    <w:p w14:paraId="5F91BF15" w14:textId="77777777" w:rsidR="00E232B8" w:rsidRDefault="0060362D">
      <w:pPr>
        <w:pStyle w:val="Obsah4"/>
        <w:rPr>
          <w:rFonts w:asciiTheme="minorHAnsi" w:eastAsiaTheme="minorEastAsia" w:hAnsiTheme="minorHAnsi" w:cstheme="minorBidi"/>
        </w:rPr>
      </w:pPr>
      <w:hyperlink w:anchor="_Toc501630096" w:history="1">
        <w:r w:rsidR="00E232B8" w:rsidRPr="002151BC">
          <w:rPr>
            <w:rStyle w:val="Hypertextovprepojenie"/>
          </w:rPr>
          <w:t>3.3.7.4. Uplatňovanie spolupráce riadiacich orgánov s inými subjektmi v oblasti kontroly verejného obstarávania</w:t>
        </w:r>
        <w:r w:rsidR="00E232B8">
          <w:rPr>
            <w:webHidden/>
          </w:rPr>
          <w:tab/>
        </w:r>
        <w:r w:rsidR="00E232B8">
          <w:rPr>
            <w:webHidden/>
          </w:rPr>
          <w:fldChar w:fldCharType="begin"/>
        </w:r>
        <w:r w:rsidR="00E232B8">
          <w:rPr>
            <w:webHidden/>
          </w:rPr>
          <w:instrText xml:space="preserve"> PAGEREF _Toc501630096 \h </w:instrText>
        </w:r>
        <w:r w:rsidR="00E232B8">
          <w:rPr>
            <w:webHidden/>
          </w:rPr>
        </w:r>
        <w:r w:rsidR="00E232B8">
          <w:rPr>
            <w:webHidden/>
          </w:rPr>
          <w:fldChar w:fldCharType="separate"/>
        </w:r>
        <w:r w:rsidR="00E232B8">
          <w:rPr>
            <w:webHidden/>
          </w:rPr>
          <w:t>174</w:t>
        </w:r>
        <w:r w:rsidR="00E232B8">
          <w:rPr>
            <w:webHidden/>
          </w:rPr>
          <w:fldChar w:fldCharType="end"/>
        </w:r>
      </w:hyperlink>
    </w:p>
    <w:p w14:paraId="755C6217" w14:textId="77777777" w:rsidR="00E232B8" w:rsidRDefault="0060362D">
      <w:pPr>
        <w:pStyle w:val="Obsah5"/>
        <w:rPr>
          <w:rFonts w:asciiTheme="minorHAnsi" w:eastAsiaTheme="minorEastAsia" w:hAnsiTheme="minorHAnsi" w:cstheme="minorBidi"/>
          <w:sz w:val="22"/>
        </w:rPr>
      </w:pPr>
      <w:hyperlink w:anchor="_Toc501630097" w:history="1">
        <w:r w:rsidR="00E232B8" w:rsidRPr="002151BC">
          <w:rPr>
            <w:rStyle w:val="Hypertextovprepojenie"/>
          </w:rPr>
          <w:t>3.3.7.4.1 Spolupráca s ÚVO</w:t>
        </w:r>
        <w:r w:rsidR="00E232B8">
          <w:rPr>
            <w:webHidden/>
          </w:rPr>
          <w:tab/>
        </w:r>
        <w:r w:rsidR="00E232B8">
          <w:rPr>
            <w:webHidden/>
          </w:rPr>
          <w:fldChar w:fldCharType="begin"/>
        </w:r>
        <w:r w:rsidR="00E232B8">
          <w:rPr>
            <w:webHidden/>
          </w:rPr>
          <w:instrText xml:space="preserve"> PAGEREF _Toc501630097 \h </w:instrText>
        </w:r>
        <w:r w:rsidR="00E232B8">
          <w:rPr>
            <w:webHidden/>
          </w:rPr>
        </w:r>
        <w:r w:rsidR="00E232B8">
          <w:rPr>
            <w:webHidden/>
          </w:rPr>
          <w:fldChar w:fldCharType="separate"/>
        </w:r>
        <w:r w:rsidR="00E232B8">
          <w:rPr>
            <w:webHidden/>
          </w:rPr>
          <w:t>175</w:t>
        </w:r>
        <w:r w:rsidR="00E232B8">
          <w:rPr>
            <w:webHidden/>
          </w:rPr>
          <w:fldChar w:fldCharType="end"/>
        </w:r>
      </w:hyperlink>
    </w:p>
    <w:p w14:paraId="742C07E9" w14:textId="77777777" w:rsidR="00E232B8" w:rsidRDefault="0060362D">
      <w:pPr>
        <w:pStyle w:val="Obsah5"/>
        <w:rPr>
          <w:rFonts w:asciiTheme="minorHAnsi" w:eastAsiaTheme="minorEastAsia" w:hAnsiTheme="minorHAnsi" w:cstheme="minorBidi"/>
          <w:sz w:val="22"/>
        </w:rPr>
      </w:pPr>
      <w:hyperlink w:anchor="_Toc501630098" w:history="1">
        <w:r w:rsidR="00E232B8" w:rsidRPr="002151BC">
          <w:rPr>
            <w:rStyle w:val="Hypertextovprepojenie"/>
          </w:rPr>
          <w:t>3.3.7.4.1.1 Analýza rizík kontrolovaného verejného obstarávania a následný postup</w:t>
        </w:r>
        <w:r w:rsidR="00E232B8">
          <w:rPr>
            <w:webHidden/>
          </w:rPr>
          <w:tab/>
        </w:r>
        <w:r w:rsidR="00E232B8">
          <w:rPr>
            <w:webHidden/>
          </w:rPr>
          <w:fldChar w:fldCharType="begin"/>
        </w:r>
        <w:r w:rsidR="00E232B8">
          <w:rPr>
            <w:webHidden/>
          </w:rPr>
          <w:instrText xml:space="preserve"> PAGEREF _Toc501630098 \h </w:instrText>
        </w:r>
        <w:r w:rsidR="00E232B8">
          <w:rPr>
            <w:webHidden/>
          </w:rPr>
        </w:r>
        <w:r w:rsidR="00E232B8">
          <w:rPr>
            <w:webHidden/>
          </w:rPr>
          <w:fldChar w:fldCharType="separate"/>
        </w:r>
        <w:r w:rsidR="00E232B8">
          <w:rPr>
            <w:webHidden/>
          </w:rPr>
          <w:t>175</w:t>
        </w:r>
        <w:r w:rsidR="00E232B8">
          <w:rPr>
            <w:webHidden/>
          </w:rPr>
          <w:fldChar w:fldCharType="end"/>
        </w:r>
      </w:hyperlink>
    </w:p>
    <w:p w14:paraId="583863B7" w14:textId="77777777" w:rsidR="00E232B8" w:rsidRDefault="0060362D">
      <w:pPr>
        <w:pStyle w:val="Obsah5"/>
        <w:rPr>
          <w:rFonts w:asciiTheme="minorHAnsi" w:eastAsiaTheme="minorEastAsia" w:hAnsiTheme="minorHAnsi" w:cstheme="minorBidi"/>
          <w:sz w:val="22"/>
        </w:rPr>
      </w:pPr>
      <w:hyperlink w:anchor="_Toc501630099" w:history="1">
        <w:r w:rsidR="00E232B8" w:rsidRPr="002151BC">
          <w:rPr>
            <w:rStyle w:val="Hypertextovprepojenie"/>
          </w:rPr>
          <w:t>3.3.7.4.1.2 Rozsah spolupráce s ÚVO</w:t>
        </w:r>
        <w:r w:rsidR="00E232B8">
          <w:rPr>
            <w:webHidden/>
          </w:rPr>
          <w:tab/>
        </w:r>
        <w:r w:rsidR="00E232B8">
          <w:rPr>
            <w:webHidden/>
          </w:rPr>
          <w:fldChar w:fldCharType="begin"/>
        </w:r>
        <w:r w:rsidR="00E232B8">
          <w:rPr>
            <w:webHidden/>
          </w:rPr>
          <w:instrText xml:space="preserve"> PAGEREF _Toc501630099 \h </w:instrText>
        </w:r>
        <w:r w:rsidR="00E232B8">
          <w:rPr>
            <w:webHidden/>
          </w:rPr>
        </w:r>
        <w:r w:rsidR="00E232B8">
          <w:rPr>
            <w:webHidden/>
          </w:rPr>
          <w:fldChar w:fldCharType="separate"/>
        </w:r>
        <w:r w:rsidR="00E232B8">
          <w:rPr>
            <w:webHidden/>
          </w:rPr>
          <w:t>178</w:t>
        </w:r>
        <w:r w:rsidR="00E232B8">
          <w:rPr>
            <w:webHidden/>
          </w:rPr>
          <w:fldChar w:fldCharType="end"/>
        </w:r>
      </w:hyperlink>
    </w:p>
    <w:p w14:paraId="065636E1" w14:textId="77777777" w:rsidR="00E232B8" w:rsidRDefault="0060362D">
      <w:pPr>
        <w:pStyle w:val="Obsah5"/>
        <w:rPr>
          <w:rFonts w:asciiTheme="minorHAnsi" w:eastAsiaTheme="minorEastAsia" w:hAnsiTheme="minorHAnsi" w:cstheme="minorBidi"/>
          <w:sz w:val="22"/>
        </w:rPr>
      </w:pPr>
      <w:hyperlink w:anchor="_Toc501630100" w:history="1">
        <w:r w:rsidR="00E232B8" w:rsidRPr="002151BC">
          <w:rPr>
            <w:rStyle w:val="Hypertextovprepojenie"/>
          </w:rPr>
          <w:t>3.3.7.4.2. Spolupráca s PMÚ</w:t>
        </w:r>
        <w:r w:rsidR="00E232B8">
          <w:rPr>
            <w:webHidden/>
          </w:rPr>
          <w:tab/>
        </w:r>
        <w:r w:rsidR="00E232B8">
          <w:rPr>
            <w:webHidden/>
          </w:rPr>
          <w:fldChar w:fldCharType="begin"/>
        </w:r>
        <w:r w:rsidR="00E232B8">
          <w:rPr>
            <w:webHidden/>
          </w:rPr>
          <w:instrText xml:space="preserve"> PAGEREF _Toc501630100 \h </w:instrText>
        </w:r>
        <w:r w:rsidR="00E232B8">
          <w:rPr>
            <w:webHidden/>
          </w:rPr>
        </w:r>
        <w:r w:rsidR="00E232B8">
          <w:rPr>
            <w:webHidden/>
          </w:rPr>
          <w:fldChar w:fldCharType="separate"/>
        </w:r>
        <w:r w:rsidR="00E232B8">
          <w:rPr>
            <w:webHidden/>
          </w:rPr>
          <w:t>179</w:t>
        </w:r>
        <w:r w:rsidR="00E232B8">
          <w:rPr>
            <w:webHidden/>
          </w:rPr>
          <w:fldChar w:fldCharType="end"/>
        </w:r>
      </w:hyperlink>
    </w:p>
    <w:p w14:paraId="34840F95" w14:textId="77777777" w:rsidR="00E232B8" w:rsidRDefault="0060362D">
      <w:pPr>
        <w:pStyle w:val="Obsah5"/>
        <w:rPr>
          <w:rFonts w:asciiTheme="minorHAnsi" w:eastAsiaTheme="minorEastAsia" w:hAnsiTheme="minorHAnsi" w:cstheme="minorBidi"/>
          <w:sz w:val="22"/>
        </w:rPr>
      </w:pPr>
      <w:hyperlink w:anchor="_Toc501630101" w:history="1">
        <w:r w:rsidR="00E232B8" w:rsidRPr="002151BC">
          <w:rPr>
            <w:rStyle w:val="Hypertextovprepojenie"/>
          </w:rPr>
          <w:t>3.3.7.4.2.1 Podmienky spolupráce</w:t>
        </w:r>
        <w:r w:rsidR="00E232B8">
          <w:rPr>
            <w:webHidden/>
          </w:rPr>
          <w:tab/>
        </w:r>
        <w:r w:rsidR="00E232B8">
          <w:rPr>
            <w:webHidden/>
          </w:rPr>
          <w:fldChar w:fldCharType="begin"/>
        </w:r>
        <w:r w:rsidR="00E232B8">
          <w:rPr>
            <w:webHidden/>
          </w:rPr>
          <w:instrText xml:space="preserve"> PAGEREF _Toc501630101 \h </w:instrText>
        </w:r>
        <w:r w:rsidR="00E232B8">
          <w:rPr>
            <w:webHidden/>
          </w:rPr>
        </w:r>
        <w:r w:rsidR="00E232B8">
          <w:rPr>
            <w:webHidden/>
          </w:rPr>
          <w:fldChar w:fldCharType="separate"/>
        </w:r>
        <w:r w:rsidR="00E232B8">
          <w:rPr>
            <w:webHidden/>
          </w:rPr>
          <w:t>179</w:t>
        </w:r>
        <w:r w:rsidR="00E232B8">
          <w:rPr>
            <w:webHidden/>
          </w:rPr>
          <w:fldChar w:fldCharType="end"/>
        </w:r>
      </w:hyperlink>
    </w:p>
    <w:p w14:paraId="4956A9A9" w14:textId="77777777" w:rsidR="00E232B8" w:rsidRDefault="0060362D">
      <w:pPr>
        <w:pStyle w:val="Obsah5"/>
        <w:rPr>
          <w:rFonts w:asciiTheme="minorHAnsi" w:eastAsiaTheme="minorEastAsia" w:hAnsiTheme="minorHAnsi" w:cstheme="minorBidi"/>
          <w:sz w:val="22"/>
        </w:rPr>
      </w:pPr>
      <w:hyperlink w:anchor="_Toc501630102" w:history="1">
        <w:r w:rsidR="00E232B8" w:rsidRPr="002151BC">
          <w:rPr>
            <w:rStyle w:val="Hypertextovprepojenie"/>
          </w:rPr>
          <w:t>3.3.7.4.2.2 Rozsah spolupráce</w:t>
        </w:r>
        <w:r w:rsidR="00E232B8">
          <w:rPr>
            <w:webHidden/>
          </w:rPr>
          <w:tab/>
        </w:r>
        <w:r w:rsidR="00E232B8">
          <w:rPr>
            <w:webHidden/>
          </w:rPr>
          <w:fldChar w:fldCharType="begin"/>
        </w:r>
        <w:r w:rsidR="00E232B8">
          <w:rPr>
            <w:webHidden/>
          </w:rPr>
          <w:instrText xml:space="preserve"> PAGEREF _Toc501630102 \h </w:instrText>
        </w:r>
        <w:r w:rsidR="00E232B8">
          <w:rPr>
            <w:webHidden/>
          </w:rPr>
        </w:r>
        <w:r w:rsidR="00E232B8">
          <w:rPr>
            <w:webHidden/>
          </w:rPr>
          <w:fldChar w:fldCharType="separate"/>
        </w:r>
        <w:r w:rsidR="00E232B8">
          <w:rPr>
            <w:webHidden/>
          </w:rPr>
          <w:t>180</w:t>
        </w:r>
        <w:r w:rsidR="00E232B8">
          <w:rPr>
            <w:webHidden/>
          </w:rPr>
          <w:fldChar w:fldCharType="end"/>
        </w:r>
      </w:hyperlink>
    </w:p>
    <w:p w14:paraId="1CB78CC4" w14:textId="77777777" w:rsidR="00E232B8" w:rsidRDefault="0060362D">
      <w:pPr>
        <w:pStyle w:val="Obsah5"/>
        <w:rPr>
          <w:rFonts w:asciiTheme="minorHAnsi" w:eastAsiaTheme="minorEastAsia" w:hAnsiTheme="minorHAnsi" w:cstheme="minorBidi"/>
          <w:sz w:val="22"/>
        </w:rPr>
      </w:pPr>
      <w:hyperlink w:anchor="_Toc501630103" w:history="1">
        <w:r w:rsidR="00E232B8" w:rsidRPr="002151BC">
          <w:rPr>
            <w:rStyle w:val="Hypertextovprepojenie"/>
          </w:rPr>
          <w:t>3.3.7.4.2.3 Rizikové indikátory</w:t>
        </w:r>
        <w:r w:rsidR="00E232B8">
          <w:rPr>
            <w:webHidden/>
          </w:rPr>
          <w:tab/>
        </w:r>
        <w:r w:rsidR="00E232B8">
          <w:rPr>
            <w:webHidden/>
          </w:rPr>
          <w:fldChar w:fldCharType="begin"/>
        </w:r>
        <w:r w:rsidR="00E232B8">
          <w:rPr>
            <w:webHidden/>
          </w:rPr>
          <w:instrText xml:space="preserve"> PAGEREF _Toc501630103 \h </w:instrText>
        </w:r>
        <w:r w:rsidR="00E232B8">
          <w:rPr>
            <w:webHidden/>
          </w:rPr>
        </w:r>
        <w:r w:rsidR="00E232B8">
          <w:rPr>
            <w:webHidden/>
          </w:rPr>
          <w:fldChar w:fldCharType="separate"/>
        </w:r>
        <w:r w:rsidR="00E232B8">
          <w:rPr>
            <w:webHidden/>
          </w:rPr>
          <w:t>181</w:t>
        </w:r>
        <w:r w:rsidR="00E232B8">
          <w:rPr>
            <w:webHidden/>
          </w:rPr>
          <w:fldChar w:fldCharType="end"/>
        </w:r>
      </w:hyperlink>
    </w:p>
    <w:p w14:paraId="48A002E9" w14:textId="77777777" w:rsidR="00E232B8" w:rsidRDefault="0060362D">
      <w:pPr>
        <w:pStyle w:val="Obsah5"/>
        <w:rPr>
          <w:rFonts w:asciiTheme="minorHAnsi" w:eastAsiaTheme="minorEastAsia" w:hAnsiTheme="minorHAnsi" w:cstheme="minorBidi"/>
          <w:sz w:val="22"/>
        </w:rPr>
      </w:pPr>
      <w:hyperlink w:anchor="_Toc501630104" w:history="1">
        <w:r w:rsidR="00E232B8" w:rsidRPr="002151BC">
          <w:rPr>
            <w:rStyle w:val="Hypertextovprepojenie"/>
          </w:rPr>
          <w:t>3.3.7.4.3 Spolupráca s orgánmi činnými v trestom konaní pri podozrení z protiprávneho konania</w:t>
        </w:r>
        <w:r w:rsidR="00E232B8">
          <w:rPr>
            <w:webHidden/>
          </w:rPr>
          <w:tab/>
        </w:r>
        <w:r w:rsidR="00E232B8">
          <w:rPr>
            <w:webHidden/>
          </w:rPr>
          <w:fldChar w:fldCharType="begin"/>
        </w:r>
        <w:r w:rsidR="00E232B8">
          <w:rPr>
            <w:webHidden/>
          </w:rPr>
          <w:instrText xml:space="preserve"> PAGEREF _Toc501630104 \h </w:instrText>
        </w:r>
        <w:r w:rsidR="00E232B8">
          <w:rPr>
            <w:webHidden/>
          </w:rPr>
        </w:r>
        <w:r w:rsidR="00E232B8">
          <w:rPr>
            <w:webHidden/>
          </w:rPr>
          <w:fldChar w:fldCharType="separate"/>
        </w:r>
        <w:r w:rsidR="00E232B8">
          <w:rPr>
            <w:webHidden/>
          </w:rPr>
          <w:t>181</w:t>
        </w:r>
        <w:r w:rsidR="00E232B8">
          <w:rPr>
            <w:webHidden/>
          </w:rPr>
          <w:fldChar w:fldCharType="end"/>
        </w:r>
      </w:hyperlink>
    </w:p>
    <w:p w14:paraId="3D9C77F7" w14:textId="77777777" w:rsidR="00E232B8" w:rsidRDefault="0060362D">
      <w:pPr>
        <w:pStyle w:val="Obsah5"/>
        <w:rPr>
          <w:rFonts w:asciiTheme="minorHAnsi" w:eastAsiaTheme="minorEastAsia" w:hAnsiTheme="minorHAnsi" w:cstheme="minorBidi"/>
          <w:sz w:val="22"/>
        </w:rPr>
      </w:pPr>
      <w:hyperlink w:anchor="_Toc501630105" w:history="1">
        <w:r w:rsidR="00E232B8" w:rsidRPr="002151BC">
          <w:rPr>
            <w:rStyle w:val="Hypertextovprepojenie"/>
          </w:rPr>
          <w:t>3.3.7.4.3.1 Rizikové indikátory</w:t>
        </w:r>
        <w:r w:rsidR="00E232B8">
          <w:rPr>
            <w:webHidden/>
          </w:rPr>
          <w:tab/>
        </w:r>
        <w:r w:rsidR="00E232B8">
          <w:rPr>
            <w:webHidden/>
          </w:rPr>
          <w:fldChar w:fldCharType="begin"/>
        </w:r>
        <w:r w:rsidR="00E232B8">
          <w:rPr>
            <w:webHidden/>
          </w:rPr>
          <w:instrText xml:space="preserve"> PAGEREF _Toc501630105 \h </w:instrText>
        </w:r>
        <w:r w:rsidR="00E232B8">
          <w:rPr>
            <w:webHidden/>
          </w:rPr>
        </w:r>
        <w:r w:rsidR="00E232B8">
          <w:rPr>
            <w:webHidden/>
          </w:rPr>
          <w:fldChar w:fldCharType="separate"/>
        </w:r>
        <w:r w:rsidR="00E232B8">
          <w:rPr>
            <w:webHidden/>
          </w:rPr>
          <w:t>181</w:t>
        </w:r>
        <w:r w:rsidR="00E232B8">
          <w:rPr>
            <w:webHidden/>
          </w:rPr>
          <w:fldChar w:fldCharType="end"/>
        </w:r>
      </w:hyperlink>
    </w:p>
    <w:p w14:paraId="36B317F9" w14:textId="77777777" w:rsidR="00E232B8" w:rsidRDefault="0060362D">
      <w:pPr>
        <w:pStyle w:val="Obsah2"/>
        <w:rPr>
          <w:rFonts w:asciiTheme="minorHAnsi" w:eastAsiaTheme="minorEastAsia" w:hAnsiTheme="minorHAnsi" w:cstheme="minorBidi"/>
          <w:noProof/>
          <w:sz w:val="22"/>
          <w:szCs w:val="22"/>
        </w:rPr>
      </w:pPr>
      <w:hyperlink w:anchor="_Toc501630106" w:history="1">
        <w:r w:rsidR="00E232B8" w:rsidRPr="002151BC">
          <w:rPr>
            <w:rStyle w:val="Hypertextovprepojenie"/>
            <w:noProof/>
          </w:rPr>
          <w:t>3.4 Osobitné spôsoby implementácie operačných programov</w:t>
        </w:r>
        <w:r w:rsidR="00E232B8">
          <w:rPr>
            <w:noProof/>
            <w:webHidden/>
          </w:rPr>
          <w:tab/>
        </w:r>
        <w:r w:rsidR="00E232B8">
          <w:rPr>
            <w:noProof/>
            <w:webHidden/>
          </w:rPr>
          <w:fldChar w:fldCharType="begin"/>
        </w:r>
        <w:r w:rsidR="00E232B8">
          <w:rPr>
            <w:noProof/>
            <w:webHidden/>
          </w:rPr>
          <w:instrText xml:space="preserve"> PAGEREF _Toc501630106 \h </w:instrText>
        </w:r>
        <w:r w:rsidR="00E232B8">
          <w:rPr>
            <w:noProof/>
            <w:webHidden/>
          </w:rPr>
        </w:r>
        <w:r w:rsidR="00E232B8">
          <w:rPr>
            <w:noProof/>
            <w:webHidden/>
          </w:rPr>
          <w:fldChar w:fldCharType="separate"/>
        </w:r>
        <w:r w:rsidR="00E232B8">
          <w:rPr>
            <w:noProof/>
            <w:webHidden/>
          </w:rPr>
          <w:t>186</w:t>
        </w:r>
        <w:r w:rsidR="00E232B8">
          <w:rPr>
            <w:noProof/>
            <w:webHidden/>
          </w:rPr>
          <w:fldChar w:fldCharType="end"/>
        </w:r>
      </w:hyperlink>
    </w:p>
    <w:p w14:paraId="0FAB6BC0" w14:textId="77777777" w:rsidR="00E232B8" w:rsidRDefault="0060362D">
      <w:pPr>
        <w:pStyle w:val="Obsah3"/>
        <w:rPr>
          <w:rFonts w:asciiTheme="minorHAnsi" w:eastAsiaTheme="minorEastAsia" w:hAnsiTheme="minorHAnsi" w:cstheme="minorBidi"/>
          <w:noProof/>
          <w:sz w:val="22"/>
          <w:szCs w:val="22"/>
        </w:rPr>
      </w:pPr>
      <w:hyperlink w:anchor="_Toc501630107" w:history="1">
        <w:r w:rsidR="00E232B8" w:rsidRPr="002151BC">
          <w:rPr>
            <w:rStyle w:val="Hypertextovprepojenie"/>
            <w:noProof/>
          </w:rPr>
          <w:t>3.4.1 Národné projekty</w:t>
        </w:r>
        <w:r w:rsidR="00E232B8">
          <w:rPr>
            <w:noProof/>
            <w:webHidden/>
          </w:rPr>
          <w:tab/>
        </w:r>
        <w:r w:rsidR="00E232B8">
          <w:rPr>
            <w:noProof/>
            <w:webHidden/>
          </w:rPr>
          <w:fldChar w:fldCharType="begin"/>
        </w:r>
        <w:r w:rsidR="00E232B8">
          <w:rPr>
            <w:noProof/>
            <w:webHidden/>
          </w:rPr>
          <w:instrText xml:space="preserve"> PAGEREF _Toc501630107 \h </w:instrText>
        </w:r>
        <w:r w:rsidR="00E232B8">
          <w:rPr>
            <w:noProof/>
            <w:webHidden/>
          </w:rPr>
        </w:r>
        <w:r w:rsidR="00E232B8">
          <w:rPr>
            <w:noProof/>
            <w:webHidden/>
          </w:rPr>
          <w:fldChar w:fldCharType="separate"/>
        </w:r>
        <w:r w:rsidR="00E232B8">
          <w:rPr>
            <w:noProof/>
            <w:webHidden/>
          </w:rPr>
          <w:t>186</w:t>
        </w:r>
        <w:r w:rsidR="00E232B8">
          <w:rPr>
            <w:noProof/>
            <w:webHidden/>
          </w:rPr>
          <w:fldChar w:fldCharType="end"/>
        </w:r>
      </w:hyperlink>
    </w:p>
    <w:p w14:paraId="3E515262" w14:textId="77777777" w:rsidR="00E232B8" w:rsidRDefault="0060362D">
      <w:pPr>
        <w:pStyle w:val="Obsah4"/>
        <w:rPr>
          <w:rFonts w:asciiTheme="minorHAnsi" w:eastAsiaTheme="minorEastAsia" w:hAnsiTheme="minorHAnsi" w:cstheme="minorBidi"/>
        </w:rPr>
      </w:pPr>
      <w:hyperlink w:anchor="_Toc501630108" w:history="1">
        <w:r w:rsidR="00E232B8" w:rsidRPr="002151BC">
          <w:rPr>
            <w:rStyle w:val="Hypertextovprepojenie"/>
          </w:rPr>
          <w:t>3.4.1.1 Príprava, schvaľovanie a implementácia národných projektov</w:t>
        </w:r>
        <w:r w:rsidR="00E232B8">
          <w:rPr>
            <w:webHidden/>
          </w:rPr>
          <w:tab/>
        </w:r>
        <w:r w:rsidR="00E232B8">
          <w:rPr>
            <w:webHidden/>
          </w:rPr>
          <w:fldChar w:fldCharType="begin"/>
        </w:r>
        <w:r w:rsidR="00E232B8">
          <w:rPr>
            <w:webHidden/>
          </w:rPr>
          <w:instrText xml:space="preserve"> PAGEREF _Toc501630108 \h </w:instrText>
        </w:r>
        <w:r w:rsidR="00E232B8">
          <w:rPr>
            <w:webHidden/>
          </w:rPr>
        </w:r>
        <w:r w:rsidR="00E232B8">
          <w:rPr>
            <w:webHidden/>
          </w:rPr>
          <w:fldChar w:fldCharType="separate"/>
        </w:r>
        <w:r w:rsidR="00E232B8">
          <w:rPr>
            <w:webHidden/>
          </w:rPr>
          <w:t>188</w:t>
        </w:r>
        <w:r w:rsidR="00E232B8">
          <w:rPr>
            <w:webHidden/>
          </w:rPr>
          <w:fldChar w:fldCharType="end"/>
        </w:r>
      </w:hyperlink>
    </w:p>
    <w:p w14:paraId="50D244D4" w14:textId="77777777" w:rsidR="00E232B8" w:rsidRDefault="0060362D">
      <w:pPr>
        <w:pStyle w:val="Obsah3"/>
        <w:rPr>
          <w:rFonts w:asciiTheme="minorHAnsi" w:eastAsiaTheme="minorEastAsia" w:hAnsiTheme="minorHAnsi" w:cstheme="minorBidi"/>
          <w:noProof/>
          <w:sz w:val="22"/>
          <w:szCs w:val="22"/>
        </w:rPr>
      </w:pPr>
      <w:hyperlink w:anchor="_Toc501630109" w:history="1">
        <w:r w:rsidR="00E232B8" w:rsidRPr="002151BC">
          <w:rPr>
            <w:rStyle w:val="Hypertextovprepojenie"/>
            <w:noProof/>
          </w:rPr>
          <w:t>3.4.2 Veľké projekty</w:t>
        </w:r>
        <w:r w:rsidR="00E232B8">
          <w:rPr>
            <w:noProof/>
            <w:webHidden/>
          </w:rPr>
          <w:tab/>
        </w:r>
        <w:r w:rsidR="00E232B8">
          <w:rPr>
            <w:noProof/>
            <w:webHidden/>
          </w:rPr>
          <w:fldChar w:fldCharType="begin"/>
        </w:r>
        <w:r w:rsidR="00E232B8">
          <w:rPr>
            <w:noProof/>
            <w:webHidden/>
          </w:rPr>
          <w:instrText xml:space="preserve"> PAGEREF _Toc501630109 \h </w:instrText>
        </w:r>
        <w:r w:rsidR="00E232B8">
          <w:rPr>
            <w:noProof/>
            <w:webHidden/>
          </w:rPr>
        </w:r>
        <w:r w:rsidR="00E232B8">
          <w:rPr>
            <w:noProof/>
            <w:webHidden/>
          </w:rPr>
          <w:fldChar w:fldCharType="separate"/>
        </w:r>
        <w:r w:rsidR="00E232B8">
          <w:rPr>
            <w:noProof/>
            <w:webHidden/>
          </w:rPr>
          <w:t>189</w:t>
        </w:r>
        <w:r w:rsidR="00E232B8">
          <w:rPr>
            <w:noProof/>
            <w:webHidden/>
          </w:rPr>
          <w:fldChar w:fldCharType="end"/>
        </w:r>
      </w:hyperlink>
    </w:p>
    <w:p w14:paraId="2DA760F1" w14:textId="77777777" w:rsidR="00E232B8" w:rsidRDefault="0060362D">
      <w:pPr>
        <w:pStyle w:val="Obsah3"/>
        <w:rPr>
          <w:rFonts w:asciiTheme="minorHAnsi" w:eastAsiaTheme="minorEastAsia" w:hAnsiTheme="minorHAnsi" w:cstheme="minorBidi"/>
          <w:noProof/>
          <w:sz w:val="22"/>
          <w:szCs w:val="22"/>
        </w:rPr>
      </w:pPr>
      <w:hyperlink w:anchor="_Toc501630110" w:history="1">
        <w:r w:rsidR="00E232B8" w:rsidRPr="002151BC">
          <w:rPr>
            <w:rStyle w:val="Hypertextovprepojenie"/>
            <w:noProof/>
          </w:rPr>
          <w:t>3.4.3 Projekty technickej pomoci</w:t>
        </w:r>
        <w:r w:rsidR="00E232B8">
          <w:rPr>
            <w:noProof/>
            <w:webHidden/>
          </w:rPr>
          <w:tab/>
        </w:r>
        <w:r w:rsidR="00E232B8">
          <w:rPr>
            <w:noProof/>
            <w:webHidden/>
          </w:rPr>
          <w:fldChar w:fldCharType="begin"/>
        </w:r>
        <w:r w:rsidR="00E232B8">
          <w:rPr>
            <w:noProof/>
            <w:webHidden/>
          </w:rPr>
          <w:instrText xml:space="preserve"> PAGEREF _Toc501630110 \h </w:instrText>
        </w:r>
        <w:r w:rsidR="00E232B8">
          <w:rPr>
            <w:noProof/>
            <w:webHidden/>
          </w:rPr>
        </w:r>
        <w:r w:rsidR="00E232B8">
          <w:rPr>
            <w:noProof/>
            <w:webHidden/>
          </w:rPr>
          <w:fldChar w:fldCharType="separate"/>
        </w:r>
        <w:r w:rsidR="00E232B8">
          <w:rPr>
            <w:noProof/>
            <w:webHidden/>
          </w:rPr>
          <w:t>192</w:t>
        </w:r>
        <w:r w:rsidR="00E232B8">
          <w:rPr>
            <w:noProof/>
            <w:webHidden/>
          </w:rPr>
          <w:fldChar w:fldCharType="end"/>
        </w:r>
      </w:hyperlink>
    </w:p>
    <w:p w14:paraId="093ED4EC" w14:textId="77777777" w:rsidR="00E232B8" w:rsidRDefault="0060362D">
      <w:pPr>
        <w:pStyle w:val="Obsah3"/>
        <w:rPr>
          <w:rFonts w:asciiTheme="minorHAnsi" w:eastAsiaTheme="minorEastAsia" w:hAnsiTheme="minorHAnsi" w:cstheme="minorBidi"/>
          <w:noProof/>
          <w:sz w:val="22"/>
          <w:szCs w:val="22"/>
        </w:rPr>
      </w:pPr>
      <w:hyperlink w:anchor="_Toc501630111" w:history="1">
        <w:r w:rsidR="00E232B8" w:rsidRPr="002151BC">
          <w:rPr>
            <w:rStyle w:val="Hypertextovprepojenie"/>
            <w:noProof/>
          </w:rPr>
          <w:t>3.4.4 Miestny rozvoj vedený komunitou</w:t>
        </w:r>
        <w:r w:rsidR="00E232B8">
          <w:rPr>
            <w:noProof/>
            <w:webHidden/>
          </w:rPr>
          <w:tab/>
        </w:r>
        <w:r w:rsidR="00E232B8">
          <w:rPr>
            <w:noProof/>
            <w:webHidden/>
          </w:rPr>
          <w:fldChar w:fldCharType="begin"/>
        </w:r>
        <w:r w:rsidR="00E232B8">
          <w:rPr>
            <w:noProof/>
            <w:webHidden/>
          </w:rPr>
          <w:instrText xml:space="preserve"> PAGEREF _Toc501630111 \h </w:instrText>
        </w:r>
        <w:r w:rsidR="00E232B8">
          <w:rPr>
            <w:noProof/>
            <w:webHidden/>
          </w:rPr>
        </w:r>
        <w:r w:rsidR="00E232B8">
          <w:rPr>
            <w:noProof/>
            <w:webHidden/>
          </w:rPr>
          <w:fldChar w:fldCharType="separate"/>
        </w:r>
        <w:r w:rsidR="00E232B8">
          <w:rPr>
            <w:noProof/>
            <w:webHidden/>
          </w:rPr>
          <w:t>193</w:t>
        </w:r>
        <w:r w:rsidR="00E232B8">
          <w:rPr>
            <w:noProof/>
            <w:webHidden/>
          </w:rPr>
          <w:fldChar w:fldCharType="end"/>
        </w:r>
      </w:hyperlink>
    </w:p>
    <w:p w14:paraId="4A7B0D44" w14:textId="77777777" w:rsidR="00E232B8" w:rsidRDefault="0060362D">
      <w:pPr>
        <w:pStyle w:val="Obsah4"/>
        <w:rPr>
          <w:rFonts w:asciiTheme="minorHAnsi" w:eastAsiaTheme="minorEastAsia" w:hAnsiTheme="minorHAnsi" w:cstheme="minorBidi"/>
        </w:rPr>
      </w:pPr>
      <w:hyperlink w:anchor="_Toc501630112" w:history="1">
        <w:r w:rsidR="00E232B8" w:rsidRPr="002151BC">
          <w:rPr>
            <w:rStyle w:val="Hypertextovprepojenie"/>
          </w:rPr>
          <w:t>3.4.4.1 Výber a realizácia projektov v rámci CLLD</w:t>
        </w:r>
        <w:r w:rsidR="00E232B8">
          <w:rPr>
            <w:webHidden/>
          </w:rPr>
          <w:tab/>
        </w:r>
        <w:r w:rsidR="00E232B8">
          <w:rPr>
            <w:webHidden/>
          </w:rPr>
          <w:fldChar w:fldCharType="begin"/>
        </w:r>
        <w:r w:rsidR="00E232B8">
          <w:rPr>
            <w:webHidden/>
          </w:rPr>
          <w:instrText xml:space="preserve"> PAGEREF _Toc501630112 \h </w:instrText>
        </w:r>
        <w:r w:rsidR="00E232B8">
          <w:rPr>
            <w:webHidden/>
          </w:rPr>
        </w:r>
        <w:r w:rsidR="00E232B8">
          <w:rPr>
            <w:webHidden/>
          </w:rPr>
          <w:fldChar w:fldCharType="separate"/>
        </w:r>
        <w:r w:rsidR="00E232B8">
          <w:rPr>
            <w:webHidden/>
          </w:rPr>
          <w:t>194</w:t>
        </w:r>
        <w:r w:rsidR="00E232B8">
          <w:rPr>
            <w:webHidden/>
          </w:rPr>
          <w:fldChar w:fldCharType="end"/>
        </w:r>
      </w:hyperlink>
    </w:p>
    <w:p w14:paraId="6DB8D7FF" w14:textId="77777777" w:rsidR="00E232B8" w:rsidRDefault="0060362D">
      <w:pPr>
        <w:pStyle w:val="Obsah3"/>
        <w:rPr>
          <w:rFonts w:asciiTheme="minorHAnsi" w:eastAsiaTheme="minorEastAsia" w:hAnsiTheme="minorHAnsi" w:cstheme="minorBidi"/>
          <w:noProof/>
          <w:sz w:val="22"/>
          <w:szCs w:val="22"/>
        </w:rPr>
      </w:pPr>
      <w:hyperlink w:anchor="_Toc501630113" w:history="1">
        <w:r w:rsidR="00E232B8" w:rsidRPr="002151BC">
          <w:rPr>
            <w:rStyle w:val="Hypertextovprepojenie"/>
            <w:noProof/>
          </w:rPr>
          <w:t>3.4.5 Globálny grant</w:t>
        </w:r>
        <w:r w:rsidR="00E232B8">
          <w:rPr>
            <w:noProof/>
            <w:webHidden/>
          </w:rPr>
          <w:tab/>
        </w:r>
        <w:r w:rsidR="00E232B8">
          <w:rPr>
            <w:noProof/>
            <w:webHidden/>
          </w:rPr>
          <w:fldChar w:fldCharType="begin"/>
        </w:r>
        <w:r w:rsidR="00E232B8">
          <w:rPr>
            <w:noProof/>
            <w:webHidden/>
          </w:rPr>
          <w:instrText xml:space="preserve"> PAGEREF _Toc501630113 \h </w:instrText>
        </w:r>
        <w:r w:rsidR="00E232B8">
          <w:rPr>
            <w:noProof/>
            <w:webHidden/>
          </w:rPr>
        </w:r>
        <w:r w:rsidR="00E232B8">
          <w:rPr>
            <w:noProof/>
            <w:webHidden/>
          </w:rPr>
          <w:fldChar w:fldCharType="separate"/>
        </w:r>
        <w:r w:rsidR="00E232B8">
          <w:rPr>
            <w:noProof/>
            <w:webHidden/>
          </w:rPr>
          <w:t>194</w:t>
        </w:r>
        <w:r w:rsidR="00E232B8">
          <w:rPr>
            <w:noProof/>
            <w:webHidden/>
          </w:rPr>
          <w:fldChar w:fldCharType="end"/>
        </w:r>
      </w:hyperlink>
    </w:p>
    <w:p w14:paraId="674339DC" w14:textId="77777777" w:rsidR="00E232B8" w:rsidRDefault="0060362D">
      <w:pPr>
        <w:pStyle w:val="Obsah4"/>
        <w:rPr>
          <w:rFonts w:asciiTheme="minorHAnsi" w:eastAsiaTheme="minorEastAsia" w:hAnsiTheme="minorHAnsi" w:cstheme="minorBidi"/>
        </w:rPr>
      </w:pPr>
      <w:hyperlink w:anchor="_Toc501630114" w:history="1">
        <w:r w:rsidR="00E232B8" w:rsidRPr="002151BC">
          <w:rPr>
            <w:rStyle w:val="Hypertextovprepojenie"/>
          </w:rPr>
          <w:t>3.4.5.1 Výber sprostredkovateľského orgánu pre globálny grant</w:t>
        </w:r>
        <w:r w:rsidR="00E232B8">
          <w:rPr>
            <w:webHidden/>
          </w:rPr>
          <w:tab/>
        </w:r>
        <w:r w:rsidR="00E232B8">
          <w:rPr>
            <w:webHidden/>
          </w:rPr>
          <w:fldChar w:fldCharType="begin"/>
        </w:r>
        <w:r w:rsidR="00E232B8">
          <w:rPr>
            <w:webHidden/>
          </w:rPr>
          <w:instrText xml:space="preserve"> PAGEREF _Toc501630114 \h </w:instrText>
        </w:r>
        <w:r w:rsidR="00E232B8">
          <w:rPr>
            <w:webHidden/>
          </w:rPr>
        </w:r>
        <w:r w:rsidR="00E232B8">
          <w:rPr>
            <w:webHidden/>
          </w:rPr>
          <w:fldChar w:fldCharType="separate"/>
        </w:r>
        <w:r w:rsidR="00E232B8">
          <w:rPr>
            <w:webHidden/>
          </w:rPr>
          <w:t>195</w:t>
        </w:r>
        <w:r w:rsidR="00E232B8">
          <w:rPr>
            <w:webHidden/>
          </w:rPr>
          <w:fldChar w:fldCharType="end"/>
        </w:r>
      </w:hyperlink>
    </w:p>
    <w:p w14:paraId="190FA03D" w14:textId="77777777" w:rsidR="00E232B8" w:rsidRDefault="0060362D">
      <w:pPr>
        <w:pStyle w:val="Obsah4"/>
        <w:rPr>
          <w:rFonts w:asciiTheme="minorHAnsi" w:eastAsiaTheme="minorEastAsia" w:hAnsiTheme="minorHAnsi" w:cstheme="minorBidi"/>
        </w:rPr>
      </w:pPr>
      <w:hyperlink w:anchor="_Toc501630115" w:history="1">
        <w:r w:rsidR="00E232B8" w:rsidRPr="002151BC">
          <w:rPr>
            <w:rStyle w:val="Hypertextovprepojenie"/>
          </w:rPr>
          <w:t>3.4.5.2 Zverejnenie výzvy a schvaľovací proces</w:t>
        </w:r>
        <w:r w:rsidR="00E232B8">
          <w:rPr>
            <w:webHidden/>
          </w:rPr>
          <w:tab/>
        </w:r>
        <w:r w:rsidR="00E232B8">
          <w:rPr>
            <w:webHidden/>
          </w:rPr>
          <w:fldChar w:fldCharType="begin"/>
        </w:r>
        <w:r w:rsidR="00E232B8">
          <w:rPr>
            <w:webHidden/>
          </w:rPr>
          <w:instrText xml:space="preserve"> PAGEREF _Toc501630115 \h </w:instrText>
        </w:r>
        <w:r w:rsidR="00E232B8">
          <w:rPr>
            <w:webHidden/>
          </w:rPr>
        </w:r>
        <w:r w:rsidR="00E232B8">
          <w:rPr>
            <w:webHidden/>
          </w:rPr>
          <w:fldChar w:fldCharType="separate"/>
        </w:r>
        <w:r w:rsidR="00E232B8">
          <w:rPr>
            <w:webHidden/>
          </w:rPr>
          <w:t>196</w:t>
        </w:r>
        <w:r w:rsidR="00E232B8">
          <w:rPr>
            <w:webHidden/>
          </w:rPr>
          <w:fldChar w:fldCharType="end"/>
        </w:r>
      </w:hyperlink>
    </w:p>
    <w:p w14:paraId="07830C8B" w14:textId="77777777" w:rsidR="00E232B8" w:rsidRDefault="0060362D">
      <w:pPr>
        <w:pStyle w:val="Obsah4"/>
        <w:rPr>
          <w:rFonts w:asciiTheme="minorHAnsi" w:eastAsiaTheme="minorEastAsia" w:hAnsiTheme="minorHAnsi" w:cstheme="minorBidi"/>
        </w:rPr>
      </w:pPr>
      <w:hyperlink w:anchor="_Toc501630116" w:history="1">
        <w:r w:rsidR="00E232B8" w:rsidRPr="002151BC">
          <w:rPr>
            <w:rStyle w:val="Hypertextovprepojenie"/>
          </w:rPr>
          <w:t>3.4.5.3 Monitorovanie a hodnotenie globálneho grantu</w:t>
        </w:r>
        <w:r w:rsidR="00E232B8">
          <w:rPr>
            <w:webHidden/>
          </w:rPr>
          <w:tab/>
        </w:r>
        <w:r w:rsidR="00E232B8">
          <w:rPr>
            <w:webHidden/>
          </w:rPr>
          <w:fldChar w:fldCharType="begin"/>
        </w:r>
        <w:r w:rsidR="00E232B8">
          <w:rPr>
            <w:webHidden/>
          </w:rPr>
          <w:instrText xml:space="preserve"> PAGEREF _Toc501630116 \h </w:instrText>
        </w:r>
        <w:r w:rsidR="00E232B8">
          <w:rPr>
            <w:webHidden/>
          </w:rPr>
        </w:r>
        <w:r w:rsidR="00E232B8">
          <w:rPr>
            <w:webHidden/>
          </w:rPr>
          <w:fldChar w:fldCharType="separate"/>
        </w:r>
        <w:r w:rsidR="00E232B8">
          <w:rPr>
            <w:webHidden/>
          </w:rPr>
          <w:t>196</w:t>
        </w:r>
        <w:r w:rsidR="00E232B8">
          <w:rPr>
            <w:webHidden/>
          </w:rPr>
          <w:fldChar w:fldCharType="end"/>
        </w:r>
      </w:hyperlink>
    </w:p>
    <w:p w14:paraId="4984F5CE" w14:textId="77777777" w:rsidR="00E232B8" w:rsidRDefault="0060362D">
      <w:pPr>
        <w:pStyle w:val="Obsah4"/>
        <w:rPr>
          <w:rFonts w:asciiTheme="minorHAnsi" w:eastAsiaTheme="minorEastAsia" w:hAnsiTheme="minorHAnsi" w:cstheme="minorBidi"/>
        </w:rPr>
      </w:pPr>
      <w:hyperlink w:anchor="_Toc501630117" w:history="1">
        <w:r w:rsidR="00E232B8" w:rsidRPr="002151BC">
          <w:rPr>
            <w:rStyle w:val="Hypertextovprepojenie"/>
          </w:rPr>
          <w:t>3.4.5.4 Kontrola projektov</w:t>
        </w:r>
        <w:r w:rsidR="00E232B8">
          <w:rPr>
            <w:webHidden/>
          </w:rPr>
          <w:tab/>
        </w:r>
        <w:r w:rsidR="00E232B8">
          <w:rPr>
            <w:webHidden/>
          </w:rPr>
          <w:fldChar w:fldCharType="begin"/>
        </w:r>
        <w:r w:rsidR="00E232B8">
          <w:rPr>
            <w:webHidden/>
          </w:rPr>
          <w:instrText xml:space="preserve"> PAGEREF _Toc501630117 \h </w:instrText>
        </w:r>
        <w:r w:rsidR="00E232B8">
          <w:rPr>
            <w:webHidden/>
          </w:rPr>
        </w:r>
        <w:r w:rsidR="00E232B8">
          <w:rPr>
            <w:webHidden/>
          </w:rPr>
          <w:fldChar w:fldCharType="separate"/>
        </w:r>
        <w:r w:rsidR="00E232B8">
          <w:rPr>
            <w:webHidden/>
          </w:rPr>
          <w:t>197</w:t>
        </w:r>
        <w:r w:rsidR="00E232B8">
          <w:rPr>
            <w:webHidden/>
          </w:rPr>
          <w:fldChar w:fldCharType="end"/>
        </w:r>
      </w:hyperlink>
    </w:p>
    <w:p w14:paraId="0CD6BA5A" w14:textId="77777777" w:rsidR="00E232B8" w:rsidRDefault="0060362D">
      <w:pPr>
        <w:pStyle w:val="Obsah3"/>
        <w:rPr>
          <w:rFonts w:asciiTheme="minorHAnsi" w:eastAsiaTheme="minorEastAsia" w:hAnsiTheme="minorHAnsi" w:cstheme="minorBidi"/>
          <w:noProof/>
          <w:sz w:val="22"/>
          <w:szCs w:val="22"/>
        </w:rPr>
      </w:pPr>
      <w:hyperlink w:anchor="_Toc501630118" w:history="1">
        <w:r w:rsidR="00E232B8" w:rsidRPr="002151BC">
          <w:rPr>
            <w:rStyle w:val="Hypertextovprepojenie"/>
            <w:noProof/>
          </w:rPr>
          <w:t>3.4.6 Spoločný akčný plán</w:t>
        </w:r>
        <w:r w:rsidR="00E232B8">
          <w:rPr>
            <w:noProof/>
            <w:webHidden/>
          </w:rPr>
          <w:tab/>
        </w:r>
        <w:r w:rsidR="00E232B8">
          <w:rPr>
            <w:noProof/>
            <w:webHidden/>
          </w:rPr>
          <w:fldChar w:fldCharType="begin"/>
        </w:r>
        <w:r w:rsidR="00E232B8">
          <w:rPr>
            <w:noProof/>
            <w:webHidden/>
          </w:rPr>
          <w:instrText xml:space="preserve"> PAGEREF _Toc501630118 \h </w:instrText>
        </w:r>
        <w:r w:rsidR="00E232B8">
          <w:rPr>
            <w:noProof/>
            <w:webHidden/>
          </w:rPr>
        </w:r>
        <w:r w:rsidR="00E232B8">
          <w:rPr>
            <w:noProof/>
            <w:webHidden/>
          </w:rPr>
          <w:fldChar w:fldCharType="separate"/>
        </w:r>
        <w:r w:rsidR="00E232B8">
          <w:rPr>
            <w:noProof/>
            <w:webHidden/>
          </w:rPr>
          <w:t>197</w:t>
        </w:r>
        <w:r w:rsidR="00E232B8">
          <w:rPr>
            <w:noProof/>
            <w:webHidden/>
          </w:rPr>
          <w:fldChar w:fldCharType="end"/>
        </w:r>
      </w:hyperlink>
    </w:p>
    <w:p w14:paraId="24B7D25C" w14:textId="77777777" w:rsidR="00E232B8" w:rsidRDefault="0060362D">
      <w:pPr>
        <w:pStyle w:val="Obsah3"/>
        <w:rPr>
          <w:rFonts w:asciiTheme="minorHAnsi" w:eastAsiaTheme="minorEastAsia" w:hAnsiTheme="minorHAnsi" w:cstheme="minorBidi"/>
          <w:noProof/>
          <w:sz w:val="22"/>
          <w:szCs w:val="22"/>
        </w:rPr>
      </w:pPr>
      <w:hyperlink w:anchor="_Toc501630119" w:history="1">
        <w:r w:rsidR="00E232B8" w:rsidRPr="002151BC">
          <w:rPr>
            <w:rStyle w:val="Hypertextovprepojenie"/>
            <w:noProof/>
          </w:rPr>
          <w:t>3.4.7 Integrovaný prístup k územnému rozvoju - regionálne integrované územné stratégie a integrované územné stratégie mestskej oblasti</w:t>
        </w:r>
        <w:r w:rsidR="00E232B8">
          <w:rPr>
            <w:noProof/>
            <w:webHidden/>
          </w:rPr>
          <w:tab/>
        </w:r>
        <w:r w:rsidR="00E232B8">
          <w:rPr>
            <w:noProof/>
            <w:webHidden/>
          </w:rPr>
          <w:fldChar w:fldCharType="begin"/>
        </w:r>
        <w:r w:rsidR="00E232B8">
          <w:rPr>
            <w:noProof/>
            <w:webHidden/>
          </w:rPr>
          <w:instrText xml:space="preserve"> PAGEREF _Toc501630119 \h </w:instrText>
        </w:r>
        <w:r w:rsidR="00E232B8">
          <w:rPr>
            <w:noProof/>
            <w:webHidden/>
          </w:rPr>
        </w:r>
        <w:r w:rsidR="00E232B8">
          <w:rPr>
            <w:noProof/>
            <w:webHidden/>
          </w:rPr>
          <w:fldChar w:fldCharType="separate"/>
        </w:r>
        <w:r w:rsidR="00E232B8">
          <w:rPr>
            <w:noProof/>
            <w:webHidden/>
          </w:rPr>
          <w:t>197</w:t>
        </w:r>
        <w:r w:rsidR="00E232B8">
          <w:rPr>
            <w:noProof/>
            <w:webHidden/>
          </w:rPr>
          <w:fldChar w:fldCharType="end"/>
        </w:r>
      </w:hyperlink>
    </w:p>
    <w:p w14:paraId="3B0DC7B9" w14:textId="77777777" w:rsidR="00E232B8" w:rsidRDefault="0060362D">
      <w:pPr>
        <w:pStyle w:val="Obsah3"/>
        <w:rPr>
          <w:rFonts w:asciiTheme="minorHAnsi" w:eastAsiaTheme="minorEastAsia" w:hAnsiTheme="minorHAnsi" w:cstheme="minorBidi"/>
          <w:noProof/>
          <w:sz w:val="22"/>
          <w:szCs w:val="22"/>
        </w:rPr>
      </w:pPr>
      <w:hyperlink w:anchor="_Toc501630120" w:history="1">
        <w:r w:rsidR="00E232B8" w:rsidRPr="002151BC">
          <w:rPr>
            <w:rStyle w:val="Hypertextovprepojenie"/>
            <w:noProof/>
          </w:rPr>
          <w:t>3.4.8 Finančné nástroje</w:t>
        </w:r>
        <w:r w:rsidR="00E232B8">
          <w:rPr>
            <w:noProof/>
            <w:webHidden/>
          </w:rPr>
          <w:tab/>
        </w:r>
        <w:r w:rsidR="00E232B8">
          <w:rPr>
            <w:noProof/>
            <w:webHidden/>
          </w:rPr>
          <w:fldChar w:fldCharType="begin"/>
        </w:r>
        <w:r w:rsidR="00E232B8">
          <w:rPr>
            <w:noProof/>
            <w:webHidden/>
          </w:rPr>
          <w:instrText xml:space="preserve"> PAGEREF _Toc501630120 \h </w:instrText>
        </w:r>
        <w:r w:rsidR="00E232B8">
          <w:rPr>
            <w:noProof/>
            <w:webHidden/>
          </w:rPr>
        </w:r>
        <w:r w:rsidR="00E232B8">
          <w:rPr>
            <w:noProof/>
            <w:webHidden/>
          </w:rPr>
          <w:fldChar w:fldCharType="separate"/>
        </w:r>
        <w:r w:rsidR="00E232B8">
          <w:rPr>
            <w:noProof/>
            <w:webHidden/>
          </w:rPr>
          <w:t>198</w:t>
        </w:r>
        <w:r w:rsidR="00E232B8">
          <w:rPr>
            <w:noProof/>
            <w:webHidden/>
          </w:rPr>
          <w:fldChar w:fldCharType="end"/>
        </w:r>
      </w:hyperlink>
    </w:p>
    <w:p w14:paraId="1AB3D5CE" w14:textId="77777777" w:rsidR="00E232B8" w:rsidRDefault="0060362D">
      <w:pPr>
        <w:pStyle w:val="Obsah2"/>
        <w:rPr>
          <w:rFonts w:asciiTheme="minorHAnsi" w:eastAsiaTheme="minorEastAsia" w:hAnsiTheme="minorHAnsi" w:cstheme="minorBidi"/>
          <w:noProof/>
          <w:sz w:val="22"/>
          <w:szCs w:val="22"/>
        </w:rPr>
      </w:pPr>
      <w:hyperlink w:anchor="_Toc501630121" w:history="1">
        <w:r w:rsidR="00E232B8" w:rsidRPr="002151BC">
          <w:rPr>
            <w:rStyle w:val="Hypertextovprepojenie"/>
            <w:noProof/>
          </w:rPr>
          <w:t>3.5 Oprávnenosť výdavkov</w:t>
        </w:r>
        <w:r w:rsidR="00E232B8">
          <w:rPr>
            <w:noProof/>
            <w:webHidden/>
          </w:rPr>
          <w:tab/>
        </w:r>
        <w:r w:rsidR="00E232B8">
          <w:rPr>
            <w:noProof/>
            <w:webHidden/>
          </w:rPr>
          <w:fldChar w:fldCharType="begin"/>
        </w:r>
        <w:r w:rsidR="00E232B8">
          <w:rPr>
            <w:noProof/>
            <w:webHidden/>
          </w:rPr>
          <w:instrText xml:space="preserve"> PAGEREF _Toc501630121 \h </w:instrText>
        </w:r>
        <w:r w:rsidR="00E232B8">
          <w:rPr>
            <w:noProof/>
            <w:webHidden/>
          </w:rPr>
        </w:r>
        <w:r w:rsidR="00E232B8">
          <w:rPr>
            <w:noProof/>
            <w:webHidden/>
          </w:rPr>
          <w:fldChar w:fldCharType="separate"/>
        </w:r>
        <w:r w:rsidR="00E232B8">
          <w:rPr>
            <w:noProof/>
            <w:webHidden/>
          </w:rPr>
          <w:t>198</w:t>
        </w:r>
        <w:r w:rsidR="00E232B8">
          <w:rPr>
            <w:noProof/>
            <w:webHidden/>
          </w:rPr>
          <w:fldChar w:fldCharType="end"/>
        </w:r>
      </w:hyperlink>
    </w:p>
    <w:p w14:paraId="001E1243" w14:textId="77777777" w:rsidR="00E232B8" w:rsidRDefault="0060362D">
      <w:pPr>
        <w:pStyle w:val="Obsah3"/>
        <w:rPr>
          <w:rFonts w:asciiTheme="minorHAnsi" w:eastAsiaTheme="minorEastAsia" w:hAnsiTheme="minorHAnsi" w:cstheme="minorBidi"/>
          <w:noProof/>
          <w:sz w:val="22"/>
          <w:szCs w:val="22"/>
        </w:rPr>
      </w:pPr>
      <w:hyperlink w:anchor="_Toc501630122" w:history="1">
        <w:r w:rsidR="00E232B8" w:rsidRPr="002151BC">
          <w:rPr>
            <w:rStyle w:val="Hypertextovprepojenie"/>
            <w:noProof/>
          </w:rPr>
          <w:t>3.5.1 Všeobecné podmienky oprávnenosti</w:t>
        </w:r>
        <w:r w:rsidR="00E232B8">
          <w:rPr>
            <w:noProof/>
            <w:webHidden/>
          </w:rPr>
          <w:tab/>
        </w:r>
        <w:r w:rsidR="00E232B8">
          <w:rPr>
            <w:noProof/>
            <w:webHidden/>
          </w:rPr>
          <w:fldChar w:fldCharType="begin"/>
        </w:r>
        <w:r w:rsidR="00E232B8">
          <w:rPr>
            <w:noProof/>
            <w:webHidden/>
          </w:rPr>
          <w:instrText xml:space="preserve"> PAGEREF _Toc501630122 \h </w:instrText>
        </w:r>
        <w:r w:rsidR="00E232B8">
          <w:rPr>
            <w:noProof/>
            <w:webHidden/>
          </w:rPr>
        </w:r>
        <w:r w:rsidR="00E232B8">
          <w:rPr>
            <w:noProof/>
            <w:webHidden/>
          </w:rPr>
          <w:fldChar w:fldCharType="separate"/>
        </w:r>
        <w:r w:rsidR="00E232B8">
          <w:rPr>
            <w:noProof/>
            <w:webHidden/>
          </w:rPr>
          <w:t>199</w:t>
        </w:r>
        <w:r w:rsidR="00E232B8">
          <w:rPr>
            <w:noProof/>
            <w:webHidden/>
          </w:rPr>
          <w:fldChar w:fldCharType="end"/>
        </w:r>
      </w:hyperlink>
    </w:p>
    <w:p w14:paraId="1CAF4053" w14:textId="77777777" w:rsidR="00E232B8" w:rsidRDefault="0060362D">
      <w:pPr>
        <w:pStyle w:val="Obsah4"/>
        <w:rPr>
          <w:rFonts w:asciiTheme="minorHAnsi" w:eastAsiaTheme="minorEastAsia" w:hAnsiTheme="minorHAnsi" w:cstheme="minorBidi"/>
        </w:rPr>
      </w:pPr>
      <w:hyperlink w:anchor="_Toc501630123" w:history="1">
        <w:r w:rsidR="00E232B8" w:rsidRPr="002151BC">
          <w:rPr>
            <w:rStyle w:val="Hypertextovprepojenie"/>
          </w:rPr>
          <w:t>3.5.1.1 Vecná oprávnenosť výdavku</w:t>
        </w:r>
        <w:r w:rsidR="00E232B8">
          <w:rPr>
            <w:webHidden/>
          </w:rPr>
          <w:tab/>
        </w:r>
        <w:r w:rsidR="00E232B8">
          <w:rPr>
            <w:webHidden/>
          </w:rPr>
          <w:fldChar w:fldCharType="begin"/>
        </w:r>
        <w:r w:rsidR="00E232B8">
          <w:rPr>
            <w:webHidden/>
          </w:rPr>
          <w:instrText xml:space="preserve"> PAGEREF _Toc501630123 \h </w:instrText>
        </w:r>
        <w:r w:rsidR="00E232B8">
          <w:rPr>
            <w:webHidden/>
          </w:rPr>
        </w:r>
        <w:r w:rsidR="00E232B8">
          <w:rPr>
            <w:webHidden/>
          </w:rPr>
          <w:fldChar w:fldCharType="separate"/>
        </w:r>
        <w:r w:rsidR="00E232B8">
          <w:rPr>
            <w:webHidden/>
          </w:rPr>
          <w:t>200</w:t>
        </w:r>
        <w:r w:rsidR="00E232B8">
          <w:rPr>
            <w:webHidden/>
          </w:rPr>
          <w:fldChar w:fldCharType="end"/>
        </w:r>
      </w:hyperlink>
    </w:p>
    <w:p w14:paraId="0A437B89" w14:textId="77777777" w:rsidR="00E232B8" w:rsidRDefault="0060362D">
      <w:pPr>
        <w:pStyle w:val="Obsah4"/>
        <w:rPr>
          <w:rFonts w:asciiTheme="minorHAnsi" w:eastAsiaTheme="minorEastAsia" w:hAnsiTheme="minorHAnsi" w:cstheme="minorBidi"/>
        </w:rPr>
      </w:pPr>
      <w:hyperlink w:anchor="_Toc501630124" w:history="1">
        <w:r w:rsidR="00E232B8" w:rsidRPr="002151BC">
          <w:rPr>
            <w:rStyle w:val="Hypertextovprepojenie"/>
          </w:rPr>
          <w:t>3.5.1.2 Časová oprávnenosť výdavku</w:t>
        </w:r>
        <w:r w:rsidR="00E232B8">
          <w:rPr>
            <w:webHidden/>
          </w:rPr>
          <w:tab/>
        </w:r>
        <w:r w:rsidR="00E232B8">
          <w:rPr>
            <w:webHidden/>
          </w:rPr>
          <w:fldChar w:fldCharType="begin"/>
        </w:r>
        <w:r w:rsidR="00E232B8">
          <w:rPr>
            <w:webHidden/>
          </w:rPr>
          <w:instrText xml:space="preserve"> PAGEREF _Toc501630124 \h </w:instrText>
        </w:r>
        <w:r w:rsidR="00E232B8">
          <w:rPr>
            <w:webHidden/>
          </w:rPr>
        </w:r>
        <w:r w:rsidR="00E232B8">
          <w:rPr>
            <w:webHidden/>
          </w:rPr>
          <w:fldChar w:fldCharType="separate"/>
        </w:r>
        <w:r w:rsidR="00E232B8">
          <w:rPr>
            <w:webHidden/>
          </w:rPr>
          <w:t>201</w:t>
        </w:r>
        <w:r w:rsidR="00E232B8">
          <w:rPr>
            <w:webHidden/>
          </w:rPr>
          <w:fldChar w:fldCharType="end"/>
        </w:r>
      </w:hyperlink>
    </w:p>
    <w:p w14:paraId="59E6EE4A" w14:textId="77777777" w:rsidR="00E232B8" w:rsidRDefault="0060362D">
      <w:pPr>
        <w:pStyle w:val="Obsah4"/>
        <w:rPr>
          <w:rFonts w:asciiTheme="minorHAnsi" w:eastAsiaTheme="minorEastAsia" w:hAnsiTheme="minorHAnsi" w:cstheme="minorBidi"/>
        </w:rPr>
      </w:pPr>
      <w:hyperlink w:anchor="_Toc501630125" w:history="1">
        <w:r w:rsidR="00E232B8" w:rsidRPr="002151BC">
          <w:rPr>
            <w:rStyle w:val="Hypertextovprepojenie"/>
          </w:rPr>
          <w:t>3.5.1.3 Územná oprávnenosť výdavku</w:t>
        </w:r>
        <w:r w:rsidR="00E232B8">
          <w:rPr>
            <w:webHidden/>
          </w:rPr>
          <w:tab/>
        </w:r>
        <w:r w:rsidR="00E232B8">
          <w:rPr>
            <w:webHidden/>
          </w:rPr>
          <w:fldChar w:fldCharType="begin"/>
        </w:r>
        <w:r w:rsidR="00E232B8">
          <w:rPr>
            <w:webHidden/>
          </w:rPr>
          <w:instrText xml:space="preserve"> PAGEREF _Toc501630125 \h </w:instrText>
        </w:r>
        <w:r w:rsidR="00E232B8">
          <w:rPr>
            <w:webHidden/>
          </w:rPr>
        </w:r>
        <w:r w:rsidR="00E232B8">
          <w:rPr>
            <w:webHidden/>
          </w:rPr>
          <w:fldChar w:fldCharType="separate"/>
        </w:r>
        <w:r w:rsidR="00E232B8">
          <w:rPr>
            <w:webHidden/>
          </w:rPr>
          <w:t>201</w:t>
        </w:r>
        <w:r w:rsidR="00E232B8">
          <w:rPr>
            <w:webHidden/>
          </w:rPr>
          <w:fldChar w:fldCharType="end"/>
        </w:r>
      </w:hyperlink>
    </w:p>
    <w:p w14:paraId="0B507D94" w14:textId="77777777" w:rsidR="00E232B8" w:rsidRDefault="0060362D">
      <w:pPr>
        <w:pStyle w:val="Obsah3"/>
        <w:rPr>
          <w:rFonts w:asciiTheme="minorHAnsi" w:eastAsiaTheme="minorEastAsia" w:hAnsiTheme="minorHAnsi" w:cstheme="minorBidi"/>
          <w:noProof/>
          <w:sz w:val="22"/>
          <w:szCs w:val="22"/>
        </w:rPr>
      </w:pPr>
      <w:hyperlink w:anchor="_Toc501630126" w:history="1">
        <w:r w:rsidR="00E232B8" w:rsidRPr="002151BC">
          <w:rPr>
            <w:rStyle w:val="Hypertextovprepojenie"/>
            <w:noProof/>
          </w:rPr>
          <w:t>3.5.2 Neoprávnené výdavky</w:t>
        </w:r>
        <w:r w:rsidR="00E232B8">
          <w:rPr>
            <w:noProof/>
            <w:webHidden/>
          </w:rPr>
          <w:tab/>
        </w:r>
        <w:r w:rsidR="00E232B8">
          <w:rPr>
            <w:noProof/>
            <w:webHidden/>
          </w:rPr>
          <w:fldChar w:fldCharType="begin"/>
        </w:r>
        <w:r w:rsidR="00E232B8">
          <w:rPr>
            <w:noProof/>
            <w:webHidden/>
          </w:rPr>
          <w:instrText xml:space="preserve"> PAGEREF _Toc501630126 \h </w:instrText>
        </w:r>
        <w:r w:rsidR="00E232B8">
          <w:rPr>
            <w:noProof/>
            <w:webHidden/>
          </w:rPr>
        </w:r>
        <w:r w:rsidR="00E232B8">
          <w:rPr>
            <w:noProof/>
            <w:webHidden/>
          </w:rPr>
          <w:fldChar w:fldCharType="separate"/>
        </w:r>
        <w:r w:rsidR="00E232B8">
          <w:rPr>
            <w:noProof/>
            <w:webHidden/>
          </w:rPr>
          <w:t>202</w:t>
        </w:r>
        <w:r w:rsidR="00E232B8">
          <w:rPr>
            <w:noProof/>
            <w:webHidden/>
          </w:rPr>
          <w:fldChar w:fldCharType="end"/>
        </w:r>
      </w:hyperlink>
    </w:p>
    <w:p w14:paraId="29EE5170" w14:textId="77777777" w:rsidR="00E232B8" w:rsidRDefault="0060362D">
      <w:pPr>
        <w:pStyle w:val="Obsah3"/>
        <w:rPr>
          <w:rFonts w:asciiTheme="minorHAnsi" w:eastAsiaTheme="minorEastAsia" w:hAnsiTheme="minorHAnsi" w:cstheme="minorBidi"/>
          <w:noProof/>
          <w:sz w:val="22"/>
          <w:szCs w:val="22"/>
        </w:rPr>
      </w:pPr>
      <w:hyperlink w:anchor="_Toc501630127" w:history="1">
        <w:r w:rsidR="00E232B8" w:rsidRPr="002151BC">
          <w:rPr>
            <w:rStyle w:val="Hypertextovprepojenie"/>
            <w:noProof/>
          </w:rPr>
          <w:t>3.5.3 Krížové financovanie</w:t>
        </w:r>
        <w:r w:rsidR="00E232B8">
          <w:rPr>
            <w:noProof/>
            <w:webHidden/>
          </w:rPr>
          <w:tab/>
        </w:r>
        <w:r w:rsidR="00E232B8">
          <w:rPr>
            <w:noProof/>
            <w:webHidden/>
          </w:rPr>
          <w:fldChar w:fldCharType="begin"/>
        </w:r>
        <w:r w:rsidR="00E232B8">
          <w:rPr>
            <w:noProof/>
            <w:webHidden/>
          </w:rPr>
          <w:instrText xml:space="preserve"> PAGEREF _Toc501630127 \h </w:instrText>
        </w:r>
        <w:r w:rsidR="00E232B8">
          <w:rPr>
            <w:noProof/>
            <w:webHidden/>
          </w:rPr>
        </w:r>
        <w:r w:rsidR="00E232B8">
          <w:rPr>
            <w:noProof/>
            <w:webHidden/>
          </w:rPr>
          <w:fldChar w:fldCharType="separate"/>
        </w:r>
        <w:r w:rsidR="00E232B8">
          <w:rPr>
            <w:noProof/>
            <w:webHidden/>
          </w:rPr>
          <w:t>204</w:t>
        </w:r>
        <w:r w:rsidR="00E232B8">
          <w:rPr>
            <w:noProof/>
            <w:webHidden/>
          </w:rPr>
          <w:fldChar w:fldCharType="end"/>
        </w:r>
      </w:hyperlink>
    </w:p>
    <w:p w14:paraId="36B6F1C8" w14:textId="77777777" w:rsidR="00E232B8" w:rsidRDefault="0060362D">
      <w:pPr>
        <w:pStyle w:val="Obsah3"/>
        <w:rPr>
          <w:rFonts w:asciiTheme="minorHAnsi" w:eastAsiaTheme="minorEastAsia" w:hAnsiTheme="minorHAnsi" w:cstheme="minorBidi"/>
          <w:noProof/>
          <w:sz w:val="22"/>
          <w:szCs w:val="22"/>
        </w:rPr>
      </w:pPr>
      <w:hyperlink w:anchor="_Toc501630128" w:history="1">
        <w:r w:rsidR="00E232B8" w:rsidRPr="002151BC">
          <w:rPr>
            <w:rStyle w:val="Hypertextovprepojenie"/>
            <w:noProof/>
          </w:rPr>
          <w:t>3.5.4 Projekty generujúce čisté príjmy</w:t>
        </w:r>
        <w:r w:rsidR="00E232B8">
          <w:rPr>
            <w:noProof/>
            <w:webHidden/>
          </w:rPr>
          <w:tab/>
        </w:r>
        <w:r w:rsidR="00E232B8">
          <w:rPr>
            <w:noProof/>
            <w:webHidden/>
          </w:rPr>
          <w:fldChar w:fldCharType="begin"/>
        </w:r>
        <w:r w:rsidR="00E232B8">
          <w:rPr>
            <w:noProof/>
            <w:webHidden/>
          </w:rPr>
          <w:instrText xml:space="preserve"> PAGEREF _Toc501630128 \h </w:instrText>
        </w:r>
        <w:r w:rsidR="00E232B8">
          <w:rPr>
            <w:noProof/>
            <w:webHidden/>
          </w:rPr>
        </w:r>
        <w:r w:rsidR="00E232B8">
          <w:rPr>
            <w:noProof/>
            <w:webHidden/>
          </w:rPr>
          <w:fldChar w:fldCharType="separate"/>
        </w:r>
        <w:r w:rsidR="00E232B8">
          <w:rPr>
            <w:noProof/>
            <w:webHidden/>
          </w:rPr>
          <w:t>204</w:t>
        </w:r>
        <w:r w:rsidR="00E232B8">
          <w:rPr>
            <w:noProof/>
            <w:webHidden/>
          </w:rPr>
          <w:fldChar w:fldCharType="end"/>
        </w:r>
      </w:hyperlink>
    </w:p>
    <w:p w14:paraId="2366530F" w14:textId="77777777" w:rsidR="00E232B8" w:rsidRDefault="0060362D">
      <w:pPr>
        <w:pStyle w:val="Obsah3"/>
        <w:rPr>
          <w:rFonts w:asciiTheme="minorHAnsi" w:eastAsiaTheme="minorEastAsia" w:hAnsiTheme="minorHAnsi" w:cstheme="minorBidi"/>
          <w:noProof/>
          <w:sz w:val="22"/>
          <w:szCs w:val="22"/>
        </w:rPr>
      </w:pPr>
      <w:hyperlink w:anchor="_Toc501630129" w:history="1">
        <w:r w:rsidR="00E232B8" w:rsidRPr="002151BC">
          <w:rPr>
            <w:rStyle w:val="Hypertextovprepojenie"/>
            <w:noProof/>
          </w:rPr>
          <w:t>3.5.5 Projekty, ktoré vytvárajú čisté príjmy v priebehu ich implementácie a na ktoré sa ustanovenia čl. 61 ods. 1 až 6  všeobecného nariadenia nevzťahujú</w:t>
        </w:r>
        <w:r w:rsidR="00E232B8">
          <w:rPr>
            <w:noProof/>
            <w:webHidden/>
          </w:rPr>
          <w:tab/>
        </w:r>
        <w:r w:rsidR="00E232B8">
          <w:rPr>
            <w:noProof/>
            <w:webHidden/>
          </w:rPr>
          <w:fldChar w:fldCharType="begin"/>
        </w:r>
        <w:r w:rsidR="00E232B8">
          <w:rPr>
            <w:noProof/>
            <w:webHidden/>
          </w:rPr>
          <w:instrText xml:space="preserve"> PAGEREF _Toc501630129 \h </w:instrText>
        </w:r>
        <w:r w:rsidR="00E232B8">
          <w:rPr>
            <w:noProof/>
            <w:webHidden/>
          </w:rPr>
        </w:r>
        <w:r w:rsidR="00E232B8">
          <w:rPr>
            <w:noProof/>
            <w:webHidden/>
          </w:rPr>
          <w:fldChar w:fldCharType="separate"/>
        </w:r>
        <w:r w:rsidR="00E232B8">
          <w:rPr>
            <w:noProof/>
            <w:webHidden/>
          </w:rPr>
          <w:t>206</w:t>
        </w:r>
        <w:r w:rsidR="00E232B8">
          <w:rPr>
            <w:noProof/>
            <w:webHidden/>
          </w:rPr>
          <w:fldChar w:fldCharType="end"/>
        </w:r>
      </w:hyperlink>
    </w:p>
    <w:p w14:paraId="278D3247" w14:textId="77777777" w:rsidR="00E232B8" w:rsidRDefault="0060362D">
      <w:pPr>
        <w:pStyle w:val="Obsah3"/>
        <w:rPr>
          <w:rFonts w:asciiTheme="minorHAnsi" w:eastAsiaTheme="minorEastAsia" w:hAnsiTheme="minorHAnsi" w:cstheme="minorBidi"/>
          <w:noProof/>
          <w:sz w:val="22"/>
          <w:szCs w:val="22"/>
        </w:rPr>
      </w:pPr>
      <w:hyperlink w:anchor="_Toc501630130" w:history="1">
        <w:r w:rsidR="00E232B8" w:rsidRPr="002151BC">
          <w:rPr>
            <w:rStyle w:val="Hypertextovprepojenie"/>
            <w:noProof/>
          </w:rPr>
          <w:t>3.5.6 Programy EÚS</w:t>
        </w:r>
        <w:r w:rsidR="00E232B8">
          <w:rPr>
            <w:noProof/>
            <w:webHidden/>
          </w:rPr>
          <w:tab/>
        </w:r>
        <w:r w:rsidR="00E232B8">
          <w:rPr>
            <w:noProof/>
            <w:webHidden/>
          </w:rPr>
          <w:fldChar w:fldCharType="begin"/>
        </w:r>
        <w:r w:rsidR="00E232B8">
          <w:rPr>
            <w:noProof/>
            <w:webHidden/>
          </w:rPr>
          <w:instrText xml:space="preserve"> PAGEREF _Toc501630130 \h </w:instrText>
        </w:r>
        <w:r w:rsidR="00E232B8">
          <w:rPr>
            <w:noProof/>
            <w:webHidden/>
          </w:rPr>
        </w:r>
        <w:r w:rsidR="00E232B8">
          <w:rPr>
            <w:noProof/>
            <w:webHidden/>
          </w:rPr>
          <w:fldChar w:fldCharType="separate"/>
        </w:r>
        <w:r w:rsidR="00E232B8">
          <w:rPr>
            <w:noProof/>
            <w:webHidden/>
          </w:rPr>
          <w:t>207</w:t>
        </w:r>
        <w:r w:rsidR="00E232B8">
          <w:rPr>
            <w:noProof/>
            <w:webHidden/>
          </w:rPr>
          <w:fldChar w:fldCharType="end"/>
        </w:r>
      </w:hyperlink>
    </w:p>
    <w:p w14:paraId="6ECEA0BC" w14:textId="77777777" w:rsidR="00E232B8" w:rsidRDefault="0060362D">
      <w:pPr>
        <w:pStyle w:val="Obsah3"/>
        <w:rPr>
          <w:rFonts w:asciiTheme="minorHAnsi" w:eastAsiaTheme="minorEastAsia" w:hAnsiTheme="minorHAnsi" w:cstheme="minorBidi"/>
          <w:noProof/>
          <w:sz w:val="22"/>
          <w:szCs w:val="22"/>
        </w:rPr>
      </w:pPr>
      <w:hyperlink w:anchor="_Toc501630131" w:history="1">
        <w:r w:rsidR="00E232B8" w:rsidRPr="002151BC">
          <w:rPr>
            <w:rStyle w:val="Hypertextovprepojenie"/>
            <w:noProof/>
          </w:rPr>
          <w:t>3.5.7 Hotovostné platby</w:t>
        </w:r>
        <w:r w:rsidR="00E232B8">
          <w:rPr>
            <w:noProof/>
            <w:webHidden/>
          </w:rPr>
          <w:tab/>
        </w:r>
        <w:r w:rsidR="00E232B8">
          <w:rPr>
            <w:noProof/>
            <w:webHidden/>
          </w:rPr>
          <w:fldChar w:fldCharType="begin"/>
        </w:r>
        <w:r w:rsidR="00E232B8">
          <w:rPr>
            <w:noProof/>
            <w:webHidden/>
          </w:rPr>
          <w:instrText xml:space="preserve"> PAGEREF _Toc501630131 \h </w:instrText>
        </w:r>
        <w:r w:rsidR="00E232B8">
          <w:rPr>
            <w:noProof/>
            <w:webHidden/>
          </w:rPr>
        </w:r>
        <w:r w:rsidR="00E232B8">
          <w:rPr>
            <w:noProof/>
            <w:webHidden/>
          </w:rPr>
          <w:fldChar w:fldCharType="separate"/>
        </w:r>
        <w:r w:rsidR="00E232B8">
          <w:rPr>
            <w:noProof/>
            <w:webHidden/>
          </w:rPr>
          <w:t>207</w:t>
        </w:r>
        <w:r w:rsidR="00E232B8">
          <w:rPr>
            <w:noProof/>
            <w:webHidden/>
          </w:rPr>
          <w:fldChar w:fldCharType="end"/>
        </w:r>
      </w:hyperlink>
    </w:p>
    <w:p w14:paraId="07F94F6D" w14:textId="77777777" w:rsidR="00E232B8" w:rsidRDefault="0060362D">
      <w:pPr>
        <w:pStyle w:val="Obsah3"/>
        <w:rPr>
          <w:rFonts w:asciiTheme="minorHAnsi" w:eastAsiaTheme="minorEastAsia" w:hAnsiTheme="minorHAnsi" w:cstheme="minorBidi"/>
          <w:noProof/>
          <w:sz w:val="22"/>
          <w:szCs w:val="22"/>
        </w:rPr>
      </w:pPr>
      <w:hyperlink w:anchor="_Toc501630132" w:history="1">
        <w:r w:rsidR="00E232B8" w:rsidRPr="002151BC">
          <w:rPr>
            <w:rStyle w:val="Hypertextovprepojenie"/>
            <w:noProof/>
          </w:rPr>
          <w:t>3.5.8 Zjednodušené vykazovanie výdavkov</w:t>
        </w:r>
        <w:r w:rsidR="00E232B8">
          <w:rPr>
            <w:noProof/>
            <w:webHidden/>
          </w:rPr>
          <w:tab/>
        </w:r>
        <w:r w:rsidR="00E232B8">
          <w:rPr>
            <w:noProof/>
            <w:webHidden/>
          </w:rPr>
          <w:fldChar w:fldCharType="begin"/>
        </w:r>
        <w:r w:rsidR="00E232B8">
          <w:rPr>
            <w:noProof/>
            <w:webHidden/>
          </w:rPr>
          <w:instrText xml:space="preserve"> PAGEREF _Toc501630132 \h </w:instrText>
        </w:r>
        <w:r w:rsidR="00E232B8">
          <w:rPr>
            <w:noProof/>
            <w:webHidden/>
          </w:rPr>
        </w:r>
        <w:r w:rsidR="00E232B8">
          <w:rPr>
            <w:noProof/>
            <w:webHidden/>
          </w:rPr>
          <w:fldChar w:fldCharType="separate"/>
        </w:r>
        <w:r w:rsidR="00E232B8">
          <w:rPr>
            <w:noProof/>
            <w:webHidden/>
          </w:rPr>
          <w:t>208</w:t>
        </w:r>
        <w:r w:rsidR="00E232B8">
          <w:rPr>
            <w:noProof/>
            <w:webHidden/>
          </w:rPr>
          <w:fldChar w:fldCharType="end"/>
        </w:r>
      </w:hyperlink>
    </w:p>
    <w:p w14:paraId="0268B748" w14:textId="77777777" w:rsidR="00E232B8" w:rsidRDefault="0060362D">
      <w:pPr>
        <w:pStyle w:val="Obsah3"/>
        <w:rPr>
          <w:rFonts w:asciiTheme="minorHAnsi" w:eastAsiaTheme="minorEastAsia" w:hAnsiTheme="minorHAnsi" w:cstheme="minorBidi"/>
          <w:noProof/>
          <w:sz w:val="22"/>
          <w:szCs w:val="22"/>
        </w:rPr>
      </w:pPr>
      <w:hyperlink w:anchor="_Toc501630133" w:history="1">
        <w:r w:rsidR="00E232B8" w:rsidRPr="002151BC">
          <w:rPr>
            <w:rStyle w:val="Hypertextovprepojenie"/>
            <w:noProof/>
          </w:rPr>
          <w:t>3.5.9 Dodatočné pravidlá zjednodušeného vykazovania výdavkov platné pre ESF a pre cieľ EÚS</w:t>
        </w:r>
        <w:r w:rsidR="00E232B8">
          <w:rPr>
            <w:noProof/>
            <w:webHidden/>
          </w:rPr>
          <w:tab/>
        </w:r>
        <w:r w:rsidR="00E232B8">
          <w:rPr>
            <w:noProof/>
            <w:webHidden/>
          </w:rPr>
          <w:fldChar w:fldCharType="begin"/>
        </w:r>
        <w:r w:rsidR="00E232B8">
          <w:rPr>
            <w:noProof/>
            <w:webHidden/>
          </w:rPr>
          <w:instrText xml:space="preserve"> PAGEREF _Toc501630133 \h </w:instrText>
        </w:r>
        <w:r w:rsidR="00E232B8">
          <w:rPr>
            <w:noProof/>
            <w:webHidden/>
          </w:rPr>
        </w:r>
        <w:r w:rsidR="00E232B8">
          <w:rPr>
            <w:noProof/>
            <w:webHidden/>
          </w:rPr>
          <w:fldChar w:fldCharType="separate"/>
        </w:r>
        <w:r w:rsidR="00E232B8">
          <w:rPr>
            <w:noProof/>
            <w:webHidden/>
          </w:rPr>
          <w:t>210</w:t>
        </w:r>
        <w:r w:rsidR="00E232B8">
          <w:rPr>
            <w:noProof/>
            <w:webHidden/>
          </w:rPr>
          <w:fldChar w:fldCharType="end"/>
        </w:r>
      </w:hyperlink>
    </w:p>
    <w:p w14:paraId="064BFEDB" w14:textId="77777777" w:rsidR="00E232B8" w:rsidRDefault="0060362D">
      <w:pPr>
        <w:pStyle w:val="Obsah3"/>
        <w:rPr>
          <w:rFonts w:asciiTheme="minorHAnsi" w:eastAsiaTheme="minorEastAsia" w:hAnsiTheme="minorHAnsi" w:cstheme="minorBidi"/>
          <w:noProof/>
          <w:sz w:val="22"/>
          <w:szCs w:val="22"/>
        </w:rPr>
      </w:pPr>
      <w:hyperlink w:anchor="_Toc501630134" w:history="1">
        <w:r w:rsidR="00E232B8" w:rsidRPr="002151BC">
          <w:rPr>
            <w:rStyle w:val="Hypertextovprepojenie"/>
            <w:noProof/>
          </w:rPr>
          <w:t>3.5.10 Pravidlá oprávnenosti v súvislosti s preddavkovými platbami</w:t>
        </w:r>
        <w:r w:rsidR="00E232B8">
          <w:rPr>
            <w:noProof/>
            <w:webHidden/>
          </w:rPr>
          <w:tab/>
        </w:r>
        <w:r w:rsidR="00E232B8">
          <w:rPr>
            <w:noProof/>
            <w:webHidden/>
          </w:rPr>
          <w:fldChar w:fldCharType="begin"/>
        </w:r>
        <w:r w:rsidR="00E232B8">
          <w:rPr>
            <w:noProof/>
            <w:webHidden/>
          </w:rPr>
          <w:instrText xml:space="preserve"> PAGEREF _Toc501630134 \h </w:instrText>
        </w:r>
        <w:r w:rsidR="00E232B8">
          <w:rPr>
            <w:noProof/>
            <w:webHidden/>
          </w:rPr>
        </w:r>
        <w:r w:rsidR="00E232B8">
          <w:rPr>
            <w:noProof/>
            <w:webHidden/>
          </w:rPr>
          <w:fldChar w:fldCharType="separate"/>
        </w:r>
        <w:r w:rsidR="00E232B8">
          <w:rPr>
            <w:noProof/>
            <w:webHidden/>
          </w:rPr>
          <w:t>211</w:t>
        </w:r>
        <w:r w:rsidR="00E232B8">
          <w:rPr>
            <w:noProof/>
            <w:webHidden/>
          </w:rPr>
          <w:fldChar w:fldCharType="end"/>
        </w:r>
      </w:hyperlink>
    </w:p>
    <w:p w14:paraId="2C7CC5CB" w14:textId="77777777" w:rsidR="00E232B8" w:rsidRDefault="0060362D">
      <w:pPr>
        <w:pStyle w:val="Obsah2"/>
        <w:rPr>
          <w:rFonts w:asciiTheme="minorHAnsi" w:eastAsiaTheme="minorEastAsia" w:hAnsiTheme="minorHAnsi" w:cstheme="minorBidi"/>
          <w:noProof/>
          <w:sz w:val="22"/>
          <w:szCs w:val="22"/>
        </w:rPr>
      </w:pPr>
      <w:hyperlink w:anchor="_Toc501630135" w:history="1">
        <w:r w:rsidR="00E232B8" w:rsidRPr="002151BC">
          <w:rPr>
            <w:rStyle w:val="Hypertextovprepojenie"/>
            <w:noProof/>
          </w:rPr>
          <w:t>3.6 Štátna pomoc</w:t>
        </w:r>
        <w:r w:rsidR="00E232B8">
          <w:rPr>
            <w:noProof/>
            <w:webHidden/>
          </w:rPr>
          <w:tab/>
        </w:r>
        <w:r w:rsidR="00E232B8">
          <w:rPr>
            <w:noProof/>
            <w:webHidden/>
          </w:rPr>
          <w:fldChar w:fldCharType="begin"/>
        </w:r>
        <w:r w:rsidR="00E232B8">
          <w:rPr>
            <w:noProof/>
            <w:webHidden/>
          </w:rPr>
          <w:instrText xml:space="preserve"> PAGEREF _Toc501630135 \h </w:instrText>
        </w:r>
        <w:r w:rsidR="00E232B8">
          <w:rPr>
            <w:noProof/>
            <w:webHidden/>
          </w:rPr>
        </w:r>
        <w:r w:rsidR="00E232B8">
          <w:rPr>
            <w:noProof/>
            <w:webHidden/>
          </w:rPr>
          <w:fldChar w:fldCharType="separate"/>
        </w:r>
        <w:r w:rsidR="00E232B8">
          <w:rPr>
            <w:noProof/>
            <w:webHidden/>
          </w:rPr>
          <w:t>212</w:t>
        </w:r>
        <w:r w:rsidR="00E232B8">
          <w:rPr>
            <w:noProof/>
            <w:webHidden/>
          </w:rPr>
          <w:fldChar w:fldCharType="end"/>
        </w:r>
      </w:hyperlink>
    </w:p>
    <w:p w14:paraId="49BCC9FD" w14:textId="77777777" w:rsidR="00E232B8" w:rsidRDefault="0060362D">
      <w:pPr>
        <w:pStyle w:val="Obsah3"/>
        <w:rPr>
          <w:rFonts w:asciiTheme="minorHAnsi" w:eastAsiaTheme="minorEastAsia" w:hAnsiTheme="minorHAnsi" w:cstheme="minorBidi"/>
          <w:noProof/>
          <w:sz w:val="22"/>
          <w:szCs w:val="22"/>
        </w:rPr>
      </w:pPr>
      <w:hyperlink w:anchor="_Toc501630136" w:history="1">
        <w:r w:rsidR="00E232B8" w:rsidRPr="002151BC">
          <w:rPr>
            <w:rStyle w:val="Hypertextovprepojenie"/>
            <w:noProof/>
          </w:rPr>
          <w:t>3.6.1 Koncept štátnej pomoci</w:t>
        </w:r>
        <w:r w:rsidR="00E232B8">
          <w:rPr>
            <w:noProof/>
            <w:webHidden/>
          </w:rPr>
          <w:tab/>
        </w:r>
        <w:r w:rsidR="00E232B8">
          <w:rPr>
            <w:noProof/>
            <w:webHidden/>
          </w:rPr>
          <w:fldChar w:fldCharType="begin"/>
        </w:r>
        <w:r w:rsidR="00E232B8">
          <w:rPr>
            <w:noProof/>
            <w:webHidden/>
          </w:rPr>
          <w:instrText xml:space="preserve"> PAGEREF _Toc501630136 \h </w:instrText>
        </w:r>
        <w:r w:rsidR="00E232B8">
          <w:rPr>
            <w:noProof/>
            <w:webHidden/>
          </w:rPr>
        </w:r>
        <w:r w:rsidR="00E232B8">
          <w:rPr>
            <w:noProof/>
            <w:webHidden/>
          </w:rPr>
          <w:fldChar w:fldCharType="separate"/>
        </w:r>
        <w:r w:rsidR="00E232B8">
          <w:rPr>
            <w:noProof/>
            <w:webHidden/>
          </w:rPr>
          <w:t>212</w:t>
        </w:r>
        <w:r w:rsidR="00E232B8">
          <w:rPr>
            <w:noProof/>
            <w:webHidden/>
          </w:rPr>
          <w:fldChar w:fldCharType="end"/>
        </w:r>
      </w:hyperlink>
    </w:p>
    <w:p w14:paraId="6A9DC3EA" w14:textId="77777777" w:rsidR="00E232B8" w:rsidRDefault="0060362D">
      <w:pPr>
        <w:pStyle w:val="Obsah3"/>
        <w:rPr>
          <w:rFonts w:asciiTheme="minorHAnsi" w:eastAsiaTheme="minorEastAsia" w:hAnsiTheme="minorHAnsi" w:cstheme="minorBidi"/>
          <w:noProof/>
          <w:sz w:val="22"/>
          <w:szCs w:val="22"/>
        </w:rPr>
      </w:pPr>
      <w:hyperlink w:anchor="_Toc501630137" w:history="1">
        <w:r w:rsidR="00E232B8" w:rsidRPr="002151BC">
          <w:rPr>
            <w:rStyle w:val="Hypertextovprepojenie"/>
            <w:noProof/>
          </w:rPr>
          <w:t>3.6.2 Služby všeobecného hospodárskeho záujmu</w:t>
        </w:r>
        <w:r w:rsidR="00E232B8">
          <w:rPr>
            <w:noProof/>
            <w:webHidden/>
          </w:rPr>
          <w:tab/>
        </w:r>
        <w:r w:rsidR="00E232B8">
          <w:rPr>
            <w:noProof/>
            <w:webHidden/>
          </w:rPr>
          <w:fldChar w:fldCharType="begin"/>
        </w:r>
        <w:r w:rsidR="00E232B8">
          <w:rPr>
            <w:noProof/>
            <w:webHidden/>
          </w:rPr>
          <w:instrText xml:space="preserve"> PAGEREF _Toc501630137 \h </w:instrText>
        </w:r>
        <w:r w:rsidR="00E232B8">
          <w:rPr>
            <w:noProof/>
            <w:webHidden/>
          </w:rPr>
        </w:r>
        <w:r w:rsidR="00E232B8">
          <w:rPr>
            <w:noProof/>
            <w:webHidden/>
          </w:rPr>
          <w:fldChar w:fldCharType="separate"/>
        </w:r>
        <w:r w:rsidR="00E232B8">
          <w:rPr>
            <w:noProof/>
            <w:webHidden/>
          </w:rPr>
          <w:t>217</w:t>
        </w:r>
        <w:r w:rsidR="00E232B8">
          <w:rPr>
            <w:noProof/>
            <w:webHidden/>
          </w:rPr>
          <w:fldChar w:fldCharType="end"/>
        </w:r>
      </w:hyperlink>
    </w:p>
    <w:p w14:paraId="4171D7CD" w14:textId="77777777" w:rsidR="00E232B8" w:rsidRDefault="0060362D">
      <w:pPr>
        <w:pStyle w:val="Obsah3"/>
        <w:rPr>
          <w:rFonts w:asciiTheme="minorHAnsi" w:eastAsiaTheme="minorEastAsia" w:hAnsiTheme="minorHAnsi" w:cstheme="minorBidi"/>
          <w:noProof/>
          <w:sz w:val="22"/>
          <w:szCs w:val="22"/>
        </w:rPr>
      </w:pPr>
      <w:hyperlink w:anchor="_Toc501630138" w:history="1">
        <w:r w:rsidR="00E232B8" w:rsidRPr="002151BC">
          <w:rPr>
            <w:rStyle w:val="Hypertextovprepojenie"/>
            <w:noProof/>
          </w:rPr>
          <w:t>3.6.3 Pomoc de minimis</w:t>
        </w:r>
        <w:r w:rsidR="00E232B8">
          <w:rPr>
            <w:noProof/>
            <w:webHidden/>
          </w:rPr>
          <w:tab/>
        </w:r>
        <w:r w:rsidR="00E232B8">
          <w:rPr>
            <w:noProof/>
            <w:webHidden/>
          </w:rPr>
          <w:fldChar w:fldCharType="begin"/>
        </w:r>
        <w:r w:rsidR="00E232B8">
          <w:rPr>
            <w:noProof/>
            <w:webHidden/>
          </w:rPr>
          <w:instrText xml:space="preserve"> PAGEREF _Toc501630138 \h </w:instrText>
        </w:r>
        <w:r w:rsidR="00E232B8">
          <w:rPr>
            <w:noProof/>
            <w:webHidden/>
          </w:rPr>
        </w:r>
        <w:r w:rsidR="00E232B8">
          <w:rPr>
            <w:noProof/>
            <w:webHidden/>
          </w:rPr>
          <w:fldChar w:fldCharType="separate"/>
        </w:r>
        <w:r w:rsidR="00E232B8">
          <w:rPr>
            <w:noProof/>
            <w:webHidden/>
          </w:rPr>
          <w:t>219</w:t>
        </w:r>
        <w:r w:rsidR="00E232B8">
          <w:rPr>
            <w:noProof/>
            <w:webHidden/>
          </w:rPr>
          <w:fldChar w:fldCharType="end"/>
        </w:r>
      </w:hyperlink>
    </w:p>
    <w:p w14:paraId="4770AD9C" w14:textId="77777777" w:rsidR="00E232B8" w:rsidRDefault="0060362D">
      <w:pPr>
        <w:pStyle w:val="Obsah3"/>
        <w:rPr>
          <w:rFonts w:asciiTheme="minorHAnsi" w:eastAsiaTheme="minorEastAsia" w:hAnsiTheme="minorHAnsi" w:cstheme="minorBidi"/>
          <w:noProof/>
          <w:sz w:val="22"/>
          <w:szCs w:val="22"/>
        </w:rPr>
      </w:pPr>
      <w:hyperlink w:anchor="_Toc501630139" w:history="1">
        <w:r w:rsidR="00E232B8" w:rsidRPr="002151BC">
          <w:rPr>
            <w:rStyle w:val="Hypertextovprepojenie"/>
            <w:noProof/>
          </w:rPr>
          <w:t>3.6.4 Test štátnej pomoci</w:t>
        </w:r>
        <w:r w:rsidR="00E232B8">
          <w:rPr>
            <w:noProof/>
            <w:webHidden/>
          </w:rPr>
          <w:tab/>
        </w:r>
        <w:r w:rsidR="00E232B8">
          <w:rPr>
            <w:noProof/>
            <w:webHidden/>
          </w:rPr>
          <w:fldChar w:fldCharType="begin"/>
        </w:r>
        <w:r w:rsidR="00E232B8">
          <w:rPr>
            <w:noProof/>
            <w:webHidden/>
          </w:rPr>
          <w:instrText xml:space="preserve"> PAGEREF _Toc501630139 \h </w:instrText>
        </w:r>
        <w:r w:rsidR="00E232B8">
          <w:rPr>
            <w:noProof/>
            <w:webHidden/>
          </w:rPr>
        </w:r>
        <w:r w:rsidR="00E232B8">
          <w:rPr>
            <w:noProof/>
            <w:webHidden/>
          </w:rPr>
          <w:fldChar w:fldCharType="separate"/>
        </w:r>
        <w:r w:rsidR="00E232B8">
          <w:rPr>
            <w:noProof/>
            <w:webHidden/>
          </w:rPr>
          <w:t>220</w:t>
        </w:r>
        <w:r w:rsidR="00E232B8">
          <w:rPr>
            <w:noProof/>
            <w:webHidden/>
          </w:rPr>
          <w:fldChar w:fldCharType="end"/>
        </w:r>
      </w:hyperlink>
    </w:p>
    <w:p w14:paraId="48C12738" w14:textId="77777777" w:rsidR="00E232B8" w:rsidRDefault="0060362D">
      <w:pPr>
        <w:pStyle w:val="Obsah2"/>
        <w:rPr>
          <w:rFonts w:asciiTheme="minorHAnsi" w:eastAsiaTheme="minorEastAsia" w:hAnsiTheme="minorHAnsi" w:cstheme="minorBidi"/>
          <w:noProof/>
          <w:sz w:val="22"/>
          <w:szCs w:val="22"/>
        </w:rPr>
      </w:pPr>
      <w:hyperlink w:anchor="_Toc501630140" w:history="1">
        <w:r w:rsidR="00E232B8" w:rsidRPr="002151BC">
          <w:rPr>
            <w:rStyle w:val="Hypertextovprepojenie"/>
            <w:noProof/>
          </w:rPr>
          <w:t>3.7 Implementácia programov Európskej územnej spolupráce</w:t>
        </w:r>
        <w:r w:rsidR="00E232B8">
          <w:rPr>
            <w:noProof/>
            <w:webHidden/>
          </w:rPr>
          <w:tab/>
        </w:r>
        <w:r w:rsidR="00E232B8">
          <w:rPr>
            <w:noProof/>
            <w:webHidden/>
          </w:rPr>
          <w:fldChar w:fldCharType="begin"/>
        </w:r>
        <w:r w:rsidR="00E232B8">
          <w:rPr>
            <w:noProof/>
            <w:webHidden/>
          </w:rPr>
          <w:instrText xml:space="preserve"> PAGEREF _Toc501630140 \h </w:instrText>
        </w:r>
        <w:r w:rsidR="00E232B8">
          <w:rPr>
            <w:noProof/>
            <w:webHidden/>
          </w:rPr>
        </w:r>
        <w:r w:rsidR="00E232B8">
          <w:rPr>
            <w:noProof/>
            <w:webHidden/>
          </w:rPr>
          <w:fldChar w:fldCharType="separate"/>
        </w:r>
        <w:r w:rsidR="00E232B8">
          <w:rPr>
            <w:noProof/>
            <w:webHidden/>
          </w:rPr>
          <w:t>223</w:t>
        </w:r>
        <w:r w:rsidR="00E232B8">
          <w:rPr>
            <w:noProof/>
            <w:webHidden/>
          </w:rPr>
          <w:fldChar w:fldCharType="end"/>
        </w:r>
      </w:hyperlink>
    </w:p>
    <w:p w14:paraId="350A5840" w14:textId="77777777" w:rsidR="00E232B8" w:rsidRDefault="0060362D">
      <w:pPr>
        <w:pStyle w:val="Obsah1"/>
        <w:rPr>
          <w:rFonts w:asciiTheme="minorHAnsi" w:eastAsiaTheme="minorEastAsia" w:hAnsiTheme="minorHAnsi" w:cstheme="minorBidi"/>
          <w:b w:val="0"/>
          <w:sz w:val="22"/>
          <w:szCs w:val="22"/>
        </w:rPr>
      </w:pPr>
      <w:hyperlink w:anchor="_Toc501630141" w:history="1">
        <w:r w:rsidR="00E232B8" w:rsidRPr="002151BC">
          <w:rPr>
            <w:rStyle w:val="Hypertextovprepojenie"/>
          </w:rPr>
          <w:t>Časť 4 Monitorovanie a hodnotenie EŠIF</w:t>
        </w:r>
        <w:r w:rsidR="00E232B8">
          <w:rPr>
            <w:webHidden/>
          </w:rPr>
          <w:tab/>
        </w:r>
        <w:r w:rsidR="00E232B8">
          <w:rPr>
            <w:webHidden/>
          </w:rPr>
          <w:fldChar w:fldCharType="begin"/>
        </w:r>
        <w:r w:rsidR="00E232B8">
          <w:rPr>
            <w:webHidden/>
          </w:rPr>
          <w:instrText xml:space="preserve"> PAGEREF _Toc501630141 \h </w:instrText>
        </w:r>
        <w:r w:rsidR="00E232B8">
          <w:rPr>
            <w:webHidden/>
          </w:rPr>
        </w:r>
        <w:r w:rsidR="00E232B8">
          <w:rPr>
            <w:webHidden/>
          </w:rPr>
          <w:fldChar w:fldCharType="separate"/>
        </w:r>
        <w:r w:rsidR="00E232B8">
          <w:rPr>
            <w:webHidden/>
          </w:rPr>
          <w:t>226</w:t>
        </w:r>
        <w:r w:rsidR="00E232B8">
          <w:rPr>
            <w:webHidden/>
          </w:rPr>
          <w:fldChar w:fldCharType="end"/>
        </w:r>
      </w:hyperlink>
    </w:p>
    <w:p w14:paraId="68E85EF9" w14:textId="77777777" w:rsidR="00E232B8" w:rsidRDefault="0060362D">
      <w:pPr>
        <w:pStyle w:val="Obsah2"/>
        <w:rPr>
          <w:rFonts w:asciiTheme="minorHAnsi" w:eastAsiaTheme="minorEastAsia" w:hAnsiTheme="minorHAnsi" w:cstheme="minorBidi"/>
          <w:noProof/>
          <w:sz w:val="22"/>
          <w:szCs w:val="22"/>
        </w:rPr>
      </w:pPr>
      <w:hyperlink w:anchor="_Toc501630142" w:history="1">
        <w:r w:rsidR="00E232B8" w:rsidRPr="002151BC">
          <w:rPr>
            <w:rStyle w:val="Hypertextovprepojenie"/>
            <w:noProof/>
          </w:rPr>
          <w:t>4.1 Monitorovanie EŠIF</w:t>
        </w:r>
        <w:r w:rsidR="00E232B8">
          <w:rPr>
            <w:noProof/>
            <w:webHidden/>
          </w:rPr>
          <w:tab/>
        </w:r>
        <w:r w:rsidR="00E232B8">
          <w:rPr>
            <w:noProof/>
            <w:webHidden/>
          </w:rPr>
          <w:fldChar w:fldCharType="begin"/>
        </w:r>
        <w:r w:rsidR="00E232B8">
          <w:rPr>
            <w:noProof/>
            <w:webHidden/>
          </w:rPr>
          <w:instrText xml:space="preserve"> PAGEREF _Toc501630142 \h </w:instrText>
        </w:r>
        <w:r w:rsidR="00E232B8">
          <w:rPr>
            <w:noProof/>
            <w:webHidden/>
          </w:rPr>
        </w:r>
        <w:r w:rsidR="00E232B8">
          <w:rPr>
            <w:noProof/>
            <w:webHidden/>
          </w:rPr>
          <w:fldChar w:fldCharType="separate"/>
        </w:r>
        <w:r w:rsidR="00E232B8">
          <w:rPr>
            <w:noProof/>
            <w:webHidden/>
          </w:rPr>
          <w:t>226</w:t>
        </w:r>
        <w:r w:rsidR="00E232B8">
          <w:rPr>
            <w:noProof/>
            <w:webHidden/>
          </w:rPr>
          <w:fldChar w:fldCharType="end"/>
        </w:r>
      </w:hyperlink>
    </w:p>
    <w:p w14:paraId="35905A7D" w14:textId="77777777" w:rsidR="00E232B8" w:rsidRDefault="0060362D">
      <w:pPr>
        <w:pStyle w:val="Obsah3"/>
        <w:rPr>
          <w:rFonts w:asciiTheme="minorHAnsi" w:eastAsiaTheme="minorEastAsia" w:hAnsiTheme="minorHAnsi" w:cstheme="minorBidi"/>
          <w:noProof/>
          <w:sz w:val="22"/>
          <w:szCs w:val="22"/>
        </w:rPr>
      </w:pPr>
      <w:hyperlink w:anchor="_Toc501630143" w:history="1">
        <w:r w:rsidR="00E232B8" w:rsidRPr="002151BC">
          <w:rPr>
            <w:rStyle w:val="Hypertextovprepojenie"/>
            <w:noProof/>
          </w:rPr>
          <w:t>4.1.1 Monitorovanie EŠIF</w:t>
        </w:r>
        <w:r w:rsidR="00E232B8">
          <w:rPr>
            <w:noProof/>
            <w:webHidden/>
          </w:rPr>
          <w:tab/>
        </w:r>
        <w:r w:rsidR="00E232B8">
          <w:rPr>
            <w:noProof/>
            <w:webHidden/>
          </w:rPr>
          <w:fldChar w:fldCharType="begin"/>
        </w:r>
        <w:r w:rsidR="00E232B8">
          <w:rPr>
            <w:noProof/>
            <w:webHidden/>
          </w:rPr>
          <w:instrText xml:space="preserve"> PAGEREF _Toc501630143 \h </w:instrText>
        </w:r>
        <w:r w:rsidR="00E232B8">
          <w:rPr>
            <w:noProof/>
            <w:webHidden/>
          </w:rPr>
        </w:r>
        <w:r w:rsidR="00E232B8">
          <w:rPr>
            <w:noProof/>
            <w:webHidden/>
          </w:rPr>
          <w:fldChar w:fldCharType="separate"/>
        </w:r>
        <w:r w:rsidR="00E232B8">
          <w:rPr>
            <w:noProof/>
            <w:webHidden/>
          </w:rPr>
          <w:t>227</w:t>
        </w:r>
        <w:r w:rsidR="00E232B8">
          <w:rPr>
            <w:noProof/>
            <w:webHidden/>
          </w:rPr>
          <w:fldChar w:fldCharType="end"/>
        </w:r>
      </w:hyperlink>
    </w:p>
    <w:p w14:paraId="7DEC33B0" w14:textId="77777777" w:rsidR="00E232B8" w:rsidRDefault="0060362D">
      <w:pPr>
        <w:pStyle w:val="Obsah4"/>
        <w:rPr>
          <w:rFonts w:asciiTheme="minorHAnsi" w:eastAsiaTheme="minorEastAsia" w:hAnsiTheme="minorHAnsi" w:cstheme="minorBidi"/>
        </w:rPr>
      </w:pPr>
      <w:hyperlink w:anchor="_Toc501630144" w:history="1">
        <w:r w:rsidR="00E232B8" w:rsidRPr="002151BC">
          <w:rPr>
            <w:rStyle w:val="Hypertextovprepojenie"/>
          </w:rPr>
          <w:t xml:space="preserve">4.1.1.1 </w:t>
        </w:r>
        <w:r w:rsidR="00E232B8" w:rsidRPr="002151BC">
          <w:rPr>
            <w:rStyle w:val="Hypertextovprepojenie"/>
            <w:lang w:eastAsia="en-US"/>
          </w:rPr>
          <w:t xml:space="preserve"> Informácia o stave implementácie EŠIF</w:t>
        </w:r>
        <w:r w:rsidR="00E232B8">
          <w:rPr>
            <w:webHidden/>
          </w:rPr>
          <w:tab/>
        </w:r>
        <w:r w:rsidR="00E232B8">
          <w:rPr>
            <w:webHidden/>
          </w:rPr>
          <w:fldChar w:fldCharType="begin"/>
        </w:r>
        <w:r w:rsidR="00E232B8">
          <w:rPr>
            <w:webHidden/>
          </w:rPr>
          <w:instrText xml:space="preserve"> PAGEREF _Toc501630144 \h </w:instrText>
        </w:r>
        <w:r w:rsidR="00E232B8">
          <w:rPr>
            <w:webHidden/>
          </w:rPr>
        </w:r>
        <w:r w:rsidR="00E232B8">
          <w:rPr>
            <w:webHidden/>
          </w:rPr>
          <w:fldChar w:fldCharType="separate"/>
        </w:r>
        <w:r w:rsidR="00E232B8">
          <w:rPr>
            <w:webHidden/>
          </w:rPr>
          <w:t>227</w:t>
        </w:r>
        <w:r w:rsidR="00E232B8">
          <w:rPr>
            <w:webHidden/>
          </w:rPr>
          <w:fldChar w:fldCharType="end"/>
        </w:r>
      </w:hyperlink>
    </w:p>
    <w:p w14:paraId="6987F5AC" w14:textId="77777777" w:rsidR="00E232B8" w:rsidRDefault="0060362D">
      <w:pPr>
        <w:pStyle w:val="Obsah4"/>
        <w:rPr>
          <w:rFonts w:asciiTheme="minorHAnsi" w:eastAsiaTheme="minorEastAsia" w:hAnsiTheme="minorHAnsi" w:cstheme="minorBidi"/>
        </w:rPr>
      </w:pPr>
      <w:hyperlink w:anchor="_Toc501630145" w:history="1">
        <w:r w:rsidR="00E232B8" w:rsidRPr="002151BC">
          <w:rPr>
            <w:rStyle w:val="Hypertextovprepojenie"/>
          </w:rPr>
          <w:t>4.1.1.2 Monitorovanie výkonnostného rámca</w:t>
        </w:r>
        <w:r w:rsidR="00E232B8">
          <w:rPr>
            <w:webHidden/>
          </w:rPr>
          <w:tab/>
        </w:r>
        <w:r w:rsidR="00E232B8">
          <w:rPr>
            <w:webHidden/>
          </w:rPr>
          <w:fldChar w:fldCharType="begin"/>
        </w:r>
        <w:r w:rsidR="00E232B8">
          <w:rPr>
            <w:webHidden/>
          </w:rPr>
          <w:instrText xml:space="preserve"> PAGEREF _Toc501630145 \h </w:instrText>
        </w:r>
        <w:r w:rsidR="00E232B8">
          <w:rPr>
            <w:webHidden/>
          </w:rPr>
        </w:r>
        <w:r w:rsidR="00E232B8">
          <w:rPr>
            <w:webHidden/>
          </w:rPr>
          <w:fldChar w:fldCharType="separate"/>
        </w:r>
        <w:r w:rsidR="00E232B8">
          <w:rPr>
            <w:webHidden/>
          </w:rPr>
          <w:t>227</w:t>
        </w:r>
        <w:r w:rsidR="00E232B8">
          <w:rPr>
            <w:webHidden/>
          </w:rPr>
          <w:fldChar w:fldCharType="end"/>
        </w:r>
      </w:hyperlink>
    </w:p>
    <w:p w14:paraId="1FE8C8BD" w14:textId="77777777" w:rsidR="00E232B8" w:rsidRDefault="0060362D">
      <w:pPr>
        <w:pStyle w:val="Obsah4"/>
        <w:rPr>
          <w:rFonts w:asciiTheme="minorHAnsi" w:eastAsiaTheme="minorEastAsia" w:hAnsiTheme="minorHAnsi" w:cstheme="minorBidi"/>
        </w:rPr>
      </w:pPr>
      <w:hyperlink w:anchor="_Toc501630146" w:history="1">
        <w:r w:rsidR="00E232B8" w:rsidRPr="002151BC">
          <w:rPr>
            <w:rStyle w:val="Hypertextovprepojenie"/>
          </w:rPr>
          <w:t>4.1.1.3 Správa o pokroku</w:t>
        </w:r>
        <w:r w:rsidR="00E232B8">
          <w:rPr>
            <w:webHidden/>
          </w:rPr>
          <w:tab/>
        </w:r>
        <w:r w:rsidR="00E232B8">
          <w:rPr>
            <w:webHidden/>
          </w:rPr>
          <w:fldChar w:fldCharType="begin"/>
        </w:r>
        <w:r w:rsidR="00E232B8">
          <w:rPr>
            <w:webHidden/>
          </w:rPr>
          <w:instrText xml:space="preserve"> PAGEREF _Toc501630146 \h </w:instrText>
        </w:r>
        <w:r w:rsidR="00E232B8">
          <w:rPr>
            <w:webHidden/>
          </w:rPr>
        </w:r>
        <w:r w:rsidR="00E232B8">
          <w:rPr>
            <w:webHidden/>
          </w:rPr>
          <w:fldChar w:fldCharType="separate"/>
        </w:r>
        <w:r w:rsidR="00E232B8">
          <w:rPr>
            <w:webHidden/>
          </w:rPr>
          <w:t>228</w:t>
        </w:r>
        <w:r w:rsidR="00E232B8">
          <w:rPr>
            <w:webHidden/>
          </w:rPr>
          <w:fldChar w:fldCharType="end"/>
        </w:r>
      </w:hyperlink>
    </w:p>
    <w:p w14:paraId="4069BACD" w14:textId="77777777" w:rsidR="00E232B8" w:rsidRDefault="0060362D">
      <w:pPr>
        <w:pStyle w:val="Obsah4"/>
        <w:rPr>
          <w:rFonts w:asciiTheme="minorHAnsi" w:eastAsiaTheme="minorEastAsia" w:hAnsiTheme="minorHAnsi" w:cstheme="minorBidi"/>
        </w:rPr>
      </w:pPr>
      <w:hyperlink w:anchor="_Toc501630147" w:history="1">
        <w:r w:rsidR="00E232B8" w:rsidRPr="002151BC">
          <w:rPr>
            <w:rStyle w:val="Hypertextovprepojenie"/>
          </w:rPr>
          <w:t>4.1.1.4 Informácia o stave administratívnych kapacít subjektov zapojených do implementácie, riadenia a kontroly EŠIF</w:t>
        </w:r>
        <w:r w:rsidR="00E232B8">
          <w:rPr>
            <w:webHidden/>
          </w:rPr>
          <w:tab/>
        </w:r>
        <w:r w:rsidR="00E232B8">
          <w:rPr>
            <w:webHidden/>
          </w:rPr>
          <w:fldChar w:fldCharType="begin"/>
        </w:r>
        <w:r w:rsidR="00E232B8">
          <w:rPr>
            <w:webHidden/>
          </w:rPr>
          <w:instrText xml:space="preserve"> PAGEREF _Toc501630147 \h </w:instrText>
        </w:r>
        <w:r w:rsidR="00E232B8">
          <w:rPr>
            <w:webHidden/>
          </w:rPr>
        </w:r>
        <w:r w:rsidR="00E232B8">
          <w:rPr>
            <w:webHidden/>
          </w:rPr>
          <w:fldChar w:fldCharType="separate"/>
        </w:r>
        <w:r w:rsidR="00E232B8">
          <w:rPr>
            <w:webHidden/>
          </w:rPr>
          <w:t>228</w:t>
        </w:r>
        <w:r w:rsidR="00E232B8">
          <w:rPr>
            <w:webHidden/>
          </w:rPr>
          <w:fldChar w:fldCharType="end"/>
        </w:r>
      </w:hyperlink>
    </w:p>
    <w:p w14:paraId="33301088" w14:textId="77777777" w:rsidR="00E232B8" w:rsidRDefault="0060362D">
      <w:pPr>
        <w:pStyle w:val="Obsah4"/>
        <w:rPr>
          <w:rFonts w:asciiTheme="minorHAnsi" w:eastAsiaTheme="minorEastAsia" w:hAnsiTheme="minorHAnsi" w:cstheme="minorBidi"/>
        </w:rPr>
      </w:pPr>
      <w:hyperlink w:anchor="_Toc501630148" w:history="1">
        <w:r w:rsidR="00E232B8" w:rsidRPr="002151BC">
          <w:rPr>
            <w:rStyle w:val="Hypertextovprepojenie"/>
          </w:rPr>
          <w:t>4.1.1.5 Monitorovanie plnenia akčných plánov na splnenie ex ante kondicionalít</w:t>
        </w:r>
        <w:r w:rsidR="00E232B8">
          <w:rPr>
            <w:webHidden/>
          </w:rPr>
          <w:tab/>
        </w:r>
        <w:r w:rsidR="00E232B8">
          <w:rPr>
            <w:webHidden/>
          </w:rPr>
          <w:fldChar w:fldCharType="begin"/>
        </w:r>
        <w:r w:rsidR="00E232B8">
          <w:rPr>
            <w:webHidden/>
          </w:rPr>
          <w:instrText xml:space="preserve"> PAGEREF _Toc501630148 \h </w:instrText>
        </w:r>
        <w:r w:rsidR="00E232B8">
          <w:rPr>
            <w:webHidden/>
          </w:rPr>
        </w:r>
        <w:r w:rsidR="00E232B8">
          <w:rPr>
            <w:webHidden/>
          </w:rPr>
          <w:fldChar w:fldCharType="separate"/>
        </w:r>
        <w:r w:rsidR="00E232B8">
          <w:rPr>
            <w:webHidden/>
          </w:rPr>
          <w:t>228</w:t>
        </w:r>
        <w:r w:rsidR="00E232B8">
          <w:rPr>
            <w:webHidden/>
          </w:rPr>
          <w:fldChar w:fldCharType="end"/>
        </w:r>
      </w:hyperlink>
    </w:p>
    <w:p w14:paraId="55F704E0" w14:textId="77777777" w:rsidR="00E232B8" w:rsidRDefault="0060362D">
      <w:pPr>
        <w:pStyle w:val="Obsah4"/>
        <w:rPr>
          <w:rFonts w:asciiTheme="minorHAnsi" w:eastAsiaTheme="minorEastAsia" w:hAnsiTheme="minorHAnsi" w:cstheme="minorBidi"/>
        </w:rPr>
      </w:pPr>
      <w:hyperlink w:anchor="_Toc501630149" w:history="1">
        <w:r w:rsidR="00E232B8" w:rsidRPr="002151BC">
          <w:rPr>
            <w:rStyle w:val="Hypertextovprepojenie"/>
          </w:rPr>
          <w:t>4.1.1.6 Monitorovanie plnenia Záväzných plánov</w:t>
        </w:r>
        <w:r w:rsidR="00E232B8">
          <w:rPr>
            <w:webHidden/>
          </w:rPr>
          <w:tab/>
        </w:r>
        <w:r w:rsidR="00E232B8">
          <w:rPr>
            <w:webHidden/>
          </w:rPr>
          <w:fldChar w:fldCharType="begin"/>
        </w:r>
        <w:r w:rsidR="00E232B8">
          <w:rPr>
            <w:webHidden/>
          </w:rPr>
          <w:instrText xml:space="preserve"> PAGEREF _Toc501630149 \h </w:instrText>
        </w:r>
        <w:r w:rsidR="00E232B8">
          <w:rPr>
            <w:webHidden/>
          </w:rPr>
        </w:r>
        <w:r w:rsidR="00E232B8">
          <w:rPr>
            <w:webHidden/>
          </w:rPr>
          <w:fldChar w:fldCharType="separate"/>
        </w:r>
        <w:r w:rsidR="00E232B8">
          <w:rPr>
            <w:webHidden/>
          </w:rPr>
          <w:t>228</w:t>
        </w:r>
        <w:r w:rsidR="00E232B8">
          <w:rPr>
            <w:webHidden/>
          </w:rPr>
          <w:fldChar w:fldCharType="end"/>
        </w:r>
      </w:hyperlink>
    </w:p>
    <w:p w14:paraId="0082EC8E" w14:textId="77777777" w:rsidR="00E232B8" w:rsidRDefault="0060362D">
      <w:pPr>
        <w:pStyle w:val="Obsah3"/>
        <w:rPr>
          <w:rFonts w:asciiTheme="minorHAnsi" w:eastAsiaTheme="minorEastAsia" w:hAnsiTheme="minorHAnsi" w:cstheme="minorBidi"/>
          <w:noProof/>
          <w:sz w:val="22"/>
          <w:szCs w:val="22"/>
        </w:rPr>
      </w:pPr>
      <w:hyperlink w:anchor="_Toc501630150" w:history="1">
        <w:r w:rsidR="00E232B8" w:rsidRPr="002151BC">
          <w:rPr>
            <w:rStyle w:val="Hypertextovprepojenie"/>
            <w:noProof/>
          </w:rPr>
          <w:t>4.1.2 Monitorovanie na úrovni operačného programu</w:t>
        </w:r>
        <w:r w:rsidR="00E232B8">
          <w:rPr>
            <w:noProof/>
            <w:webHidden/>
          </w:rPr>
          <w:tab/>
        </w:r>
        <w:r w:rsidR="00E232B8">
          <w:rPr>
            <w:noProof/>
            <w:webHidden/>
          </w:rPr>
          <w:fldChar w:fldCharType="begin"/>
        </w:r>
        <w:r w:rsidR="00E232B8">
          <w:rPr>
            <w:noProof/>
            <w:webHidden/>
          </w:rPr>
          <w:instrText xml:space="preserve"> PAGEREF _Toc501630150 \h </w:instrText>
        </w:r>
        <w:r w:rsidR="00E232B8">
          <w:rPr>
            <w:noProof/>
            <w:webHidden/>
          </w:rPr>
        </w:r>
        <w:r w:rsidR="00E232B8">
          <w:rPr>
            <w:noProof/>
            <w:webHidden/>
          </w:rPr>
          <w:fldChar w:fldCharType="separate"/>
        </w:r>
        <w:r w:rsidR="00E232B8">
          <w:rPr>
            <w:noProof/>
            <w:webHidden/>
          </w:rPr>
          <w:t>229</w:t>
        </w:r>
        <w:r w:rsidR="00E232B8">
          <w:rPr>
            <w:noProof/>
            <w:webHidden/>
          </w:rPr>
          <w:fldChar w:fldCharType="end"/>
        </w:r>
      </w:hyperlink>
    </w:p>
    <w:p w14:paraId="39B9BBA2" w14:textId="77777777" w:rsidR="00E232B8" w:rsidRDefault="0060362D">
      <w:pPr>
        <w:pStyle w:val="Obsah4"/>
        <w:rPr>
          <w:rFonts w:asciiTheme="minorHAnsi" w:eastAsiaTheme="minorEastAsia" w:hAnsiTheme="minorHAnsi" w:cstheme="minorBidi"/>
        </w:rPr>
      </w:pPr>
      <w:hyperlink w:anchor="_Toc501630151" w:history="1">
        <w:r w:rsidR="00E232B8" w:rsidRPr="002151BC">
          <w:rPr>
            <w:rStyle w:val="Hypertextovprepojenie"/>
          </w:rPr>
          <w:t>4.1.2.1 Výročné hodnotiace zasadnutie</w:t>
        </w:r>
        <w:r w:rsidR="00E232B8">
          <w:rPr>
            <w:webHidden/>
          </w:rPr>
          <w:tab/>
        </w:r>
        <w:r w:rsidR="00E232B8">
          <w:rPr>
            <w:webHidden/>
          </w:rPr>
          <w:fldChar w:fldCharType="begin"/>
        </w:r>
        <w:r w:rsidR="00E232B8">
          <w:rPr>
            <w:webHidden/>
          </w:rPr>
          <w:instrText xml:space="preserve"> PAGEREF _Toc501630151 \h </w:instrText>
        </w:r>
        <w:r w:rsidR="00E232B8">
          <w:rPr>
            <w:webHidden/>
          </w:rPr>
        </w:r>
        <w:r w:rsidR="00E232B8">
          <w:rPr>
            <w:webHidden/>
          </w:rPr>
          <w:fldChar w:fldCharType="separate"/>
        </w:r>
        <w:r w:rsidR="00E232B8">
          <w:rPr>
            <w:webHidden/>
          </w:rPr>
          <w:t>229</w:t>
        </w:r>
        <w:r w:rsidR="00E232B8">
          <w:rPr>
            <w:webHidden/>
          </w:rPr>
          <w:fldChar w:fldCharType="end"/>
        </w:r>
      </w:hyperlink>
    </w:p>
    <w:p w14:paraId="25600A99" w14:textId="77777777" w:rsidR="00E232B8" w:rsidRDefault="0060362D">
      <w:pPr>
        <w:pStyle w:val="Obsah4"/>
        <w:rPr>
          <w:rFonts w:asciiTheme="minorHAnsi" w:eastAsiaTheme="minorEastAsia" w:hAnsiTheme="minorHAnsi" w:cstheme="minorBidi"/>
        </w:rPr>
      </w:pPr>
      <w:hyperlink w:anchor="_Toc501630152" w:history="1">
        <w:r w:rsidR="00E232B8" w:rsidRPr="002151BC">
          <w:rPr>
            <w:rStyle w:val="Hypertextovprepojenie"/>
          </w:rPr>
          <w:t>4.1.2.2 Výročná správa/záverečná správa o vykonávaní operačného programu</w:t>
        </w:r>
        <w:r w:rsidR="00E232B8">
          <w:rPr>
            <w:webHidden/>
          </w:rPr>
          <w:tab/>
        </w:r>
        <w:r w:rsidR="00E232B8">
          <w:rPr>
            <w:webHidden/>
          </w:rPr>
          <w:fldChar w:fldCharType="begin"/>
        </w:r>
        <w:r w:rsidR="00E232B8">
          <w:rPr>
            <w:webHidden/>
          </w:rPr>
          <w:instrText xml:space="preserve"> PAGEREF _Toc501630152 \h </w:instrText>
        </w:r>
        <w:r w:rsidR="00E232B8">
          <w:rPr>
            <w:webHidden/>
          </w:rPr>
        </w:r>
        <w:r w:rsidR="00E232B8">
          <w:rPr>
            <w:webHidden/>
          </w:rPr>
          <w:fldChar w:fldCharType="separate"/>
        </w:r>
        <w:r w:rsidR="00E232B8">
          <w:rPr>
            <w:webHidden/>
          </w:rPr>
          <w:t>229</w:t>
        </w:r>
        <w:r w:rsidR="00E232B8">
          <w:rPr>
            <w:webHidden/>
          </w:rPr>
          <w:fldChar w:fldCharType="end"/>
        </w:r>
      </w:hyperlink>
    </w:p>
    <w:p w14:paraId="70835F3A" w14:textId="77777777" w:rsidR="00E232B8" w:rsidRDefault="0060362D">
      <w:pPr>
        <w:pStyle w:val="Obsah4"/>
        <w:rPr>
          <w:rFonts w:asciiTheme="minorHAnsi" w:eastAsiaTheme="minorEastAsia" w:hAnsiTheme="minorHAnsi" w:cstheme="minorBidi"/>
        </w:rPr>
      </w:pPr>
      <w:hyperlink w:anchor="_Toc501630153" w:history="1">
        <w:r w:rsidR="00E232B8" w:rsidRPr="002151BC">
          <w:rPr>
            <w:rStyle w:val="Hypertextovprepojenie"/>
          </w:rPr>
          <w:t>4.1.2.3 Monitorovanie výkonnostného rámca  na úrovni operačných programov</w:t>
        </w:r>
        <w:r w:rsidR="00E232B8">
          <w:rPr>
            <w:webHidden/>
          </w:rPr>
          <w:tab/>
        </w:r>
        <w:r w:rsidR="00E232B8">
          <w:rPr>
            <w:webHidden/>
          </w:rPr>
          <w:fldChar w:fldCharType="begin"/>
        </w:r>
        <w:r w:rsidR="00E232B8">
          <w:rPr>
            <w:webHidden/>
          </w:rPr>
          <w:instrText xml:space="preserve"> PAGEREF _Toc501630153 \h </w:instrText>
        </w:r>
        <w:r w:rsidR="00E232B8">
          <w:rPr>
            <w:webHidden/>
          </w:rPr>
        </w:r>
        <w:r w:rsidR="00E232B8">
          <w:rPr>
            <w:webHidden/>
          </w:rPr>
          <w:fldChar w:fldCharType="separate"/>
        </w:r>
        <w:r w:rsidR="00E232B8">
          <w:rPr>
            <w:webHidden/>
          </w:rPr>
          <w:t>231</w:t>
        </w:r>
        <w:r w:rsidR="00E232B8">
          <w:rPr>
            <w:webHidden/>
          </w:rPr>
          <w:fldChar w:fldCharType="end"/>
        </w:r>
      </w:hyperlink>
    </w:p>
    <w:p w14:paraId="7AE9377E" w14:textId="77777777" w:rsidR="00E232B8" w:rsidRDefault="0060362D">
      <w:pPr>
        <w:pStyle w:val="Obsah4"/>
        <w:rPr>
          <w:rFonts w:asciiTheme="minorHAnsi" w:eastAsiaTheme="minorEastAsia" w:hAnsiTheme="minorHAnsi" w:cstheme="minorBidi"/>
        </w:rPr>
      </w:pPr>
      <w:hyperlink w:anchor="_Toc501630154" w:history="1">
        <w:r w:rsidR="00E232B8" w:rsidRPr="002151BC">
          <w:rPr>
            <w:rStyle w:val="Hypertextovprepojenie"/>
          </w:rPr>
          <w:t>4.1.2.4 Záväzný plán operačného programu</w:t>
        </w:r>
        <w:r w:rsidR="00E232B8">
          <w:rPr>
            <w:webHidden/>
          </w:rPr>
          <w:tab/>
        </w:r>
        <w:r w:rsidR="00E232B8">
          <w:rPr>
            <w:webHidden/>
          </w:rPr>
          <w:fldChar w:fldCharType="begin"/>
        </w:r>
        <w:r w:rsidR="00E232B8">
          <w:rPr>
            <w:webHidden/>
          </w:rPr>
          <w:instrText xml:space="preserve"> PAGEREF _Toc501630154 \h </w:instrText>
        </w:r>
        <w:r w:rsidR="00E232B8">
          <w:rPr>
            <w:webHidden/>
          </w:rPr>
        </w:r>
        <w:r w:rsidR="00E232B8">
          <w:rPr>
            <w:webHidden/>
          </w:rPr>
          <w:fldChar w:fldCharType="separate"/>
        </w:r>
        <w:r w:rsidR="00E232B8">
          <w:rPr>
            <w:webHidden/>
          </w:rPr>
          <w:t>232</w:t>
        </w:r>
        <w:r w:rsidR="00E232B8">
          <w:rPr>
            <w:webHidden/>
          </w:rPr>
          <w:fldChar w:fldCharType="end"/>
        </w:r>
      </w:hyperlink>
    </w:p>
    <w:p w14:paraId="6002CDB0" w14:textId="77777777" w:rsidR="00E232B8" w:rsidRDefault="0060362D">
      <w:pPr>
        <w:pStyle w:val="Obsah4"/>
        <w:rPr>
          <w:rFonts w:asciiTheme="minorHAnsi" w:eastAsiaTheme="minorEastAsia" w:hAnsiTheme="minorHAnsi" w:cstheme="minorBidi"/>
        </w:rPr>
      </w:pPr>
      <w:hyperlink w:anchor="_Toc501630155" w:history="1">
        <w:r w:rsidR="00E232B8" w:rsidRPr="002151BC">
          <w:rPr>
            <w:rStyle w:val="Hypertextovprepojenie"/>
          </w:rPr>
          <w:t>4.1.2.5 Informácia o realizovaní operačného programu</w:t>
        </w:r>
        <w:r w:rsidR="00E232B8">
          <w:rPr>
            <w:webHidden/>
          </w:rPr>
          <w:tab/>
        </w:r>
        <w:r w:rsidR="00E232B8">
          <w:rPr>
            <w:webHidden/>
          </w:rPr>
          <w:fldChar w:fldCharType="begin"/>
        </w:r>
        <w:r w:rsidR="00E232B8">
          <w:rPr>
            <w:webHidden/>
          </w:rPr>
          <w:instrText xml:space="preserve"> PAGEREF _Toc501630155 \h </w:instrText>
        </w:r>
        <w:r w:rsidR="00E232B8">
          <w:rPr>
            <w:webHidden/>
          </w:rPr>
        </w:r>
        <w:r w:rsidR="00E232B8">
          <w:rPr>
            <w:webHidden/>
          </w:rPr>
          <w:fldChar w:fldCharType="separate"/>
        </w:r>
        <w:r w:rsidR="00E232B8">
          <w:rPr>
            <w:webHidden/>
          </w:rPr>
          <w:t>232</w:t>
        </w:r>
        <w:r w:rsidR="00E232B8">
          <w:rPr>
            <w:webHidden/>
          </w:rPr>
          <w:fldChar w:fldCharType="end"/>
        </w:r>
      </w:hyperlink>
    </w:p>
    <w:p w14:paraId="6699CEF3" w14:textId="77777777" w:rsidR="00E232B8" w:rsidRDefault="0060362D">
      <w:pPr>
        <w:pStyle w:val="Obsah4"/>
        <w:rPr>
          <w:rFonts w:asciiTheme="minorHAnsi" w:eastAsiaTheme="minorEastAsia" w:hAnsiTheme="minorHAnsi" w:cstheme="minorBidi"/>
        </w:rPr>
      </w:pPr>
      <w:hyperlink w:anchor="_Toc501630156" w:history="1">
        <w:r w:rsidR="00E232B8" w:rsidRPr="002151BC">
          <w:rPr>
            <w:rStyle w:val="Hypertextovprepojenie"/>
          </w:rPr>
          <w:t>4.1.2.6 Kalendár podujatí</w:t>
        </w:r>
        <w:r w:rsidR="00E232B8">
          <w:rPr>
            <w:webHidden/>
          </w:rPr>
          <w:tab/>
        </w:r>
        <w:r w:rsidR="00E232B8">
          <w:rPr>
            <w:webHidden/>
          </w:rPr>
          <w:fldChar w:fldCharType="begin"/>
        </w:r>
        <w:r w:rsidR="00E232B8">
          <w:rPr>
            <w:webHidden/>
          </w:rPr>
          <w:instrText xml:space="preserve"> PAGEREF _Toc501630156 \h </w:instrText>
        </w:r>
        <w:r w:rsidR="00E232B8">
          <w:rPr>
            <w:webHidden/>
          </w:rPr>
        </w:r>
        <w:r w:rsidR="00E232B8">
          <w:rPr>
            <w:webHidden/>
          </w:rPr>
          <w:fldChar w:fldCharType="separate"/>
        </w:r>
        <w:r w:rsidR="00E232B8">
          <w:rPr>
            <w:webHidden/>
          </w:rPr>
          <w:t>232</w:t>
        </w:r>
        <w:r w:rsidR="00E232B8">
          <w:rPr>
            <w:webHidden/>
          </w:rPr>
          <w:fldChar w:fldCharType="end"/>
        </w:r>
      </w:hyperlink>
    </w:p>
    <w:p w14:paraId="35A51D57" w14:textId="77777777" w:rsidR="00E232B8" w:rsidRDefault="0060362D">
      <w:pPr>
        <w:pStyle w:val="Obsah3"/>
        <w:rPr>
          <w:rFonts w:asciiTheme="minorHAnsi" w:eastAsiaTheme="minorEastAsia" w:hAnsiTheme="minorHAnsi" w:cstheme="minorBidi"/>
          <w:noProof/>
          <w:sz w:val="22"/>
          <w:szCs w:val="22"/>
        </w:rPr>
      </w:pPr>
      <w:hyperlink w:anchor="_Toc501630157" w:history="1">
        <w:r w:rsidR="00E232B8" w:rsidRPr="002151BC">
          <w:rPr>
            <w:rStyle w:val="Hypertextovprepojenie"/>
            <w:noProof/>
          </w:rPr>
          <w:t>4.1.3  Monitorovanie programov cieľa Európska územná spolupráca</w:t>
        </w:r>
        <w:r w:rsidR="00E232B8">
          <w:rPr>
            <w:noProof/>
            <w:webHidden/>
          </w:rPr>
          <w:tab/>
        </w:r>
        <w:r w:rsidR="00E232B8">
          <w:rPr>
            <w:noProof/>
            <w:webHidden/>
          </w:rPr>
          <w:fldChar w:fldCharType="begin"/>
        </w:r>
        <w:r w:rsidR="00E232B8">
          <w:rPr>
            <w:noProof/>
            <w:webHidden/>
          </w:rPr>
          <w:instrText xml:space="preserve"> PAGEREF _Toc501630157 \h </w:instrText>
        </w:r>
        <w:r w:rsidR="00E232B8">
          <w:rPr>
            <w:noProof/>
            <w:webHidden/>
          </w:rPr>
        </w:r>
        <w:r w:rsidR="00E232B8">
          <w:rPr>
            <w:noProof/>
            <w:webHidden/>
          </w:rPr>
          <w:fldChar w:fldCharType="separate"/>
        </w:r>
        <w:r w:rsidR="00E232B8">
          <w:rPr>
            <w:noProof/>
            <w:webHidden/>
          </w:rPr>
          <w:t>233</w:t>
        </w:r>
        <w:r w:rsidR="00E232B8">
          <w:rPr>
            <w:noProof/>
            <w:webHidden/>
          </w:rPr>
          <w:fldChar w:fldCharType="end"/>
        </w:r>
      </w:hyperlink>
    </w:p>
    <w:p w14:paraId="1A635D03" w14:textId="77777777" w:rsidR="00E232B8" w:rsidRDefault="0060362D">
      <w:pPr>
        <w:pStyle w:val="Obsah4"/>
        <w:rPr>
          <w:rFonts w:asciiTheme="minorHAnsi" w:eastAsiaTheme="minorEastAsia" w:hAnsiTheme="minorHAnsi" w:cstheme="minorBidi"/>
        </w:rPr>
      </w:pPr>
      <w:hyperlink w:anchor="_Toc501630158" w:history="1">
        <w:r w:rsidR="00E232B8" w:rsidRPr="002151BC">
          <w:rPr>
            <w:rStyle w:val="Hypertextovprepojenie"/>
          </w:rPr>
          <w:t>4.1.3.1 Monitorovanie programov cieľa Európska územná spolupráca na úrovni partnerskej dohody</w:t>
        </w:r>
        <w:r w:rsidR="00E232B8">
          <w:rPr>
            <w:webHidden/>
          </w:rPr>
          <w:tab/>
        </w:r>
        <w:r w:rsidR="00E232B8">
          <w:rPr>
            <w:webHidden/>
          </w:rPr>
          <w:fldChar w:fldCharType="begin"/>
        </w:r>
        <w:r w:rsidR="00E232B8">
          <w:rPr>
            <w:webHidden/>
          </w:rPr>
          <w:instrText xml:space="preserve"> PAGEREF _Toc501630158 \h </w:instrText>
        </w:r>
        <w:r w:rsidR="00E232B8">
          <w:rPr>
            <w:webHidden/>
          </w:rPr>
        </w:r>
        <w:r w:rsidR="00E232B8">
          <w:rPr>
            <w:webHidden/>
          </w:rPr>
          <w:fldChar w:fldCharType="separate"/>
        </w:r>
        <w:r w:rsidR="00E232B8">
          <w:rPr>
            <w:webHidden/>
          </w:rPr>
          <w:t>233</w:t>
        </w:r>
        <w:r w:rsidR="00E232B8">
          <w:rPr>
            <w:webHidden/>
          </w:rPr>
          <w:fldChar w:fldCharType="end"/>
        </w:r>
      </w:hyperlink>
    </w:p>
    <w:p w14:paraId="70F3FDB9" w14:textId="77777777" w:rsidR="00E232B8" w:rsidRDefault="0060362D">
      <w:pPr>
        <w:pStyle w:val="Obsah4"/>
        <w:rPr>
          <w:rFonts w:asciiTheme="minorHAnsi" w:eastAsiaTheme="minorEastAsia" w:hAnsiTheme="minorHAnsi" w:cstheme="minorBidi"/>
        </w:rPr>
      </w:pPr>
      <w:hyperlink w:anchor="_Toc501630159" w:history="1">
        <w:r w:rsidR="00E232B8" w:rsidRPr="002151BC">
          <w:rPr>
            <w:rStyle w:val="Hypertextovprepojenie"/>
          </w:rPr>
          <w:t>4.1.3.2 Monitorovanie programov Európska územná spolupráca na úrovni programu</w:t>
        </w:r>
        <w:r w:rsidR="00E232B8">
          <w:rPr>
            <w:webHidden/>
          </w:rPr>
          <w:tab/>
        </w:r>
        <w:r w:rsidR="00E232B8">
          <w:rPr>
            <w:webHidden/>
          </w:rPr>
          <w:fldChar w:fldCharType="begin"/>
        </w:r>
        <w:r w:rsidR="00E232B8">
          <w:rPr>
            <w:webHidden/>
          </w:rPr>
          <w:instrText xml:space="preserve"> PAGEREF _Toc501630159 \h </w:instrText>
        </w:r>
        <w:r w:rsidR="00E232B8">
          <w:rPr>
            <w:webHidden/>
          </w:rPr>
        </w:r>
        <w:r w:rsidR="00E232B8">
          <w:rPr>
            <w:webHidden/>
          </w:rPr>
          <w:fldChar w:fldCharType="separate"/>
        </w:r>
        <w:r w:rsidR="00E232B8">
          <w:rPr>
            <w:webHidden/>
          </w:rPr>
          <w:t>233</w:t>
        </w:r>
        <w:r w:rsidR="00E232B8">
          <w:rPr>
            <w:webHidden/>
          </w:rPr>
          <w:fldChar w:fldCharType="end"/>
        </w:r>
      </w:hyperlink>
    </w:p>
    <w:p w14:paraId="5B59A6E7" w14:textId="77777777" w:rsidR="00E232B8" w:rsidRDefault="0060362D">
      <w:pPr>
        <w:pStyle w:val="Obsah2"/>
        <w:rPr>
          <w:rFonts w:asciiTheme="minorHAnsi" w:eastAsiaTheme="minorEastAsia" w:hAnsiTheme="minorHAnsi" w:cstheme="minorBidi"/>
          <w:noProof/>
          <w:sz w:val="22"/>
          <w:szCs w:val="22"/>
        </w:rPr>
      </w:pPr>
      <w:hyperlink w:anchor="_Toc501630160" w:history="1">
        <w:r w:rsidR="00E232B8" w:rsidRPr="002151BC">
          <w:rPr>
            <w:rStyle w:val="Hypertextovprepojenie"/>
            <w:noProof/>
          </w:rPr>
          <w:t>4.2 Hodnotenie EŠIF, OP</w:t>
        </w:r>
        <w:r w:rsidR="00E232B8">
          <w:rPr>
            <w:noProof/>
            <w:webHidden/>
          </w:rPr>
          <w:tab/>
        </w:r>
        <w:r w:rsidR="00E232B8">
          <w:rPr>
            <w:noProof/>
            <w:webHidden/>
          </w:rPr>
          <w:fldChar w:fldCharType="begin"/>
        </w:r>
        <w:r w:rsidR="00E232B8">
          <w:rPr>
            <w:noProof/>
            <w:webHidden/>
          </w:rPr>
          <w:instrText xml:space="preserve"> PAGEREF _Toc501630160 \h </w:instrText>
        </w:r>
        <w:r w:rsidR="00E232B8">
          <w:rPr>
            <w:noProof/>
            <w:webHidden/>
          </w:rPr>
        </w:r>
        <w:r w:rsidR="00E232B8">
          <w:rPr>
            <w:noProof/>
            <w:webHidden/>
          </w:rPr>
          <w:fldChar w:fldCharType="separate"/>
        </w:r>
        <w:r w:rsidR="00E232B8">
          <w:rPr>
            <w:noProof/>
            <w:webHidden/>
          </w:rPr>
          <w:t>233</w:t>
        </w:r>
        <w:r w:rsidR="00E232B8">
          <w:rPr>
            <w:noProof/>
            <w:webHidden/>
          </w:rPr>
          <w:fldChar w:fldCharType="end"/>
        </w:r>
      </w:hyperlink>
    </w:p>
    <w:p w14:paraId="1964E022" w14:textId="77777777" w:rsidR="00E232B8" w:rsidRDefault="0060362D">
      <w:pPr>
        <w:pStyle w:val="Obsah3"/>
        <w:rPr>
          <w:rFonts w:asciiTheme="minorHAnsi" w:eastAsiaTheme="minorEastAsia" w:hAnsiTheme="minorHAnsi" w:cstheme="minorBidi"/>
          <w:noProof/>
          <w:sz w:val="22"/>
          <w:szCs w:val="22"/>
        </w:rPr>
      </w:pPr>
      <w:hyperlink w:anchor="_Toc501630161" w:history="1">
        <w:r w:rsidR="00E232B8" w:rsidRPr="002151BC">
          <w:rPr>
            <w:rStyle w:val="Hypertextovprepojenie"/>
            <w:noProof/>
          </w:rPr>
          <w:t>4.2.1 Všeobecná časť</w:t>
        </w:r>
        <w:r w:rsidR="00E232B8">
          <w:rPr>
            <w:noProof/>
            <w:webHidden/>
          </w:rPr>
          <w:tab/>
        </w:r>
        <w:r w:rsidR="00E232B8">
          <w:rPr>
            <w:noProof/>
            <w:webHidden/>
          </w:rPr>
          <w:fldChar w:fldCharType="begin"/>
        </w:r>
        <w:r w:rsidR="00E232B8">
          <w:rPr>
            <w:noProof/>
            <w:webHidden/>
          </w:rPr>
          <w:instrText xml:space="preserve"> PAGEREF _Toc501630161 \h </w:instrText>
        </w:r>
        <w:r w:rsidR="00E232B8">
          <w:rPr>
            <w:noProof/>
            <w:webHidden/>
          </w:rPr>
        </w:r>
        <w:r w:rsidR="00E232B8">
          <w:rPr>
            <w:noProof/>
            <w:webHidden/>
          </w:rPr>
          <w:fldChar w:fldCharType="separate"/>
        </w:r>
        <w:r w:rsidR="00E232B8">
          <w:rPr>
            <w:noProof/>
            <w:webHidden/>
          </w:rPr>
          <w:t>233</w:t>
        </w:r>
        <w:r w:rsidR="00E232B8">
          <w:rPr>
            <w:noProof/>
            <w:webHidden/>
          </w:rPr>
          <w:fldChar w:fldCharType="end"/>
        </w:r>
      </w:hyperlink>
    </w:p>
    <w:p w14:paraId="4DF747A0" w14:textId="77777777" w:rsidR="00E232B8" w:rsidRDefault="0060362D">
      <w:pPr>
        <w:pStyle w:val="Obsah3"/>
        <w:rPr>
          <w:rFonts w:asciiTheme="minorHAnsi" w:eastAsiaTheme="minorEastAsia" w:hAnsiTheme="minorHAnsi" w:cstheme="minorBidi"/>
          <w:noProof/>
          <w:sz w:val="22"/>
          <w:szCs w:val="22"/>
        </w:rPr>
      </w:pPr>
      <w:hyperlink w:anchor="_Toc501630162" w:history="1">
        <w:r w:rsidR="00E232B8" w:rsidRPr="002151BC">
          <w:rPr>
            <w:rStyle w:val="Hypertextovprepojenie"/>
            <w:noProof/>
          </w:rPr>
          <w:t>4.2.2 Úlohy CKO v oblasti hodnotenia</w:t>
        </w:r>
        <w:r w:rsidR="00E232B8">
          <w:rPr>
            <w:noProof/>
            <w:webHidden/>
          </w:rPr>
          <w:tab/>
        </w:r>
        <w:r w:rsidR="00E232B8">
          <w:rPr>
            <w:noProof/>
            <w:webHidden/>
          </w:rPr>
          <w:fldChar w:fldCharType="begin"/>
        </w:r>
        <w:r w:rsidR="00E232B8">
          <w:rPr>
            <w:noProof/>
            <w:webHidden/>
          </w:rPr>
          <w:instrText xml:space="preserve"> PAGEREF _Toc501630162 \h </w:instrText>
        </w:r>
        <w:r w:rsidR="00E232B8">
          <w:rPr>
            <w:noProof/>
            <w:webHidden/>
          </w:rPr>
        </w:r>
        <w:r w:rsidR="00E232B8">
          <w:rPr>
            <w:noProof/>
            <w:webHidden/>
          </w:rPr>
          <w:fldChar w:fldCharType="separate"/>
        </w:r>
        <w:r w:rsidR="00E232B8">
          <w:rPr>
            <w:noProof/>
            <w:webHidden/>
          </w:rPr>
          <w:t>237</w:t>
        </w:r>
        <w:r w:rsidR="00E232B8">
          <w:rPr>
            <w:noProof/>
            <w:webHidden/>
          </w:rPr>
          <w:fldChar w:fldCharType="end"/>
        </w:r>
      </w:hyperlink>
    </w:p>
    <w:p w14:paraId="2283A5B6" w14:textId="77777777" w:rsidR="00E232B8" w:rsidRDefault="0060362D">
      <w:pPr>
        <w:pStyle w:val="Obsah3"/>
        <w:rPr>
          <w:rFonts w:asciiTheme="minorHAnsi" w:eastAsiaTheme="minorEastAsia" w:hAnsiTheme="minorHAnsi" w:cstheme="minorBidi"/>
          <w:noProof/>
          <w:sz w:val="22"/>
          <w:szCs w:val="22"/>
        </w:rPr>
      </w:pPr>
      <w:hyperlink w:anchor="_Toc501630163" w:history="1">
        <w:r w:rsidR="00E232B8" w:rsidRPr="002151BC">
          <w:rPr>
            <w:rStyle w:val="Hypertextovprepojenie"/>
            <w:noProof/>
          </w:rPr>
          <w:t>4.2.3 Úlohy riadiaceho orgánu/gestorov HP v oblasti hodnotenia</w:t>
        </w:r>
        <w:r w:rsidR="00E232B8">
          <w:rPr>
            <w:noProof/>
            <w:webHidden/>
          </w:rPr>
          <w:tab/>
        </w:r>
        <w:r w:rsidR="00E232B8">
          <w:rPr>
            <w:noProof/>
            <w:webHidden/>
          </w:rPr>
          <w:fldChar w:fldCharType="begin"/>
        </w:r>
        <w:r w:rsidR="00E232B8">
          <w:rPr>
            <w:noProof/>
            <w:webHidden/>
          </w:rPr>
          <w:instrText xml:space="preserve"> PAGEREF _Toc501630163 \h </w:instrText>
        </w:r>
        <w:r w:rsidR="00E232B8">
          <w:rPr>
            <w:noProof/>
            <w:webHidden/>
          </w:rPr>
        </w:r>
        <w:r w:rsidR="00E232B8">
          <w:rPr>
            <w:noProof/>
            <w:webHidden/>
          </w:rPr>
          <w:fldChar w:fldCharType="separate"/>
        </w:r>
        <w:r w:rsidR="00E232B8">
          <w:rPr>
            <w:noProof/>
            <w:webHidden/>
          </w:rPr>
          <w:t>239</w:t>
        </w:r>
        <w:r w:rsidR="00E232B8">
          <w:rPr>
            <w:noProof/>
            <w:webHidden/>
          </w:rPr>
          <w:fldChar w:fldCharType="end"/>
        </w:r>
      </w:hyperlink>
    </w:p>
    <w:p w14:paraId="2F78EFC4" w14:textId="77777777" w:rsidR="00E232B8" w:rsidRDefault="0060362D">
      <w:pPr>
        <w:pStyle w:val="Obsah1"/>
        <w:rPr>
          <w:rFonts w:asciiTheme="minorHAnsi" w:eastAsiaTheme="minorEastAsia" w:hAnsiTheme="minorHAnsi" w:cstheme="minorBidi"/>
          <w:b w:val="0"/>
          <w:sz w:val="22"/>
          <w:szCs w:val="22"/>
        </w:rPr>
      </w:pPr>
      <w:hyperlink w:anchor="_Toc501630164" w:history="1">
        <w:r w:rsidR="00E232B8" w:rsidRPr="002151BC">
          <w:rPr>
            <w:rStyle w:val="Hypertextovprepojenie"/>
          </w:rPr>
          <w:t>Časť 5 Informovanie a komunikácia</w:t>
        </w:r>
        <w:r w:rsidR="00E232B8">
          <w:rPr>
            <w:webHidden/>
          </w:rPr>
          <w:tab/>
        </w:r>
        <w:r w:rsidR="00E232B8">
          <w:rPr>
            <w:webHidden/>
          </w:rPr>
          <w:fldChar w:fldCharType="begin"/>
        </w:r>
        <w:r w:rsidR="00E232B8">
          <w:rPr>
            <w:webHidden/>
          </w:rPr>
          <w:instrText xml:space="preserve"> PAGEREF _Toc501630164 \h </w:instrText>
        </w:r>
        <w:r w:rsidR="00E232B8">
          <w:rPr>
            <w:webHidden/>
          </w:rPr>
        </w:r>
        <w:r w:rsidR="00E232B8">
          <w:rPr>
            <w:webHidden/>
          </w:rPr>
          <w:fldChar w:fldCharType="separate"/>
        </w:r>
        <w:r w:rsidR="00E232B8">
          <w:rPr>
            <w:webHidden/>
          </w:rPr>
          <w:t>242</w:t>
        </w:r>
        <w:r w:rsidR="00E232B8">
          <w:rPr>
            <w:webHidden/>
          </w:rPr>
          <w:fldChar w:fldCharType="end"/>
        </w:r>
      </w:hyperlink>
    </w:p>
    <w:p w14:paraId="4D92F1F7" w14:textId="77777777" w:rsidR="00E232B8" w:rsidRDefault="0060362D">
      <w:pPr>
        <w:pStyle w:val="Obsah2"/>
        <w:rPr>
          <w:rFonts w:asciiTheme="minorHAnsi" w:eastAsiaTheme="minorEastAsia" w:hAnsiTheme="minorHAnsi" w:cstheme="minorBidi"/>
          <w:noProof/>
          <w:sz w:val="22"/>
          <w:szCs w:val="22"/>
        </w:rPr>
      </w:pPr>
      <w:hyperlink w:anchor="_Toc501630165" w:history="1">
        <w:r w:rsidR="00E232B8" w:rsidRPr="002151BC">
          <w:rPr>
            <w:rStyle w:val="Hypertextovprepojenie"/>
            <w:noProof/>
          </w:rPr>
          <w:t>5.1 Všeobecná charakteristika</w:t>
        </w:r>
        <w:r w:rsidR="00E232B8">
          <w:rPr>
            <w:noProof/>
            <w:webHidden/>
          </w:rPr>
          <w:tab/>
        </w:r>
        <w:r w:rsidR="00E232B8">
          <w:rPr>
            <w:noProof/>
            <w:webHidden/>
          </w:rPr>
          <w:fldChar w:fldCharType="begin"/>
        </w:r>
        <w:r w:rsidR="00E232B8">
          <w:rPr>
            <w:noProof/>
            <w:webHidden/>
          </w:rPr>
          <w:instrText xml:space="preserve"> PAGEREF _Toc501630165 \h </w:instrText>
        </w:r>
        <w:r w:rsidR="00E232B8">
          <w:rPr>
            <w:noProof/>
            <w:webHidden/>
          </w:rPr>
        </w:r>
        <w:r w:rsidR="00E232B8">
          <w:rPr>
            <w:noProof/>
            <w:webHidden/>
          </w:rPr>
          <w:fldChar w:fldCharType="separate"/>
        </w:r>
        <w:r w:rsidR="00E232B8">
          <w:rPr>
            <w:noProof/>
            <w:webHidden/>
          </w:rPr>
          <w:t>242</w:t>
        </w:r>
        <w:r w:rsidR="00E232B8">
          <w:rPr>
            <w:noProof/>
            <w:webHidden/>
          </w:rPr>
          <w:fldChar w:fldCharType="end"/>
        </w:r>
      </w:hyperlink>
    </w:p>
    <w:p w14:paraId="195980AD" w14:textId="77777777" w:rsidR="00E232B8" w:rsidRDefault="0060362D">
      <w:pPr>
        <w:pStyle w:val="Obsah2"/>
        <w:rPr>
          <w:rFonts w:asciiTheme="minorHAnsi" w:eastAsiaTheme="minorEastAsia" w:hAnsiTheme="minorHAnsi" w:cstheme="minorBidi"/>
          <w:noProof/>
          <w:sz w:val="22"/>
          <w:szCs w:val="22"/>
        </w:rPr>
      </w:pPr>
      <w:hyperlink w:anchor="_Toc501630166" w:history="1">
        <w:r w:rsidR="00E232B8" w:rsidRPr="002151BC">
          <w:rPr>
            <w:rStyle w:val="Hypertextovprepojenie"/>
            <w:noProof/>
          </w:rPr>
          <w:t>5.2 Špecifikácia informovania a komunikácie v SR</w:t>
        </w:r>
        <w:r w:rsidR="00E232B8">
          <w:rPr>
            <w:noProof/>
            <w:webHidden/>
          </w:rPr>
          <w:tab/>
        </w:r>
        <w:r w:rsidR="00E232B8">
          <w:rPr>
            <w:noProof/>
            <w:webHidden/>
          </w:rPr>
          <w:fldChar w:fldCharType="begin"/>
        </w:r>
        <w:r w:rsidR="00E232B8">
          <w:rPr>
            <w:noProof/>
            <w:webHidden/>
          </w:rPr>
          <w:instrText xml:space="preserve"> PAGEREF _Toc501630166 \h </w:instrText>
        </w:r>
        <w:r w:rsidR="00E232B8">
          <w:rPr>
            <w:noProof/>
            <w:webHidden/>
          </w:rPr>
        </w:r>
        <w:r w:rsidR="00E232B8">
          <w:rPr>
            <w:noProof/>
            <w:webHidden/>
          </w:rPr>
          <w:fldChar w:fldCharType="separate"/>
        </w:r>
        <w:r w:rsidR="00E232B8">
          <w:rPr>
            <w:noProof/>
            <w:webHidden/>
          </w:rPr>
          <w:t>242</w:t>
        </w:r>
        <w:r w:rsidR="00E232B8">
          <w:rPr>
            <w:noProof/>
            <w:webHidden/>
          </w:rPr>
          <w:fldChar w:fldCharType="end"/>
        </w:r>
      </w:hyperlink>
    </w:p>
    <w:p w14:paraId="19AA2E90" w14:textId="77777777" w:rsidR="00E232B8" w:rsidRDefault="0060362D">
      <w:pPr>
        <w:pStyle w:val="Obsah2"/>
        <w:rPr>
          <w:rFonts w:asciiTheme="minorHAnsi" w:eastAsiaTheme="minorEastAsia" w:hAnsiTheme="minorHAnsi" w:cstheme="minorBidi"/>
          <w:noProof/>
          <w:sz w:val="22"/>
          <w:szCs w:val="22"/>
        </w:rPr>
      </w:pPr>
      <w:hyperlink w:anchor="_Toc501630167" w:history="1">
        <w:r w:rsidR="00E232B8" w:rsidRPr="002151BC">
          <w:rPr>
            <w:rStyle w:val="Hypertextovprepojenie"/>
            <w:noProof/>
          </w:rPr>
          <w:t>5.3 Zabezpečovanie informovania a komunikácie na horizontálnej úrovni</w:t>
        </w:r>
        <w:r w:rsidR="00E232B8">
          <w:rPr>
            <w:noProof/>
            <w:webHidden/>
          </w:rPr>
          <w:tab/>
        </w:r>
        <w:r w:rsidR="00E232B8">
          <w:rPr>
            <w:noProof/>
            <w:webHidden/>
          </w:rPr>
          <w:fldChar w:fldCharType="begin"/>
        </w:r>
        <w:r w:rsidR="00E232B8">
          <w:rPr>
            <w:noProof/>
            <w:webHidden/>
          </w:rPr>
          <w:instrText xml:space="preserve"> PAGEREF _Toc501630167 \h </w:instrText>
        </w:r>
        <w:r w:rsidR="00E232B8">
          <w:rPr>
            <w:noProof/>
            <w:webHidden/>
          </w:rPr>
        </w:r>
        <w:r w:rsidR="00E232B8">
          <w:rPr>
            <w:noProof/>
            <w:webHidden/>
          </w:rPr>
          <w:fldChar w:fldCharType="separate"/>
        </w:r>
        <w:r w:rsidR="00E232B8">
          <w:rPr>
            <w:noProof/>
            <w:webHidden/>
          </w:rPr>
          <w:t>243</w:t>
        </w:r>
        <w:r w:rsidR="00E232B8">
          <w:rPr>
            <w:noProof/>
            <w:webHidden/>
          </w:rPr>
          <w:fldChar w:fldCharType="end"/>
        </w:r>
      </w:hyperlink>
    </w:p>
    <w:p w14:paraId="30C90941" w14:textId="77777777" w:rsidR="00E232B8" w:rsidRDefault="0060362D">
      <w:pPr>
        <w:pStyle w:val="Obsah3"/>
        <w:rPr>
          <w:rFonts w:asciiTheme="minorHAnsi" w:eastAsiaTheme="minorEastAsia" w:hAnsiTheme="minorHAnsi" w:cstheme="minorBidi"/>
          <w:noProof/>
          <w:sz w:val="22"/>
          <w:szCs w:val="22"/>
        </w:rPr>
      </w:pPr>
      <w:hyperlink w:anchor="_Toc501630168" w:history="1">
        <w:r w:rsidR="00E232B8" w:rsidRPr="002151BC">
          <w:rPr>
            <w:rStyle w:val="Hypertextovprepojenie"/>
            <w:noProof/>
          </w:rPr>
          <w:t>5.3.1 Integrovaná sieť informačno-poradenských centier pre EŠIF</w:t>
        </w:r>
        <w:r w:rsidR="00E232B8">
          <w:rPr>
            <w:noProof/>
            <w:webHidden/>
          </w:rPr>
          <w:tab/>
        </w:r>
        <w:r w:rsidR="00E232B8">
          <w:rPr>
            <w:noProof/>
            <w:webHidden/>
          </w:rPr>
          <w:fldChar w:fldCharType="begin"/>
        </w:r>
        <w:r w:rsidR="00E232B8">
          <w:rPr>
            <w:noProof/>
            <w:webHidden/>
          </w:rPr>
          <w:instrText xml:space="preserve"> PAGEREF _Toc501630168 \h </w:instrText>
        </w:r>
        <w:r w:rsidR="00E232B8">
          <w:rPr>
            <w:noProof/>
            <w:webHidden/>
          </w:rPr>
        </w:r>
        <w:r w:rsidR="00E232B8">
          <w:rPr>
            <w:noProof/>
            <w:webHidden/>
          </w:rPr>
          <w:fldChar w:fldCharType="separate"/>
        </w:r>
        <w:r w:rsidR="00E232B8">
          <w:rPr>
            <w:noProof/>
            <w:webHidden/>
          </w:rPr>
          <w:t>245</w:t>
        </w:r>
        <w:r w:rsidR="00E232B8">
          <w:rPr>
            <w:noProof/>
            <w:webHidden/>
          </w:rPr>
          <w:fldChar w:fldCharType="end"/>
        </w:r>
      </w:hyperlink>
    </w:p>
    <w:p w14:paraId="2B74CC45" w14:textId="77777777" w:rsidR="00E232B8" w:rsidRDefault="0060362D">
      <w:pPr>
        <w:pStyle w:val="Obsah2"/>
        <w:rPr>
          <w:rFonts w:asciiTheme="minorHAnsi" w:eastAsiaTheme="minorEastAsia" w:hAnsiTheme="minorHAnsi" w:cstheme="minorBidi"/>
          <w:noProof/>
          <w:sz w:val="22"/>
          <w:szCs w:val="22"/>
        </w:rPr>
      </w:pPr>
      <w:hyperlink w:anchor="_Toc501630169" w:history="1">
        <w:r w:rsidR="00E232B8" w:rsidRPr="002151BC">
          <w:rPr>
            <w:rStyle w:val="Hypertextovprepojenie"/>
            <w:noProof/>
          </w:rPr>
          <w:t>5.4 Zabezpečovanie informovania a komunikácie na úrovni RO</w:t>
        </w:r>
        <w:r w:rsidR="00E232B8">
          <w:rPr>
            <w:noProof/>
            <w:webHidden/>
          </w:rPr>
          <w:tab/>
        </w:r>
        <w:r w:rsidR="00E232B8">
          <w:rPr>
            <w:noProof/>
            <w:webHidden/>
          </w:rPr>
          <w:fldChar w:fldCharType="begin"/>
        </w:r>
        <w:r w:rsidR="00E232B8">
          <w:rPr>
            <w:noProof/>
            <w:webHidden/>
          </w:rPr>
          <w:instrText xml:space="preserve"> PAGEREF _Toc501630169 \h </w:instrText>
        </w:r>
        <w:r w:rsidR="00E232B8">
          <w:rPr>
            <w:noProof/>
            <w:webHidden/>
          </w:rPr>
        </w:r>
        <w:r w:rsidR="00E232B8">
          <w:rPr>
            <w:noProof/>
            <w:webHidden/>
          </w:rPr>
          <w:fldChar w:fldCharType="separate"/>
        </w:r>
        <w:r w:rsidR="00E232B8">
          <w:rPr>
            <w:noProof/>
            <w:webHidden/>
          </w:rPr>
          <w:t>246</w:t>
        </w:r>
        <w:r w:rsidR="00E232B8">
          <w:rPr>
            <w:noProof/>
            <w:webHidden/>
          </w:rPr>
          <w:fldChar w:fldCharType="end"/>
        </w:r>
      </w:hyperlink>
    </w:p>
    <w:p w14:paraId="3ACD3BBF" w14:textId="77777777" w:rsidR="00E232B8" w:rsidRDefault="0060362D">
      <w:pPr>
        <w:pStyle w:val="Obsah2"/>
        <w:rPr>
          <w:rFonts w:asciiTheme="minorHAnsi" w:eastAsiaTheme="minorEastAsia" w:hAnsiTheme="minorHAnsi" w:cstheme="minorBidi"/>
          <w:noProof/>
          <w:sz w:val="22"/>
          <w:szCs w:val="22"/>
        </w:rPr>
      </w:pPr>
      <w:hyperlink w:anchor="_Toc501630170" w:history="1">
        <w:r w:rsidR="00E232B8" w:rsidRPr="002151BC">
          <w:rPr>
            <w:rStyle w:val="Hypertextovprepojenie"/>
            <w:noProof/>
          </w:rPr>
          <w:t>5.5 Komunikačná stratégia</w:t>
        </w:r>
        <w:r w:rsidR="00E232B8">
          <w:rPr>
            <w:noProof/>
            <w:webHidden/>
          </w:rPr>
          <w:tab/>
        </w:r>
        <w:r w:rsidR="00E232B8">
          <w:rPr>
            <w:noProof/>
            <w:webHidden/>
          </w:rPr>
          <w:fldChar w:fldCharType="begin"/>
        </w:r>
        <w:r w:rsidR="00E232B8">
          <w:rPr>
            <w:noProof/>
            <w:webHidden/>
          </w:rPr>
          <w:instrText xml:space="preserve"> PAGEREF _Toc501630170 \h </w:instrText>
        </w:r>
        <w:r w:rsidR="00E232B8">
          <w:rPr>
            <w:noProof/>
            <w:webHidden/>
          </w:rPr>
        </w:r>
        <w:r w:rsidR="00E232B8">
          <w:rPr>
            <w:noProof/>
            <w:webHidden/>
          </w:rPr>
          <w:fldChar w:fldCharType="separate"/>
        </w:r>
        <w:r w:rsidR="00E232B8">
          <w:rPr>
            <w:noProof/>
            <w:webHidden/>
          </w:rPr>
          <w:t>248</w:t>
        </w:r>
        <w:r w:rsidR="00E232B8">
          <w:rPr>
            <w:noProof/>
            <w:webHidden/>
          </w:rPr>
          <w:fldChar w:fldCharType="end"/>
        </w:r>
      </w:hyperlink>
    </w:p>
    <w:p w14:paraId="55A7D4A0" w14:textId="77777777" w:rsidR="00B650E5" w:rsidRDefault="00B650E5">
      <w:pPr>
        <w:spacing w:before="120" w:after="120"/>
      </w:pPr>
      <w:r>
        <w:rPr>
          <w:sz w:val="22"/>
          <w:szCs w:val="22"/>
        </w:rPr>
        <w:fldChar w:fldCharType="end"/>
      </w:r>
    </w:p>
    <w:p w14:paraId="2294DE8F" w14:textId="77777777" w:rsidR="00B650E5" w:rsidRDefault="00B650E5">
      <w:pPr>
        <w:spacing w:after="200" w:line="276" w:lineRule="auto"/>
        <w:rPr>
          <w:bCs/>
          <w:color w:val="365F91"/>
          <w:spacing w:val="5"/>
          <w:kern w:val="28"/>
          <w:sz w:val="12"/>
          <w:szCs w:val="52"/>
        </w:rPr>
      </w:pPr>
      <w:bookmarkStart w:id="3" w:name="_Toc378947469"/>
      <w:r>
        <w:br w:type="page"/>
      </w:r>
    </w:p>
    <w:p w14:paraId="442AE506" w14:textId="77777777" w:rsidR="00B650E5" w:rsidRPr="00D2234D" w:rsidRDefault="00B650E5" w:rsidP="00227685">
      <w:pPr>
        <w:pStyle w:val="SRK1"/>
      </w:pPr>
      <w:bookmarkStart w:id="4" w:name="_Toc453233933"/>
      <w:bookmarkStart w:id="5" w:name="_Toc501629984"/>
      <w:r w:rsidRPr="00D2234D">
        <w:lastRenderedPageBreak/>
        <w:t>Časť 1 Spoločné ustanovenia</w:t>
      </w:r>
      <w:bookmarkEnd w:id="3"/>
      <w:bookmarkEnd w:id="4"/>
      <w:bookmarkEnd w:id="5"/>
    </w:p>
    <w:p w14:paraId="3CA0DF30" w14:textId="77777777" w:rsidR="00B650E5" w:rsidRDefault="00B650E5">
      <w:pPr>
        <w:pStyle w:val="Odsekzoznamu"/>
        <w:numPr>
          <w:ilvl w:val="0"/>
          <w:numId w:val="13"/>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14:paraId="029EFD46" w14:textId="77777777" w:rsidR="00B650E5" w:rsidRDefault="00B650E5">
      <w:pPr>
        <w:pStyle w:val="Odsekzoznamu"/>
        <w:numPr>
          <w:ilvl w:val="0"/>
          <w:numId w:val="13"/>
        </w:numPr>
        <w:spacing w:before="120" w:after="120"/>
        <w:ind w:left="425" w:hanging="425"/>
        <w:contextualSpacing w:val="0"/>
        <w:jc w:val="both"/>
      </w:pPr>
      <w:r>
        <w:t>Ciele politiky súdržnosti, ktoré sú stanovené v nariadeniach Európskej únie (ďalej len ,,EÚ“) na</w:t>
      </w:r>
      <w:r w:rsidR="009E11A7">
        <w:t> </w:t>
      </w:r>
      <w:r>
        <w:t>programové obdobie 2014 – 2020, sú:</w:t>
      </w:r>
    </w:p>
    <w:p w14:paraId="286708D3" w14:textId="77777777" w:rsidR="00B650E5" w:rsidRDefault="00B650E5">
      <w:pPr>
        <w:pStyle w:val="Odsekzoznamu"/>
        <w:numPr>
          <w:ilvl w:val="1"/>
          <w:numId w:val="13"/>
        </w:numPr>
        <w:spacing w:before="120" w:after="120"/>
        <w:ind w:left="851" w:hanging="425"/>
        <w:contextualSpacing w:val="0"/>
        <w:jc w:val="both"/>
      </w:pPr>
      <w:r>
        <w:t>cieľ Investovanie do rastu a zamestnanosti,</w:t>
      </w:r>
    </w:p>
    <w:p w14:paraId="13CA4872" w14:textId="77777777" w:rsidR="00B650E5" w:rsidRDefault="00B650E5">
      <w:pPr>
        <w:pStyle w:val="Odsekzoznamu"/>
        <w:numPr>
          <w:ilvl w:val="1"/>
          <w:numId w:val="13"/>
        </w:numPr>
        <w:spacing w:before="120" w:after="120"/>
        <w:ind w:left="851" w:hanging="425"/>
        <w:contextualSpacing w:val="0"/>
        <w:jc w:val="both"/>
      </w:pPr>
      <w:r>
        <w:t>cieľ Európska územná spolupráca (ďalej len ,,EÚS“).</w:t>
      </w:r>
    </w:p>
    <w:p w14:paraId="5249F3F6" w14:textId="77777777" w:rsidR="00B650E5" w:rsidRDefault="00B650E5">
      <w:pPr>
        <w:pStyle w:val="Odsekzoznamu"/>
        <w:numPr>
          <w:ilvl w:val="0"/>
          <w:numId w:val="13"/>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w:t>
      </w:r>
      <w:r w:rsidR="009E11A7">
        <w:t> </w:t>
      </w:r>
      <w:r>
        <w:t xml:space="preserve">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 </w:t>
      </w:r>
    </w:p>
    <w:p w14:paraId="7A210732" w14:textId="77777777" w:rsidR="00B650E5" w:rsidRDefault="00B650E5">
      <w:pPr>
        <w:pStyle w:val="Odsekzoznamu"/>
        <w:numPr>
          <w:ilvl w:val="0"/>
          <w:numId w:val="13"/>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14:paraId="601DF968" w14:textId="77777777" w:rsidR="00B650E5" w:rsidRDefault="00B650E5">
      <w:pPr>
        <w:pStyle w:val="SRK2"/>
      </w:pPr>
      <w:bookmarkStart w:id="6" w:name="_Ref378944385"/>
      <w:bookmarkStart w:id="7" w:name="_Toc378947470"/>
      <w:bookmarkStart w:id="8" w:name="_Toc453233934"/>
      <w:bookmarkStart w:id="9" w:name="_Toc501629985"/>
      <w:bookmarkStart w:id="10" w:name="kapitola_11"/>
      <w:r>
        <w:t>1.1 Legislatíva EÚ a SR</w:t>
      </w:r>
      <w:bookmarkEnd w:id="6"/>
      <w:bookmarkEnd w:id="7"/>
      <w:bookmarkEnd w:id="8"/>
      <w:bookmarkEnd w:id="9"/>
    </w:p>
    <w:p w14:paraId="78F5E883" w14:textId="77777777" w:rsidR="00B650E5" w:rsidRDefault="00B650E5">
      <w:pPr>
        <w:pStyle w:val="SRK3"/>
      </w:pPr>
      <w:bookmarkStart w:id="11" w:name="_Toc453233935"/>
      <w:bookmarkStart w:id="12" w:name="_Toc501629986"/>
      <w:bookmarkEnd w:id="10"/>
      <w:r>
        <w:t>1.1.1 Základné právne predpisy EÚ</w:t>
      </w:r>
      <w:bookmarkEnd w:id="11"/>
      <w:bookmarkEnd w:id="12"/>
    </w:p>
    <w:p w14:paraId="0CE5F2B6" w14:textId="7ED6C069" w:rsidR="00B650E5" w:rsidRDefault="00B650E5" w:rsidP="00DE5D89">
      <w:pPr>
        <w:pStyle w:val="Odsekzoznamu"/>
        <w:numPr>
          <w:ilvl w:val="0"/>
          <w:numId w:val="328"/>
        </w:numPr>
        <w:spacing w:before="120" w:after="120"/>
        <w:ind w:left="426" w:hanging="426"/>
        <w:contextualSpacing w:val="0"/>
        <w:jc w:val="both"/>
      </w:pPr>
      <w:r>
        <w:t>Na vykonávanie nariadení E</w:t>
      </w:r>
      <w:r w:rsidR="0021166C">
        <w:t>urópska komisia (ďalej len ,,EK“)</w:t>
      </w:r>
      <w:r>
        <w:t xml:space="preserve"> vydáva delegované a implementačné akty, ktoré riešia jednotlivé aspekty upravené v legislatíve EÚ. Zároveň podrobná úprava niektorých skutočností môže byť bližšie špecifikovaná v rámci usmernení</w:t>
      </w:r>
      <w:r w:rsidR="00A84C26">
        <w:t xml:space="preserve"> </w:t>
      </w:r>
      <w:r>
        <w:t xml:space="preserve">EK.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1" w:history="1">
        <w:r>
          <w:rPr>
            <w:rStyle w:val="Hypertextovprepojenie"/>
          </w:rPr>
          <w:t>http://eur-lex.europa.eu/oj/direct-access.html?locale=sk</w:t>
        </w:r>
      </w:hyperlink>
      <w:r>
        <w:t>.</w:t>
      </w:r>
    </w:p>
    <w:p w14:paraId="6C9CF32D" w14:textId="77777777" w:rsidR="00B650E5" w:rsidRDefault="00B650E5" w:rsidP="00172982">
      <w:pPr>
        <w:pStyle w:val="Odsekzoznamu"/>
        <w:numPr>
          <w:ilvl w:val="0"/>
          <w:numId w:val="302"/>
        </w:numPr>
        <w:spacing w:before="120" w:after="120"/>
        <w:ind w:left="851" w:hanging="425"/>
        <w:contextualSpacing w:val="0"/>
        <w:jc w:val="both"/>
      </w:pPr>
      <w:r>
        <w:t>Zmluva o Európskej únii a Zmluva o fungovaní Európskej únie (ďalej len ,,</w:t>
      </w:r>
      <w:r>
        <w:rPr>
          <w:b/>
          <w:i/>
        </w:rPr>
        <w:t>zmluva o fungovaní EÚ</w:t>
      </w:r>
      <w:r>
        <w:t>“);</w:t>
      </w:r>
    </w:p>
    <w:p w14:paraId="5C29F4FD" w14:textId="77777777" w:rsidR="00B650E5" w:rsidRDefault="00B650E5" w:rsidP="00172982">
      <w:pPr>
        <w:pStyle w:val="Odsekzoznamu"/>
        <w:numPr>
          <w:ilvl w:val="0"/>
          <w:numId w:val="302"/>
        </w:numPr>
        <w:spacing w:before="120" w:after="120"/>
        <w:ind w:left="851" w:hanging="425"/>
        <w:contextualSpacing w:val="0"/>
        <w:jc w:val="both"/>
      </w:pPr>
      <w:r>
        <w:t>Nariadenie Rady (EÚ, EURATOM) č. 1311/2013 z 2. decembra 2013, ktorým sa ustanovuje viacročný finančný rámec na roky 2014 – 2020;</w:t>
      </w:r>
    </w:p>
    <w:p w14:paraId="50A880A0" w14:textId="77777777" w:rsidR="00B650E5" w:rsidRDefault="00B650E5" w:rsidP="00172982">
      <w:pPr>
        <w:pStyle w:val="Odsekzoznamu"/>
        <w:numPr>
          <w:ilvl w:val="0"/>
          <w:numId w:val="302"/>
        </w:numPr>
        <w:spacing w:before="120" w:after="120"/>
        <w:ind w:left="851" w:hanging="425"/>
        <w:contextualSpacing w:val="0"/>
        <w:jc w:val="both"/>
      </w:pPr>
      <w:r>
        <w:t xml:space="preserve">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w:t>
      </w:r>
      <w:r>
        <w:lastRenderedPageBreak/>
        <w:t>Kohéznom fonde a Európskom námornom a rybárskom fonde, a ktorým sa zrušuje nariadenie Rady (ES) č. 1083/2006 (ďalej len „</w:t>
      </w:r>
      <w:r>
        <w:rPr>
          <w:b/>
          <w:i/>
        </w:rPr>
        <w:t>všeobecné nariadenie</w:t>
      </w:r>
      <w:r>
        <w:t>“);</w:t>
      </w:r>
    </w:p>
    <w:p w14:paraId="6B5B577C"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1300/2013 zo 17. decembra 2013 o Kohéznom fonde, ktorým sa zrušuje nariadenie Rady (ES) č. 1084/2006 (ďalej len „</w:t>
      </w:r>
      <w:r>
        <w:rPr>
          <w:b/>
          <w:i/>
        </w:rPr>
        <w:t>nariadenie o KF</w:t>
      </w:r>
      <w:r>
        <w:t>“);</w:t>
      </w:r>
    </w:p>
    <w:p w14:paraId="2A381653"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1301/2013 zo 17. decembra 2013 o Európskom fonde regionálneho rozvoja a o osobitných ustanoveniach týkajúcich sa cieľa Investovanie do rastu a zamestnanosti, a ktorým sa zrušuje nariadenie (ES) č. 1080/2006 (ďalej len „</w:t>
      </w:r>
      <w:r>
        <w:rPr>
          <w:b/>
          <w:i/>
        </w:rPr>
        <w:t>nariadenie o EFRR</w:t>
      </w:r>
      <w:r>
        <w:t>“);</w:t>
      </w:r>
    </w:p>
    <w:p w14:paraId="44BD45BE"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1304/2013 z 17. decembra 2013 o Európskom sociálnom fonde a o zrušení nariadenia Rady (ES) č. 1081/2006 (ďalej len „</w:t>
      </w:r>
      <w:r>
        <w:rPr>
          <w:b/>
          <w:i/>
        </w:rPr>
        <w:t>nariadenie o ESF</w:t>
      </w:r>
      <w:r>
        <w:t>“);</w:t>
      </w:r>
    </w:p>
    <w:p w14:paraId="2C2970D4"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1305/2013 zo 17. decembra 2013 o podpore rozvoja vidieka prostredníctvom Európskeho poľnohospodárskeho fondu pre rozvoj vidieka (EPFRV) a o zrušení nariadenia Rady (ES) č. 1698/2005 (ďalej len „</w:t>
      </w:r>
      <w:r>
        <w:rPr>
          <w:b/>
          <w:i/>
        </w:rPr>
        <w:t>nariadenie o EPFRV</w:t>
      </w:r>
      <w:r>
        <w:t xml:space="preserve">“); </w:t>
      </w:r>
    </w:p>
    <w:p w14:paraId="4CDA3095"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1306/2013 zo 17. decembra 2013 o financovaní, riadení a monitorovaní spoločnej poľnohospodárskej politiky a ktorým sa zrušujú nariadenia Rady (EHS) č. 352/78, (ES) č. 165/94, (ES) č. 2799/98, (ES) č. 814/2000, (ES) č. 1290/2005 a (ES) č. 485/2008;</w:t>
      </w:r>
    </w:p>
    <w:p w14:paraId="6986AD7A"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1299/2013 zo 17. decembra 2013 o osobitných ustanoveniach na podporu cieľa Európska územná spolupráca z Európskeho fondu regionálneho rozvoja (ďalej len „</w:t>
      </w:r>
      <w:r>
        <w:rPr>
          <w:b/>
          <w:i/>
        </w:rPr>
        <w:t>nariadenie o EÚS</w:t>
      </w:r>
      <w:r>
        <w:t>“);</w:t>
      </w:r>
    </w:p>
    <w:p w14:paraId="6EBA09FE"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(ES) č. 1082/2006 z 5. júla 2006 o Európskom zoskupení územnej spolupráce (EZÚS) a Nariadenie Európskeho parlamentu a Rady (EÚ) č. 1302/2013 zo 17. decembra 2013, ktorým sa mení nariadenie (ES) č. 1082/2006 o Európskom zoskupení územnej spolupráce (EZÚS), pokiaľ ide o vyjasnenie, zjednodušenie a zlepšenie zakladania a fungovania takýchto zoskupení (ďalej len „</w:t>
      </w:r>
      <w:r>
        <w:rPr>
          <w:b/>
          <w:i/>
        </w:rPr>
        <w:t>nariadenie o EZÚS</w:t>
      </w:r>
      <w:r>
        <w:t>“);</w:t>
      </w:r>
    </w:p>
    <w:p w14:paraId="721E4BF5"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508/2014 z 15. mája 2014 o Európskom námornom a rybárskom fonde, ktorým sa zrušujú nariadenia Rady (ES) č. 2328/2003, (ES)     č. 861/2006, (ES) č. 1198/2006 a (ES) č. 791/2007 a nariadenie Európskeho parlamentu a Rady (EÚ) č. 1255/2011 (ďalej len ,,</w:t>
      </w:r>
      <w:r>
        <w:rPr>
          <w:b/>
          <w:i/>
        </w:rPr>
        <w:t>nariadenie o ENRF</w:t>
      </w:r>
      <w:r>
        <w:t>“);</w:t>
      </w:r>
    </w:p>
    <w:p w14:paraId="0F54EB6B"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232/2014 z 11. marca 2014, ktorým sa ustanovuje Nástroj európskeho susedstva;</w:t>
      </w:r>
    </w:p>
    <w:p w14:paraId="47D833A0" w14:textId="77777777" w:rsidR="00B650E5" w:rsidRDefault="00B650E5" w:rsidP="00172982">
      <w:pPr>
        <w:pStyle w:val="Odsekzoznamu"/>
        <w:numPr>
          <w:ilvl w:val="0"/>
          <w:numId w:val="302"/>
        </w:numPr>
        <w:spacing w:before="120" w:after="120"/>
        <w:ind w:left="851" w:hanging="425"/>
        <w:contextualSpacing w:val="0"/>
        <w:jc w:val="both"/>
      </w:pPr>
      <w:r>
        <w:t>Nariadenie Komisie (EÚ) č. 651/2014 zo 17. júna 2014 o vyhlásení určitých kategórií pomoci za zlučiteľné s vnútorným trhom podľa článkov 107 a 108 zmluvy (ďalej len ,,</w:t>
      </w:r>
      <w:r>
        <w:rPr>
          <w:b/>
          <w:i/>
        </w:rPr>
        <w:t>nariadenie č. 651/2014</w:t>
      </w:r>
      <w:r>
        <w:t>“);</w:t>
      </w:r>
    </w:p>
    <w:p w14:paraId="4C414D1A"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p>
    <w:p w14:paraId="0037BF55"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p>
    <w:p w14:paraId="75B3CE08" w14:textId="77777777" w:rsidR="00B650E5" w:rsidRDefault="00B650E5" w:rsidP="00172982">
      <w:pPr>
        <w:pStyle w:val="Odsekzoznamu"/>
        <w:numPr>
          <w:ilvl w:val="0"/>
          <w:numId w:val="302"/>
        </w:numPr>
        <w:spacing w:before="120" w:after="120"/>
        <w:ind w:left="851" w:hanging="425"/>
        <w:contextualSpacing w:val="0"/>
        <w:jc w:val="both"/>
      </w:pPr>
      <w:r>
        <w:lastRenderedPageBreak/>
        <w:t>Nariadenie Európskeho parlamentu a Rady (EÚ) č. 1290/2013 z 11. decembra 2013, ktorým sa ustanovujú pravidlá účasti na programe Horizont 2020 – rámcový program pre výskum a inováciu (2014 – 2020) a pravidlá jeho šírenia, a ktorým sa zrušuje nariadenie (ES)                 č. 1906/2006;</w:t>
      </w:r>
    </w:p>
    <w:p w14:paraId="0DF404EB" w14:textId="77777777" w:rsidR="00B650E5" w:rsidRDefault="00B650E5" w:rsidP="00172982">
      <w:pPr>
        <w:pStyle w:val="Odsekzoznamu"/>
        <w:numPr>
          <w:ilvl w:val="0"/>
          <w:numId w:val="302"/>
        </w:numPr>
        <w:spacing w:before="120" w:after="120"/>
        <w:ind w:left="851" w:hanging="425"/>
        <w:contextualSpacing w:val="0"/>
        <w:jc w:val="both"/>
      </w:pPr>
      <w:r>
        <w:t>Nariadenie Rady (EURATOM) č. 1314/2013 zo 16. decembra 2013, o výskumnom a vzdelávacom programe Európskeho spoločenstva pre atómovú energiu (2014 – 2018), ktorý prispieva k rámcovému programu v oblasti výskumu a inovácií Horizont 2020 – rámcový program pre výskum a inováciu;</w:t>
      </w:r>
    </w:p>
    <w:p w14:paraId="656D5E8C"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1288/2013 z 11. decembra 2013, ktorým sa zriaďuje „Erasmus+“: program Únie pre vzdelávanie, odbornú prípravu, mládež a šport, a ktorým sa zrušujú rozhodnutia č. 1719/2006/ES, č. 1720/2006/ES a č. 1298/2008/ES;</w:t>
      </w:r>
    </w:p>
    <w:p w14:paraId="2FD0FD06"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p>
    <w:p w14:paraId="7F8792B0"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p>
    <w:p w14:paraId="0F135D08"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Euratom) č. 966/2012 o rozpočtových pravidlách, ktoré sa vzťahujú na všeobecný rozpočet Únie a zrušení nariadenia Rady (ES, Euratom) č.1605/2002 v platnom znení (ďalej len ,,</w:t>
      </w:r>
      <w:r>
        <w:rPr>
          <w:b/>
          <w:i/>
        </w:rPr>
        <w:t>nariadenie č. 966/2012</w:t>
      </w:r>
      <w:r>
        <w:t>“);</w:t>
      </w:r>
    </w:p>
    <w:p w14:paraId="74E4AF61" w14:textId="77777777" w:rsidR="00B650E5" w:rsidRDefault="00B650E5" w:rsidP="00172982">
      <w:pPr>
        <w:pStyle w:val="Odsekzoznamu"/>
        <w:numPr>
          <w:ilvl w:val="0"/>
          <w:numId w:val="302"/>
        </w:numPr>
        <w:spacing w:before="120" w:after="120"/>
        <w:ind w:left="851" w:hanging="425"/>
        <w:contextualSpacing w:val="0"/>
        <w:jc w:val="both"/>
      </w:pPr>
      <w:r>
        <w:t>Nariadenie rady (ES) č. 2185/1996 o kontrolách a inšpekciách na mieste vykonávaných Európskou komisiou a cieľom ochrany finančných záujmov Európskych spoločenstiev pred</w:t>
      </w:r>
      <w:r w:rsidR="009E11A7">
        <w:t> </w:t>
      </w:r>
      <w:r>
        <w:t>spreneverou a inými podvodmi;</w:t>
      </w:r>
    </w:p>
    <w:p w14:paraId="04291447" w14:textId="77777777" w:rsidR="00B650E5" w:rsidRDefault="00B650E5" w:rsidP="00172982">
      <w:pPr>
        <w:pStyle w:val="Odsekzoznamu"/>
        <w:numPr>
          <w:ilvl w:val="0"/>
          <w:numId w:val="302"/>
        </w:numPr>
        <w:spacing w:before="120" w:after="120"/>
        <w:ind w:left="851" w:hanging="425"/>
        <w:contextualSpacing w:val="0"/>
        <w:jc w:val="both"/>
      </w:pPr>
      <w:r>
        <w:t>Nariadenie Komisie (ES, Euratom) č. 1302/2008 zo 17. decembra 2008 o centrálnej databáze vylúčených subjektov (ďalej len ,,</w:t>
      </w:r>
      <w:r>
        <w:rPr>
          <w:b/>
          <w:i/>
        </w:rPr>
        <w:t>nariadenie č. 1302/2008</w:t>
      </w:r>
      <w:r>
        <w:t>“);</w:t>
      </w:r>
    </w:p>
    <w:p w14:paraId="36FB9AF8" w14:textId="77777777" w:rsidR="00B650E5" w:rsidRDefault="00B650E5" w:rsidP="00172982">
      <w:pPr>
        <w:pStyle w:val="Odsekzoznamu"/>
        <w:numPr>
          <w:ilvl w:val="0"/>
          <w:numId w:val="302"/>
        </w:numPr>
        <w:spacing w:before="120" w:after="120"/>
        <w:ind w:left="851" w:hanging="425"/>
        <w:contextualSpacing w:val="0"/>
        <w:jc w:val="both"/>
      </w:pPr>
      <w:r>
        <w:t>Nariadenie Európskeho parlamentu a Rady (EÚ, Euratom) č. 883/2013 z 11. septembra 2013 o vyšetrovaniach vykonávaných Európskym úradom pre boj proti podvodom (OLAF), ktorým sa zrušuje nariadenie Európskeho parlamentu a Rady (ES) č. 1073/1999 a nariadenie Rady (Euratom) č. 1074/1999 (ďalej len ,,</w:t>
      </w:r>
      <w:r>
        <w:rPr>
          <w:b/>
          <w:i/>
        </w:rPr>
        <w:t>nariadenie č. 883/2013</w:t>
      </w:r>
      <w:r>
        <w:t>“);</w:t>
      </w:r>
    </w:p>
    <w:p w14:paraId="6D74F841" w14:textId="77777777" w:rsidR="00B650E5" w:rsidRDefault="00B650E5" w:rsidP="00172982">
      <w:pPr>
        <w:pStyle w:val="Odsekzoznamu"/>
        <w:numPr>
          <w:ilvl w:val="0"/>
          <w:numId w:val="302"/>
        </w:numPr>
        <w:spacing w:before="120" w:after="120"/>
        <w:ind w:left="851" w:hanging="425"/>
        <w:contextualSpacing w:val="0"/>
        <w:jc w:val="both"/>
      </w:pPr>
      <w:r>
        <w:t>Nariadenie Komisie č. 360/2012 z 25. apríla 2012 o uplatňovaní článkov 107 a 108 Zmluvy o fungovaní EÚ na pomoc de minimis v prospech podnikov poskytujúcich služby všeobecného hospodárskeho záujmu  (ďalej len „</w:t>
      </w:r>
      <w:r>
        <w:rPr>
          <w:b/>
          <w:i/>
        </w:rPr>
        <w:t>nariadenie č. 360/2012</w:t>
      </w:r>
      <w:r>
        <w:t>“);</w:t>
      </w:r>
    </w:p>
    <w:p w14:paraId="3B64BF7D" w14:textId="77777777" w:rsidR="00B650E5" w:rsidRDefault="00B650E5" w:rsidP="00172982">
      <w:pPr>
        <w:pStyle w:val="Odsekzoznamu"/>
        <w:numPr>
          <w:ilvl w:val="0"/>
          <w:numId w:val="302"/>
        </w:numPr>
        <w:spacing w:before="120" w:after="120"/>
        <w:ind w:left="851" w:hanging="425"/>
        <w:contextualSpacing w:val="0"/>
        <w:jc w:val="both"/>
      </w:pPr>
      <w:r>
        <w:t>Nariadenie Komisie (EÚ) č. 1407/2013 z 18. decembra 2013 o uplatňovaní článkov 107 a 108 Zmluvy na pomoc de minimis (ďalej len ,,</w:t>
      </w:r>
      <w:r>
        <w:rPr>
          <w:b/>
          <w:i/>
        </w:rPr>
        <w:t>nariadenie č. 1407/2013</w:t>
      </w:r>
      <w:r>
        <w:t>“);</w:t>
      </w:r>
    </w:p>
    <w:p w14:paraId="2312EB37" w14:textId="77777777" w:rsidR="00B650E5" w:rsidRDefault="00B650E5" w:rsidP="00172982">
      <w:pPr>
        <w:pStyle w:val="Odsekzoznamu"/>
        <w:numPr>
          <w:ilvl w:val="0"/>
          <w:numId w:val="302"/>
        </w:numPr>
        <w:spacing w:before="120" w:after="120"/>
        <w:ind w:left="851" w:hanging="425"/>
        <w:contextualSpacing w:val="0"/>
        <w:jc w:val="both"/>
      </w:pPr>
      <w:r>
        <w:t xml:space="preserve">Smernica Európskeho parlamentu a Rady 2011/92/ES o posudzovaní vplyvov určitých verejných a súkromných projektov na životné prostredie (ďalej len </w:t>
      </w:r>
      <w:r>
        <w:rPr>
          <w:b/>
          <w:i/>
        </w:rPr>
        <w:t>,,smernica EIA“</w:t>
      </w:r>
      <w:r>
        <w:t>)</w:t>
      </w:r>
      <w:r w:rsidR="00486158" w:rsidRPr="006B2B6A">
        <w:t>;</w:t>
      </w:r>
    </w:p>
    <w:p w14:paraId="27D6576D" w14:textId="77777777" w:rsidR="00B650E5" w:rsidRDefault="00B650E5" w:rsidP="00F4413F">
      <w:pPr>
        <w:pStyle w:val="Odsekzoznamu"/>
        <w:numPr>
          <w:ilvl w:val="0"/>
          <w:numId w:val="302"/>
        </w:numPr>
        <w:spacing w:before="120" w:after="120"/>
        <w:ind w:left="851" w:hanging="425"/>
        <w:contextualSpacing w:val="0"/>
        <w:jc w:val="both"/>
      </w:pPr>
      <w:r>
        <w:t>Smernica Európskeho parlamentu a Rady 2014/23/EÚ o udeľovaní koncesií z 26. februára 2014</w:t>
      </w:r>
      <w:r w:rsidR="00486158">
        <w:t>;</w:t>
      </w:r>
    </w:p>
    <w:p w14:paraId="64E4BE26" w14:textId="77777777" w:rsidR="00B650E5" w:rsidRDefault="00B650E5" w:rsidP="00F4413F">
      <w:pPr>
        <w:pStyle w:val="Odsekzoznamu"/>
        <w:numPr>
          <w:ilvl w:val="0"/>
          <w:numId w:val="302"/>
        </w:numPr>
        <w:spacing w:before="120" w:after="120"/>
        <w:ind w:left="851" w:hanging="425"/>
        <w:contextualSpacing w:val="0"/>
        <w:jc w:val="both"/>
      </w:pPr>
      <w:r>
        <w:t>Smernica Európskeho parlamentu a Rady 2014/24/EÚ z 26. februára 2014 o verejnom obstarávaní a o zrušení smernice 2004/18/ES</w:t>
      </w:r>
      <w:r w:rsidR="00486158">
        <w:t>;</w:t>
      </w:r>
    </w:p>
    <w:p w14:paraId="365F9192" w14:textId="77777777" w:rsidR="00B650E5" w:rsidRDefault="00B650E5" w:rsidP="000E286B">
      <w:pPr>
        <w:pStyle w:val="Odsekzoznamu"/>
        <w:numPr>
          <w:ilvl w:val="0"/>
          <w:numId w:val="302"/>
        </w:numPr>
        <w:spacing w:before="120" w:after="120"/>
        <w:ind w:left="851" w:hanging="425"/>
        <w:contextualSpacing w:val="0"/>
        <w:jc w:val="both"/>
      </w:pPr>
      <w:r>
        <w:t>Smernica Európskeho parlamentu a Rady 2014/25/EÚ z 26. februára 2014 o obstarávaní</w:t>
      </w:r>
      <w:r w:rsidR="00486158">
        <w:t xml:space="preserve"> </w:t>
      </w:r>
      <w:r>
        <w:t>vykonávanom subjektmi pôsobiacimi v odvetviach vodného hospodárstva, energetiky, dopravy a poštových služieb a o zrušení smernice 2004/17/ES</w:t>
      </w:r>
      <w:r w:rsidR="00486158">
        <w:t>.</w:t>
      </w:r>
    </w:p>
    <w:p w14:paraId="0B6058BF" w14:textId="77777777" w:rsidR="00B650E5" w:rsidRDefault="00B650E5">
      <w:pPr>
        <w:pStyle w:val="SRK3"/>
      </w:pPr>
      <w:bookmarkStart w:id="13" w:name="_Toc453233936"/>
      <w:bookmarkStart w:id="14" w:name="_Toc501629987"/>
      <w:r>
        <w:lastRenderedPageBreak/>
        <w:t>1.1.2 Základné právne predpisy SR</w:t>
      </w:r>
      <w:bookmarkEnd w:id="13"/>
      <w:bookmarkEnd w:id="14"/>
    </w:p>
    <w:p w14:paraId="0A394E8A" w14:textId="77777777" w:rsidR="00B650E5" w:rsidRDefault="00B650E5">
      <w:pPr>
        <w:pStyle w:val="Odsekzoznamu"/>
        <w:numPr>
          <w:ilvl w:val="0"/>
          <w:numId w:val="304"/>
        </w:numPr>
        <w:spacing w:before="120" w:after="120"/>
        <w:ind w:left="426" w:hanging="426"/>
        <w:contextualSpacing w:val="0"/>
        <w:jc w:val="both"/>
      </w:pPr>
      <w:bookmarkStart w:id="15" w:name="_Toc378947471"/>
      <w:r>
        <w:t>Základné právne predpisy SR predstavujú prehľad relevantných ustanovení vo vzťahu k implementácii Systému riadenia EŠIF a jednotlivých OP. Záväzné a oficiálne znenie právnych aktov je zverejnené v Zbierke zákonov SR.</w:t>
      </w:r>
    </w:p>
    <w:p w14:paraId="5386AB9F" w14:textId="77777777" w:rsidR="00B650E5" w:rsidRDefault="00B650E5" w:rsidP="00227685">
      <w:pPr>
        <w:pStyle w:val="SRKNorm"/>
        <w:numPr>
          <w:ilvl w:val="0"/>
          <w:numId w:val="303"/>
        </w:numPr>
        <w:spacing w:before="120" w:after="120"/>
        <w:ind w:left="993" w:hanging="567"/>
      </w:pPr>
      <w:r>
        <w:t>Zákon č. 292/2014 Z. z. o príspevku poskytovanom z európskych štrukturálnych a investičných fondov a o zmene a doplnení niektorých zákonov</w:t>
      </w:r>
      <w:r w:rsidR="00277055">
        <w:t xml:space="preserve"> v znení neskorších predpisov</w:t>
      </w:r>
      <w:r>
        <w:t xml:space="preserve"> (ďalej len „</w:t>
      </w:r>
      <w:r>
        <w:rPr>
          <w:b/>
          <w:i/>
        </w:rPr>
        <w:t>zákon o príspevku z EŠIF</w:t>
      </w:r>
      <w:r>
        <w:t>“);</w:t>
      </w:r>
    </w:p>
    <w:p w14:paraId="7072C209" w14:textId="77777777" w:rsidR="00B650E5" w:rsidRPr="00BD5FD5" w:rsidRDefault="00B650E5" w:rsidP="00227685">
      <w:pPr>
        <w:pStyle w:val="SRKNorm"/>
        <w:numPr>
          <w:ilvl w:val="0"/>
          <w:numId w:val="303"/>
        </w:numPr>
        <w:spacing w:before="120" w:after="120"/>
        <w:ind w:left="993" w:hanging="567"/>
      </w:pPr>
      <w:r>
        <w:t>Nariadenie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rsidR="00486158">
        <w:t> </w:t>
      </w:r>
      <w:r w:rsidRPr="00BD5FD5">
        <w:t>informatizáciu</w:t>
      </w:r>
      <w:r w:rsidR="00486158">
        <w:t>;</w:t>
      </w:r>
    </w:p>
    <w:p w14:paraId="7D8AB3D9" w14:textId="77777777" w:rsidR="00B650E5" w:rsidRDefault="00B650E5" w:rsidP="00227685">
      <w:pPr>
        <w:pStyle w:val="SRKNorm"/>
        <w:numPr>
          <w:ilvl w:val="0"/>
          <w:numId w:val="303"/>
        </w:numPr>
        <w:spacing w:before="120" w:after="120"/>
        <w:ind w:left="993" w:hanging="567"/>
      </w:pPr>
      <w:r>
        <w:t xml:space="preserve">Zákon č. </w:t>
      </w:r>
      <w:r w:rsidRPr="003425F6">
        <w:t>3</w:t>
      </w:r>
      <w:r>
        <w:t>57/2015 Z. z. o finančnej kontrole a audite a o zmene a doplnení niektorých zákonov (ďalej len „</w:t>
      </w:r>
      <w:r>
        <w:rPr>
          <w:b/>
          <w:i/>
        </w:rPr>
        <w:t>zákon o finančnej kontrole</w:t>
      </w:r>
      <w:r>
        <w:t>“);</w:t>
      </w:r>
    </w:p>
    <w:p w14:paraId="4D229147" w14:textId="77777777" w:rsidR="00B650E5" w:rsidRDefault="00B650E5" w:rsidP="00227685">
      <w:pPr>
        <w:pStyle w:val="SRKNorm"/>
        <w:numPr>
          <w:ilvl w:val="0"/>
          <w:numId w:val="303"/>
        </w:numPr>
        <w:spacing w:before="120" w:after="120"/>
        <w:ind w:left="993" w:hanging="567"/>
      </w:pPr>
      <w:r>
        <w:t>Zákon č. 575/2001 Z. z. o organizácii činnosti vlády a organizácii ústrednej štátnej správy v</w:t>
      </w:r>
      <w:r w:rsidR="005224E2">
        <w:t> </w:t>
      </w:r>
      <w:r>
        <w:t>znení neskorších predpisov (ďalej len „</w:t>
      </w:r>
      <w:r>
        <w:rPr>
          <w:b/>
          <w:i/>
        </w:rPr>
        <w:t>kompetenčný zákon</w:t>
      </w:r>
      <w:r>
        <w:t>“);</w:t>
      </w:r>
    </w:p>
    <w:p w14:paraId="422C3DF7" w14:textId="77777777" w:rsidR="00B650E5" w:rsidRDefault="00B650E5" w:rsidP="00227685">
      <w:pPr>
        <w:pStyle w:val="Odsekzoznamu"/>
        <w:numPr>
          <w:ilvl w:val="0"/>
          <w:numId w:val="303"/>
        </w:numPr>
        <w:spacing w:before="120" w:after="120"/>
        <w:ind w:left="993" w:hanging="567"/>
        <w:contextualSpacing w:val="0"/>
        <w:jc w:val="both"/>
      </w:pPr>
      <w:r>
        <w:t>Zákon č. 40/1964 Zb. Občiansky zákonník v platnom znení;</w:t>
      </w:r>
    </w:p>
    <w:p w14:paraId="3651F929" w14:textId="77777777" w:rsidR="00B650E5" w:rsidRDefault="00B650E5" w:rsidP="00227685">
      <w:pPr>
        <w:pStyle w:val="Odsekzoznamu"/>
        <w:numPr>
          <w:ilvl w:val="0"/>
          <w:numId w:val="303"/>
        </w:numPr>
        <w:spacing w:before="120" w:after="120"/>
        <w:ind w:left="993" w:hanging="567"/>
        <w:contextualSpacing w:val="0"/>
        <w:jc w:val="both"/>
      </w:pPr>
      <w:r>
        <w:t>Zákon č. 513/1991 Zb. Obchodný zákonník v platnom znení (ďalej len ,,</w:t>
      </w:r>
      <w:r>
        <w:rPr>
          <w:b/>
          <w:i/>
        </w:rPr>
        <w:t>obchodný zákonník</w:t>
      </w:r>
      <w:r>
        <w:t>“);</w:t>
      </w:r>
    </w:p>
    <w:p w14:paraId="01D057DD"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160/2015 Z. z. </w:t>
      </w:r>
      <w:r>
        <w:t>Civilný sporový poriadok</w:t>
      </w:r>
      <w:r w:rsidR="005224E2">
        <w:t xml:space="preserve"> v znení neskorších predpisov (ďalej len ,,</w:t>
      </w:r>
      <w:r w:rsidR="005224E2">
        <w:rPr>
          <w:b/>
          <w:i/>
        </w:rPr>
        <w:t>civilný sporový poriadok</w:t>
      </w:r>
      <w:r w:rsidR="005224E2">
        <w:t>“)</w:t>
      </w:r>
      <w:r>
        <w:rPr>
          <w:bCs/>
        </w:rPr>
        <w:t>;</w:t>
      </w:r>
    </w:p>
    <w:p w14:paraId="30C77514"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161/2015 Z. z. </w:t>
      </w:r>
      <w:r>
        <w:t>Civilný mimosporový poriadok</w:t>
      </w:r>
      <w:r w:rsidR="005224E2">
        <w:t xml:space="preserve"> (ďalej len ,,</w:t>
      </w:r>
      <w:r w:rsidR="005224E2">
        <w:rPr>
          <w:b/>
          <w:i/>
        </w:rPr>
        <w:t>civilný mimosporový poriadok</w:t>
      </w:r>
      <w:r w:rsidR="005224E2">
        <w:t>“);</w:t>
      </w:r>
    </w:p>
    <w:p w14:paraId="6EE35828"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311/2001 Z. z. Zákonník práce v platnom znení (ďalej len ,,</w:t>
      </w:r>
      <w:r>
        <w:rPr>
          <w:b/>
          <w:i/>
        </w:rPr>
        <w:t>zákonník práce</w:t>
      </w:r>
      <w:r>
        <w:rPr>
          <w:bCs/>
        </w:rPr>
        <w:t>“);</w:t>
      </w:r>
    </w:p>
    <w:p w14:paraId="22B9E9D9" w14:textId="77777777" w:rsidR="00B650E5" w:rsidRPr="00DE5D89" w:rsidRDefault="00B650E5" w:rsidP="00227685">
      <w:pPr>
        <w:pStyle w:val="Odsekzoznamu"/>
        <w:numPr>
          <w:ilvl w:val="0"/>
          <w:numId w:val="303"/>
        </w:numPr>
        <w:spacing w:before="120" w:after="120"/>
        <w:ind w:left="993" w:hanging="567"/>
        <w:contextualSpacing w:val="0"/>
        <w:jc w:val="both"/>
        <w:rPr>
          <w:bCs/>
        </w:rPr>
      </w:pPr>
      <w:r>
        <w:rPr>
          <w:bCs/>
        </w:rPr>
        <w:t xml:space="preserve">Zákon č. </w:t>
      </w:r>
      <w:r w:rsidR="005224E2">
        <w:rPr>
          <w:szCs w:val="22"/>
          <w:lang w:eastAsia="en-US"/>
        </w:rPr>
        <w:t>55</w:t>
      </w:r>
      <w:r>
        <w:rPr>
          <w:szCs w:val="22"/>
          <w:lang w:eastAsia="en-US"/>
        </w:rPr>
        <w:t>/20</w:t>
      </w:r>
      <w:r w:rsidR="005224E2">
        <w:rPr>
          <w:szCs w:val="22"/>
          <w:lang w:eastAsia="en-US"/>
        </w:rPr>
        <w:t>17</w:t>
      </w:r>
      <w:r>
        <w:rPr>
          <w:szCs w:val="22"/>
          <w:lang w:eastAsia="en-US"/>
        </w:rPr>
        <w:t xml:space="preserve"> Z. z. o štátnej službe a o zmene a doplnení niektorých zákonov v znení neskorších predpisov (ďalej len ,,</w:t>
      </w:r>
      <w:r>
        <w:rPr>
          <w:b/>
          <w:i/>
        </w:rPr>
        <w:t>z</w:t>
      </w:r>
      <w:r w:rsidRPr="00DE5D89">
        <w:rPr>
          <w:b/>
          <w:i/>
        </w:rPr>
        <w:t>ákon o štátnej službe</w:t>
      </w:r>
      <w:r>
        <w:rPr>
          <w:szCs w:val="22"/>
          <w:lang w:eastAsia="en-US"/>
        </w:rPr>
        <w:t>“);</w:t>
      </w:r>
    </w:p>
    <w:p w14:paraId="514CF249" w14:textId="77777777" w:rsidR="00B650E5" w:rsidRDefault="00B650E5" w:rsidP="00227685">
      <w:pPr>
        <w:pStyle w:val="Odsekzoznamu"/>
        <w:numPr>
          <w:ilvl w:val="0"/>
          <w:numId w:val="303"/>
        </w:numPr>
        <w:spacing w:before="120" w:after="120"/>
        <w:ind w:left="993" w:hanging="567"/>
        <w:contextualSpacing w:val="0"/>
        <w:jc w:val="both"/>
        <w:rPr>
          <w:bCs/>
        </w:rPr>
      </w:pPr>
      <w:r>
        <w:t>Zákon č.</w:t>
      </w:r>
      <w:r>
        <w:rPr>
          <w:szCs w:val="22"/>
          <w:lang w:eastAsia="en-US"/>
        </w:rPr>
        <w:t xml:space="preserve"> 552/2003 Z. z. o výkone </w:t>
      </w:r>
      <w:r w:rsidRPr="003425F6">
        <w:rPr>
          <w:szCs w:val="22"/>
          <w:lang w:eastAsia="en-US"/>
        </w:rPr>
        <w:t>prác</w:t>
      </w:r>
      <w:r w:rsidRPr="003120E4">
        <w:rPr>
          <w:szCs w:val="22"/>
          <w:lang w:eastAsia="en-US"/>
        </w:rPr>
        <w:t>e</w:t>
      </w:r>
      <w:r w:rsidRPr="003425F6">
        <w:rPr>
          <w:szCs w:val="22"/>
          <w:lang w:eastAsia="en-US"/>
        </w:rPr>
        <w:t xml:space="preserve"> vo verejnom záujme v znení neskorších predpisov (ďalej len ,,</w:t>
      </w:r>
      <w:r>
        <w:rPr>
          <w:b/>
          <w:i/>
        </w:rPr>
        <w:t>z</w:t>
      </w:r>
      <w:r w:rsidRPr="002576AF">
        <w:rPr>
          <w:b/>
          <w:i/>
        </w:rPr>
        <w:t>ákon o výkone prác</w:t>
      </w:r>
      <w:r w:rsidRPr="003120E4">
        <w:rPr>
          <w:b/>
          <w:i/>
        </w:rPr>
        <w:t>e</w:t>
      </w:r>
      <w:r w:rsidRPr="003425F6">
        <w:rPr>
          <w:b/>
          <w:i/>
        </w:rPr>
        <w:t xml:space="preserve"> vo</w:t>
      </w:r>
      <w:r w:rsidRPr="00DE5D89">
        <w:rPr>
          <w:b/>
          <w:i/>
        </w:rPr>
        <w:t xml:space="preserve"> verejnom záujme</w:t>
      </w:r>
      <w:r>
        <w:rPr>
          <w:szCs w:val="22"/>
          <w:lang w:eastAsia="en-US"/>
        </w:rPr>
        <w:t>“);</w:t>
      </w:r>
    </w:p>
    <w:p w14:paraId="0FF7CD2A"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300/2005 Z. z. Trestný zákon v znení neskorších predpisov (ďalej len ,,</w:t>
      </w:r>
      <w:r>
        <w:rPr>
          <w:b/>
          <w:i/>
        </w:rPr>
        <w:t>trestný zákon</w:t>
      </w:r>
      <w:r>
        <w:rPr>
          <w:bCs/>
        </w:rPr>
        <w:t>“);</w:t>
      </w:r>
    </w:p>
    <w:p w14:paraId="3086744A" w14:textId="77777777" w:rsidR="00B650E5" w:rsidRDefault="00B650E5" w:rsidP="00227685">
      <w:pPr>
        <w:pStyle w:val="Odsekzoznamu"/>
        <w:numPr>
          <w:ilvl w:val="0"/>
          <w:numId w:val="303"/>
        </w:numPr>
        <w:spacing w:before="120" w:after="120"/>
        <w:ind w:left="993" w:hanging="567"/>
        <w:contextualSpacing w:val="0"/>
        <w:jc w:val="both"/>
      </w:pPr>
      <w:r>
        <w:rPr>
          <w:bCs/>
        </w:rPr>
        <w:t>Zákon č. 301/2005 Z. z. Trestný poriadok v znení neskorších predpisov (ďalej len ,,</w:t>
      </w:r>
      <w:r>
        <w:rPr>
          <w:b/>
          <w:i/>
        </w:rPr>
        <w:t>trestný poriadok</w:t>
      </w:r>
      <w:r>
        <w:rPr>
          <w:bCs/>
        </w:rPr>
        <w:t>“);</w:t>
      </w:r>
    </w:p>
    <w:p w14:paraId="3127FEEB" w14:textId="77777777" w:rsidR="00B650E5" w:rsidRDefault="00B650E5" w:rsidP="00227685">
      <w:pPr>
        <w:pStyle w:val="SRKNorm"/>
        <w:numPr>
          <w:ilvl w:val="0"/>
          <w:numId w:val="303"/>
        </w:numPr>
        <w:spacing w:before="120" w:after="120"/>
        <w:ind w:left="993" w:hanging="567"/>
      </w:pPr>
      <w:r>
        <w:t>Zákon č. 523/2004 Z. z. o rozpočtových pravidlách verejnej správy a o zmene a doplnení niektorých zákonov v znení neskorších predpisov (ďalej len ,,</w:t>
      </w:r>
      <w:r>
        <w:rPr>
          <w:b/>
          <w:i/>
        </w:rPr>
        <w:t>zákon o rozpočtových pravidlách“)</w:t>
      </w:r>
      <w:r>
        <w:t>;</w:t>
      </w:r>
    </w:p>
    <w:p w14:paraId="666B5483" w14:textId="77777777" w:rsidR="00B650E5" w:rsidRDefault="00B650E5" w:rsidP="00227685">
      <w:pPr>
        <w:pStyle w:val="SRKNorm"/>
        <w:numPr>
          <w:ilvl w:val="0"/>
          <w:numId w:val="303"/>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14:paraId="3E9608F2" w14:textId="77777777" w:rsidR="00B650E5" w:rsidRDefault="00B650E5" w:rsidP="00227685">
      <w:pPr>
        <w:pStyle w:val="SRKNorm"/>
        <w:numPr>
          <w:ilvl w:val="0"/>
          <w:numId w:val="303"/>
        </w:numPr>
        <w:spacing w:before="120" w:after="120"/>
        <w:ind w:left="993" w:hanging="567"/>
      </w:pPr>
      <w:r>
        <w:t>Zákon č. 431/2002 Z. z. o účtovníctve v znení neskorších predpisov (ďalej len ,,</w:t>
      </w:r>
      <w:r>
        <w:rPr>
          <w:b/>
          <w:i/>
        </w:rPr>
        <w:t>zákon o účtovníctve</w:t>
      </w:r>
      <w:r>
        <w:t xml:space="preserve">“); </w:t>
      </w:r>
    </w:p>
    <w:p w14:paraId="1CE20036" w14:textId="77777777" w:rsidR="00B650E5" w:rsidRDefault="00B650E5" w:rsidP="00227685">
      <w:pPr>
        <w:pStyle w:val="SRKNorm"/>
        <w:numPr>
          <w:ilvl w:val="0"/>
          <w:numId w:val="303"/>
        </w:numPr>
        <w:spacing w:before="120" w:after="120"/>
        <w:ind w:left="993" w:hanging="567"/>
      </w:pPr>
      <w:r>
        <w:t xml:space="preserve">Zákon č. </w:t>
      </w:r>
      <w:r w:rsidRPr="003120E4">
        <w:t>358/2015</w:t>
      </w:r>
      <w:r>
        <w:t xml:space="preserve"> Z. z. </w:t>
      </w:r>
      <w:r w:rsidRPr="009A7726">
        <w:t xml:space="preserve">o úprave niektorých vzťahov v oblasti štátnej pomoci a minimálnej pomoci a o zmene a doplnení niektorých zákonov </w:t>
      </w:r>
      <w:r w:rsidR="00841464">
        <w:t xml:space="preserve">(zákon o štátnej pomoci) </w:t>
      </w:r>
      <w:r w:rsidR="00EE5B21">
        <w:t xml:space="preserve">v znení neskorších predpisov </w:t>
      </w:r>
      <w:r>
        <w:t>(ďalej len ,,</w:t>
      </w:r>
      <w:r>
        <w:rPr>
          <w:b/>
          <w:i/>
        </w:rPr>
        <w:t>zákon o štátnej pomoci</w:t>
      </w:r>
      <w:r>
        <w:t xml:space="preserve">“); </w:t>
      </w:r>
    </w:p>
    <w:p w14:paraId="252ED85B" w14:textId="77777777" w:rsidR="00B650E5" w:rsidRPr="00AB2E95" w:rsidRDefault="00B650E5" w:rsidP="00227685">
      <w:pPr>
        <w:pStyle w:val="Odsekzoznamu"/>
        <w:numPr>
          <w:ilvl w:val="0"/>
          <w:numId w:val="303"/>
        </w:numPr>
        <w:spacing w:before="120" w:after="120"/>
        <w:ind w:left="993" w:hanging="567"/>
        <w:contextualSpacing w:val="0"/>
        <w:jc w:val="both"/>
      </w:pPr>
      <w:r>
        <w:lastRenderedPageBreak/>
        <w:t>Zákon č. 343/2015 Z. z. o verejnom obstarávaní a o zmene a doplnení niektorých zákonov v znení neskorších predpisov (ďalej aj  „</w:t>
      </w:r>
      <w:r>
        <w:rPr>
          <w:b/>
          <w:i/>
        </w:rPr>
        <w:t>ZVO</w:t>
      </w:r>
      <w:r>
        <w:t>“);</w:t>
      </w:r>
    </w:p>
    <w:p w14:paraId="112EF281" w14:textId="77777777" w:rsidR="00B650E5" w:rsidRDefault="00B650E5" w:rsidP="00227685">
      <w:pPr>
        <w:pStyle w:val="Odsekzoznamu"/>
        <w:numPr>
          <w:ilvl w:val="0"/>
          <w:numId w:val="303"/>
        </w:numPr>
        <w:spacing w:before="120" w:after="120"/>
        <w:ind w:left="993" w:hanging="567"/>
        <w:contextualSpacing w:val="0"/>
        <w:jc w:val="both"/>
      </w:pPr>
      <w:r>
        <w:t xml:space="preserve">Zákon č. 136/2001 Z. z. o ochrane hospodárskej súťaže a o zmene a doplnení zákona Slovenskej národnej rady č. 347/1990 Zb. o organizácii ministerstiev a ostatných ústredných orgánov štátnej správy Slovenskej republiky v znení neskorších predpisov (ďalej len </w:t>
      </w:r>
      <w:r>
        <w:rPr>
          <w:b/>
          <w:i/>
        </w:rPr>
        <w:t>„zákon o ochrane hospodárskej súťaže“</w:t>
      </w:r>
      <w:r>
        <w:t>);</w:t>
      </w:r>
    </w:p>
    <w:p w14:paraId="5119F15D" w14:textId="77777777" w:rsidR="00B650E5" w:rsidRDefault="00B650E5" w:rsidP="00227685">
      <w:pPr>
        <w:pStyle w:val="Odsekzoznamu"/>
        <w:numPr>
          <w:ilvl w:val="0"/>
          <w:numId w:val="303"/>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14:paraId="6B4D66F5" w14:textId="77777777" w:rsidR="00B650E5" w:rsidRDefault="00B650E5" w:rsidP="00227685">
      <w:pPr>
        <w:pStyle w:val="SRKNorm"/>
        <w:numPr>
          <w:ilvl w:val="0"/>
          <w:numId w:val="303"/>
        </w:numPr>
        <w:spacing w:before="120" w:after="120"/>
        <w:ind w:left="993" w:hanging="567"/>
      </w:pPr>
      <w:r>
        <w:t>Zákon č. 211/2000 Z. z. o slobodnom prístupe k informáciám a o zmene a doplnení niektorých zákonov v znení neskorších predpisov (ďalej len „</w:t>
      </w:r>
      <w:r>
        <w:rPr>
          <w:b/>
          <w:i/>
        </w:rPr>
        <w:t>zákon o slobode informácií</w:t>
      </w:r>
      <w:r>
        <w:t>“);</w:t>
      </w:r>
    </w:p>
    <w:p w14:paraId="1373AD9B" w14:textId="77777777" w:rsidR="00B650E5" w:rsidRDefault="00B650E5" w:rsidP="00227685">
      <w:pPr>
        <w:pStyle w:val="Odsekzoznamu"/>
        <w:numPr>
          <w:ilvl w:val="0"/>
          <w:numId w:val="303"/>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14:paraId="57D7DCAA" w14:textId="77777777" w:rsidR="00B650E5" w:rsidRDefault="00B650E5" w:rsidP="00227685">
      <w:pPr>
        <w:pStyle w:val="Odsekzoznamu"/>
        <w:numPr>
          <w:ilvl w:val="0"/>
          <w:numId w:val="303"/>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14:paraId="0F3938EE" w14:textId="77777777" w:rsidR="00B650E5" w:rsidRDefault="00B650E5" w:rsidP="00227685">
      <w:pPr>
        <w:pStyle w:val="Odsekzoznamu"/>
        <w:numPr>
          <w:ilvl w:val="0"/>
          <w:numId w:val="303"/>
        </w:numPr>
        <w:spacing w:before="120" w:after="120"/>
        <w:ind w:left="993" w:hanging="567"/>
        <w:contextualSpacing w:val="0"/>
        <w:jc w:val="both"/>
      </w:pPr>
      <w:r>
        <w:t>Zákon č. 50/1976 Zb. o územnom plánovaní a stavebnom poriadku (stavebný zákon) v platnom znení</w:t>
      </w:r>
      <w:r>
        <w:rPr>
          <w:bCs/>
        </w:rPr>
        <w:t xml:space="preserve"> (ďalej len ,,</w:t>
      </w:r>
      <w:r>
        <w:rPr>
          <w:b/>
          <w:i/>
        </w:rPr>
        <w:t>stavebný zákon</w:t>
      </w:r>
      <w:r>
        <w:rPr>
          <w:bCs/>
        </w:rPr>
        <w:t>“) a súvisiaca legislatíva platná pre investičnú výstavbu v SR;</w:t>
      </w:r>
    </w:p>
    <w:p w14:paraId="2149CDC4" w14:textId="77777777" w:rsidR="00B650E5" w:rsidRDefault="00B650E5" w:rsidP="00227685">
      <w:pPr>
        <w:pStyle w:val="Odsekzoznamu"/>
        <w:numPr>
          <w:ilvl w:val="0"/>
          <w:numId w:val="303"/>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14:paraId="2767A0BC"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10/1996 Z. z. o kontrole v štátnej správe v znení neskorších predpisov;</w:t>
      </w:r>
    </w:p>
    <w:p w14:paraId="4D8E1F8B" w14:textId="77777777" w:rsidR="00B650E5" w:rsidRDefault="00B650E5" w:rsidP="00227685">
      <w:pPr>
        <w:pStyle w:val="Odsekzoznamu"/>
        <w:numPr>
          <w:ilvl w:val="0"/>
          <w:numId w:val="303"/>
        </w:numPr>
        <w:spacing w:before="120" w:after="120"/>
        <w:ind w:left="993" w:hanging="567"/>
        <w:contextualSpacing w:val="0"/>
        <w:jc w:val="both"/>
      </w:pPr>
      <w:r w:rsidRPr="00B31E33">
        <w:rPr>
          <w:bCs/>
        </w:rPr>
        <w:t>Zákon č. 39/1993 Z. z. o Najvyššom kontrolnom úrade Slovenskej republiky v znení neskorších predpisov;</w:t>
      </w:r>
    </w:p>
    <w:p w14:paraId="605CE9C4" w14:textId="77777777" w:rsidR="00B650E5" w:rsidRDefault="00B650E5" w:rsidP="00227685">
      <w:pPr>
        <w:pStyle w:val="Odsekzoznamu"/>
        <w:numPr>
          <w:ilvl w:val="0"/>
          <w:numId w:val="303"/>
        </w:numPr>
        <w:spacing w:before="120" w:after="120"/>
        <w:ind w:left="993" w:hanging="567"/>
        <w:contextualSpacing w:val="0"/>
        <w:jc w:val="both"/>
      </w:pPr>
      <w:r>
        <w:rPr>
          <w:bCs/>
        </w:rPr>
        <w:t>Zákon č. 91/2016 Z. z. o trestnej zodpovednosti právnických osôb a o zmene a doplnení niektorých zákonov</w:t>
      </w:r>
      <w:r w:rsidR="00EE5B21">
        <w:rPr>
          <w:bCs/>
        </w:rPr>
        <w:t xml:space="preserve"> </w:t>
      </w:r>
      <w:r w:rsidR="00EE5B21">
        <w:t>v znení neskorších predpisov</w:t>
      </w:r>
      <w:r>
        <w:rPr>
          <w:bCs/>
        </w:rPr>
        <w:t>;</w:t>
      </w:r>
    </w:p>
    <w:p w14:paraId="6780EEF9"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369/1990 Zb. o obecnom zriadení v znení neskorších predpisov;</w:t>
      </w:r>
    </w:p>
    <w:p w14:paraId="585CC070"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302/2001 Z. z. o samospráve vyšších územných celkov (zákon o samosprávnych krajoch) v znení neskorších predpisov (ďalej aj „</w:t>
      </w:r>
      <w:r>
        <w:rPr>
          <w:b/>
          <w:bCs/>
          <w:i/>
        </w:rPr>
        <w:t>zákon o samosprávnych krajoch</w:t>
      </w:r>
      <w:r>
        <w:rPr>
          <w:bCs/>
        </w:rPr>
        <w:t>“);</w:t>
      </w:r>
    </w:p>
    <w:p w14:paraId="794F7DCC"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539/2008 Z. z. o podpore regionálneho rozvoja </w:t>
      </w:r>
      <w:r w:rsidR="00EE5B21">
        <w:t>v znení neskorších predpisov</w:t>
      </w:r>
      <w:r w:rsidR="00EE5B21">
        <w:rPr>
          <w:bCs/>
        </w:rPr>
        <w:t xml:space="preserve"> </w:t>
      </w:r>
      <w:r>
        <w:rPr>
          <w:bCs/>
        </w:rPr>
        <w:t>(ďalej len ,,</w:t>
      </w:r>
      <w:r>
        <w:rPr>
          <w:b/>
          <w:bCs/>
          <w:i/>
        </w:rPr>
        <w:t>zákon o podpore regionálneho rozvoja</w:t>
      </w:r>
      <w:r>
        <w:rPr>
          <w:bCs/>
        </w:rPr>
        <w:t xml:space="preserve">“); </w:t>
      </w:r>
    </w:p>
    <w:p w14:paraId="7999F7A3"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291/2002 Z. z. o Štátnej pokladnici a o zmene a doplnení niektorých zákonov v znení neskorších predpisov; </w:t>
      </w:r>
    </w:p>
    <w:p w14:paraId="22BE2439" w14:textId="77777777" w:rsidR="00B650E5" w:rsidRDefault="00B650E5" w:rsidP="00227685">
      <w:pPr>
        <w:pStyle w:val="Odsekzoznamu"/>
        <w:numPr>
          <w:ilvl w:val="0"/>
          <w:numId w:val="303"/>
        </w:numPr>
        <w:spacing w:before="120" w:after="120"/>
        <w:ind w:left="993" w:hanging="567"/>
        <w:contextualSpacing w:val="0"/>
        <w:jc w:val="both"/>
      </w:pPr>
      <w:r>
        <w:rPr>
          <w:bCs/>
        </w:rPr>
        <w:t>Zákon č. 563/2009 Z. z o správe daní (daňový poriadok) a o zmene a doplnení niektorých zákonov</w:t>
      </w:r>
      <w:r w:rsidR="001D1450">
        <w:rPr>
          <w:bCs/>
        </w:rPr>
        <w:t xml:space="preserve"> </w:t>
      </w:r>
      <w:r w:rsidR="005224E2">
        <w:rPr>
          <w:bCs/>
        </w:rPr>
        <w:t xml:space="preserve">v znení neskorších predpisov </w:t>
      </w:r>
      <w:r w:rsidR="001D1450">
        <w:rPr>
          <w:bCs/>
        </w:rPr>
        <w:t>(ďalej len ,,</w:t>
      </w:r>
      <w:r w:rsidR="001D1450" w:rsidRPr="001B709E">
        <w:rPr>
          <w:b/>
          <w:bCs/>
        </w:rPr>
        <w:t>daňový poriadok</w:t>
      </w:r>
      <w:r w:rsidR="001D1450">
        <w:rPr>
          <w:bCs/>
        </w:rPr>
        <w:t>“)</w:t>
      </w:r>
      <w:r>
        <w:rPr>
          <w:bCs/>
        </w:rPr>
        <w:t>;</w:t>
      </w:r>
    </w:p>
    <w:p w14:paraId="738069DB" w14:textId="77777777" w:rsidR="00B650E5" w:rsidRDefault="00B650E5" w:rsidP="00227685">
      <w:pPr>
        <w:pStyle w:val="Odsekzoznamu"/>
        <w:numPr>
          <w:ilvl w:val="0"/>
          <w:numId w:val="303"/>
        </w:numPr>
        <w:spacing w:before="120" w:after="120"/>
        <w:ind w:left="993" w:hanging="567"/>
        <w:contextualSpacing w:val="0"/>
        <w:jc w:val="both"/>
      </w:pPr>
      <w:r>
        <w:t>Zákon č. 595/2003 Z. z. o dani z príjmov v znení neskorších predpisov;</w:t>
      </w:r>
    </w:p>
    <w:p w14:paraId="2069FDE2"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9/2010 Z. z. o sťažnostiach v znení </w:t>
      </w:r>
      <w:r w:rsidR="00A4267B">
        <w:rPr>
          <w:bCs/>
        </w:rPr>
        <w:t xml:space="preserve"> </w:t>
      </w:r>
      <w:r>
        <w:rPr>
          <w:bCs/>
        </w:rPr>
        <w:t xml:space="preserve">neskorších predpisov (ďalej len </w:t>
      </w:r>
      <w:r w:rsidRPr="00DE5D89">
        <w:rPr>
          <w:b/>
          <w:bCs/>
          <w:i/>
        </w:rPr>
        <w:t>,,zákon o sťažnostiach“</w:t>
      </w:r>
      <w:r w:rsidRPr="00DE5D89">
        <w:rPr>
          <w:bCs/>
        </w:rPr>
        <w:t>)</w:t>
      </w:r>
      <w:r>
        <w:rPr>
          <w:bCs/>
        </w:rPr>
        <w:t>;</w:t>
      </w:r>
      <w:r>
        <w:t xml:space="preserve"> </w:t>
      </w:r>
    </w:p>
    <w:p w14:paraId="1D3D7C61" w14:textId="77777777" w:rsidR="00B650E5" w:rsidRDefault="00B650E5" w:rsidP="00227685">
      <w:pPr>
        <w:pStyle w:val="Odsekzoznamu"/>
        <w:numPr>
          <w:ilvl w:val="0"/>
          <w:numId w:val="303"/>
        </w:numPr>
        <w:spacing w:before="120" w:after="120"/>
        <w:ind w:left="993" w:hanging="567"/>
        <w:contextualSpacing w:val="0"/>
        <w:jc w:val="both"/>
        <w:rPr>
          <w:bCs/>
        </w:rPr>
      </w:pPr>
      <w:r>
        <w:rPr>
          <w:bCs/>
        </w:rPr>
        <w:t xml:space="preserve">Zákon č. 138/1991 Zb. o majetku obcí v znení neskorších predpisov; </w:t>
      </w:r>
    </w:p>
    <w:p w14:paraId="5AD94E55"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446/2001 Z. z. o majetku vyšších územných celkov v znení neskorších predpisov; </w:t>
      </w:r>
    </w:p>
    <w:p w14:paraId="5D9EFC74" w14:textId="77777777" w:rsidR="00B650E5" w:rsidRDefault="00B650E5" w:rsidP="00227685">
      <w:pPr>
        <w:pStyle w:val="Odsekzoznamu"/>
        <w:numPr>
          <w:ilvl w:val="0"/>
          <w:numId w:val="303"/>
        </w:numPr>
        <w:spacing w:before="120" w:after="120"/>
        <w:ind w:left="993" w:hanging="567"/>
        <w:contextualSpacing w:val="0"/>
        <w:jc w:val="both"/>
        <w:rPr>
          <w:bCs/>
        </w:rPr>
      </w:pPr>
      <w:r>
        <w:rPr>
          <w:bCs/>
        </w:rPr>
        <w:t>Zákon č. 122/2013 Z. z. o ochrane osobných údajov a o zmene a doplnení niektorých zákonov v znení zákona č. 84/2014 Z.</w:t>
      </w:r>
      <w:r w:rsidR="00A4267B">
        <w:rPr>
          <w:bCs/>
        </w:rPr>
        <w:t xml:space="preserve"> </w:t>
      </w:r>
      <w:r>
        <w:rPr>
          <w:bCs/>
        </w:rPr>
        <w:t>z. (ďalej len ,,</w:t>
      </w:r>
      <w:r>
        <w:rPr>
          <w:b/>
          <w:bCs/>
          <w:i/>
        </w:rPr>
        <w:t>zákon o ochrane osobných údajov</w:t>
      </w:r>
      <w:r>
        <w:rPr>
          <w:bCs/>
        </w:rPr>
        <w:t>“);</w:t>
      </w:r>
    </w:p>
    <w:p w14:paraId="3747C55C" w14:textId="77777777" w:rsidR="00B650E5" w:rsidRDefault="00B650E5" w:rsidP="00227685">
      <w:pPr>
        <w:pStyle w:val="Odsekzoznamu"/>
        <w:numPr>
          <w:ilvl w:val="0"/>
          <w:numId w:val="303"/>
        </w:numPr>
        <w:spacing w:before="120" w:after="120"/>
        <w:ind w:left="993" w:hanging="567"/>
        <w:contextualSpacing w:val="0"/>
        <w:jc w:val="both"/>
      </w:pPr>
      <w:r>
        <w:rPr>
          <w:bCs/>
        </w:rPr>
        <w:lastRenderedPageBreak/>
        <w:t xml:space="preserve">Zákon č. 305/2013 Z. z. o elektronickej podobe výkonu pôsobnosti orgánov verejnej moci a o zmene a doplnení niektorých zákonov </w:t>
      </w:r>
      <w:r w:rsidR="008E01DC">
        <w:rPr>
          <w:bCs/>
        </w:rPr>
        <w:t xml:space="preserve">(zákon o e-Governmente) </w:t>
      </w:r>
      <w:r w:rsidR="00EE5B21">
        <w:t>v znení neskorších predpisov</w:t>
      </w:r>
      <w:r w:rsidR="00EE5B21">
        <w:rPr>
          <w:bCs/>
        </w:rPr>
        <w:t xml:space="preserve"> </w:t>
      </w:r>
      <w:r>
        <w:rPr>
          <w:bCs/>
        </w:rPr>
        <w:t>(</w:t>
      </w:r>
      <w:r w:rsidRPr="00505C3A">
        <w:rPr>
          <w:bCs/>
        </w:rPr>
        <w:t xml:space="preserve">ďalej len </w:t>
      </w:r>
      <w:r>
        <w:rPr>
          <w:bCs/>
        </w:rPr>
        <w:t>„</w:t>
      </w:r>
      <w:r w:rsidRPr="003120E4">
        <w:rPr>
          <w:b/>
          <w:bCs/>
          <w:i/>
        </w:rPr>
        <w:t>zákon o e-Governmente</w:t>
      </w:r>
      <w:r>
        <w:rPr>
          <w:bCs/>
        </w:rPr>
        <w:t>“);</w:t>
      </w:r>
    </w:p>
    <w:p w14:paraId="576B1E61" w14:textId="77777777" w:rsidR="00B650E5" w:rsidRDefault="00B650E5" w:rsidP="00227685">
      <w:pPr>
        <w:pStyle w:val="Odsekzoznamu"/>
        <w:numPr>
          <w:ilvl w:val="0"/>
          <w:numId w:val="303"/>
        </w:numPr>
        <w:spacing w:before="120" w:after="120"/>
        <w:ind w:left="993" w:hanging="567"/>
        <w:contextualSpacing w:val="0"/>
        <w:jc w:val="both"/>
      </w:pPr>
      <w:r>
        <w:rPr>
          <w:bCs/>
        </w:rPr>
        <w:t xml:space="preserve">Zákon č. 275/2006 Z. z. o informačných systémoch verejnej správy a o zmene a doplnení niektorých zákonov v znení neskorších predpisov; </w:t>
      </w:r>
    </w:p>
    <w:p w14:paraId="437965C6" w14:textId="77777777" w:rsidR="00B650E5" w:rsidRDefault="00B650E5" w:rsidP="00227685">
      <w:pPr>
        <w:pStyle w:val="Odsekzoznamu"/>
        <w:numPr>
          <w:ilvl w:val="0"/>
          <w:numId w:val="303"/>
        </w:numPr>
        <w:spacing w:before="120" w:after="120"/>
        <w:ind w:left="993" w:hanging="567"/>
        <w:contextualSpacing w:val="0"/>
        <w:jc w:val="both"/>
      </w:pPr>
      <w:r>
        <w:rPr>
          <w:bCs/>
        </w:rPr>
        <w:t>Zákon č. 365/2004 Z. z. o rovnakom zaobchádzaní v niektorých oblastiach a o ochrane pred</w:t>
      </w:r>
      <w:r w:rsidR="00486158">
        <w:rPr>
          <w:bCs/>
        </w:rPr>
        <w:t> </w:t>
      </w:r>
      <w:r>
        <w:rPr>
          <w:bCs/>
        </w:rPr>
        <w:t>diskrimináciou a o zmene a doplnení niektorých zákonov v znení neskorších predpisov (ďalej aj „</w:t>
      </w:r>
      <w:r>
        <w:rPr>
          <w:b/>
          <w:bCs/>
          <w:i/>
        </w:rPr>
        <w:t>antidiskriminačný zákon</w:t>
      </w:r>
      <w:r>
        <w:rPr>
          <w:bCs/>
        </w:rPr>
        <w:t>“);</w:t>
      </w:r>
    </w:p>
    <w:p w14:paraId="23424468"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283/2002 Z. z. o cestovných náhradách v znení neskorších predpisov;</w:t>
      </w:r>
    </w:p>
    <w:p w14:paraId="40471DB4"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254/1998 Z. z. o verejných prácach v znení neskorších predpisov;</w:t>
      </w:r>
    </w:p>
    <w:p w14:paraId="034B46A8" w14:textId="77777777" w:rsidR="00B650E5" w:rsidRDefault="00B650E5" w:rsidP="00227685">
      <w:pPr>
        <w:pStyle w:val="Odsekzoznamu"/>
        <w:numPr>
          <w:ilvl w:val="0"/>
          <w:numId w:val="303"/>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14:paraId="79E23A59" w14:textId="77777777" w:rsidR="00B650E5" w:rsidRDefault="00B650E5" w:rsidP="00227685">
      <w:pPr>
        <w:pStyle w:val="Odsekzoznamu"/>
        <w:numPr>
          <w:ilvl w:val="0"/>
          <w:numId w:val="303"/>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14:paraId="76E565B0" w14:textId="77777777" w:rsidR="00B650E5" w:rsidRPr="000E286B" w:rsidRDefault="00B650E5" w:rsidP="00227685">
      <w:pPr>
        <w:pStyle w:val="Odsekzoznamu"/>
        <w:numPr>
          <w:ilvl w:val="0"/>
          <w:numId w:val="303"/>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14:paraId="597AFD5C" w14:textId="77777777" w:rsidR="00B650E5" w:rsidRDefault="00B650E5" w:rsidP="00227685">
      <w:pPr>
        <w:pStyle w:val="Odsekzoznamu"/>
        <w:numPr>
          <w:ilvl w:val="0"/>
          <w:numId w:val="303"/>
        </w:numPr>
        <w:spacing w:before="120" w:after="120"/>
        <w:ind w:left="993" w:hanging="567"/>
        <w:contextualSpacing w:val="0"/>
        <w:jc w:val="both"/>
      </w:pPr>
      <w:r>
        <w:t xml:space="preserve">Zákon č. 543/2002 Z. z. </w:t>
      </w:r>
      <w:r w:rsidRPr="003B54B9">
        <w:t>o ochrane prírody a</w:t>
      </w:r>
      <w:r>
        <w:t> </w:t>
      </w:r>
      <w:r w:rsidRPr="003B54B9">
        <w:t>krajiny</w:t>
      </w:r>
      <w:r>
        <w:t xml:space="preserve"> v znení neskorších predpisov (ďalej len </w:t>
      </w:r>
      <w:r w:rsidRPr="001C792C">
        <w:t>,,</w:t>
      </w:r>
      <w:r w:rsidRPr="000E286B">
        <w:rPr>
          <w:b/>
        </w:rPr>
        <w:t>zákon o ochrane prírody a krajiny</w:t>
      </w:r>
      <w:r w:rsidRPr="001C792C">
        <w:t>“)</w:t>
      </w:r>
      <w:r>
        <w:t>;</w:t>
      </w:r>
    </w:p>
    <w:p w14:paraId="5E5685F7" w14:textId="77777777" w:rsidR="00B650E5" w:rsidRPr="000E286B" w:rsidRDefault="00B650E5" w:rsidP="00227685">
      <w:pPr>
        <w:pStyle w:val="Odsekzoznamu"/>
        <w:numPr>
          <w:ilvl w:val="0"/>
          <w:numId w:val="303"/>
        </w:numPr>
        <w:spacing w:before="120" w:after="120"/>
        <w:ind w:left="993" w:hanging="567"/>
        <w:contextualSpacing w:val="0"/>
        <w:jc w:val="both"/>
      </w:pPr>
      <w:r w:rsidRPr="00B24B22">
        <w:t xml:space="preserve">Zákon č. </w:t>
      </w:r>
      <w:r w:rsidRPr="00D76084">
        <w:t>315/2016 Z. z. o registri partnerov verejného sektora a o zmene a doplnení niektorých zákonov</w:t>
      </w:r>
      <w:r>
        <w:t xml:space="preserve"> </w:t>
      </w:r>
      <w:r w:rsidR="00EE5B21">
        <w:t xml:space="preserve">v znení neskorších predpisov </w:t>
      </w:r>
      <w:r>
        <w:t xml:space="preserve">(ďalej len </w:t>
      </w:r>
      <w:r w:rsidRPr="001C792C">
        <w:t>,,</w:t>
      </w:r>
      <w:r w:rsidRPr="000E286B">
        <w:rPr>
          <w:b/>
        </w:rPr>
        <w:t>zákon o</w:t>
      </w:r>
      <w:r>
        <w:rPr>
          <w:b/>
        </w:rPr>
        <w:t> registri partnerov verejného sektora</w:t>
      </w:r>
      <w:r w:rsidRPr="001C792C">
        <w:t>“)</w:t>
      </w:r>
      <w:r w:rsidR="008452CB">
        <w:t>;</w:t>
      </w:r>
    </w:p>
    <w:p w14:paraId="385E42E0" w14:textId="77777777" w:rsidR="00B650E5" w:rsidRPr="001B709E" w:rsidRDefault="00B650E5" w:rsidP="00227685">
      <w:pPr>
        <w:pStyle w:val="Odsekzoznamu"/>
        <w:numPr>
          <w:ilvl w:val="0"/>
          <w:numId w:val="303"/>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r w:rsidR="008452CB">
        <w:rPr>
          <w:rFonts w:cs="Arial"/>
          <w:color w:val="000000"/>
          <w:szCs w:val="20"/>
        </w:rPr>
        <w:t>;</w:t>
      </w:r>
    </w:p>
    <w:p w14:paraId="133865AB" w14:textId="77777777" w:rsidR="008452CB" w:rsidRPr="001B709E" w:rsidRDefault="008452CB" w:rsidP="00227685">
      <w:pPr>
        <w:pStyle w:val="Odsekzoznamu"/>
        <w:numPr>
          <w:ilvl w:val="0"/>
          <w:numId w:val="303"/>
        </w:numPr>
        <w:spacing w:before="120" w:after="120"/>
        <w:ind w:left="993" w:hanging="567"/>
        <w:contextualSpacing w:val="0"/>
        <w:jc w:val="both"/>
        <w:rPr>
          <w:rFonts w:cs="Arial"/>
          <w:color w:val="000000"/>
          <w:szCs w:val="20"/>
        </w:rPr>
      </w:pPr>
      <w:r>
        <w:rPr>
          <w:rFonts w:cs="Arial"/>
          <w:color w:val="000000"/>
          <w:szCs w:val="20"/>
        </w:rPr>
        <w:t xml:space="preserve">Zákon č. 374/2014 Z. z. </w:t>
      </w:r>
      <w:r w:rsidRPr="001B709E">
        <w:rPr>
          <w:rFonts w:cs="Arial"/>
          <w:color w:val="000000"/>
          <w:szCs w:val="20"/>
        </w:rPr>
        <w:t>o pohľadávkach štátu a o zmene a doplnení niektorých zákonov</w:t>
      </w:r>
      <w:r>
        <w:rPr>
          <w:rFonts w:cs="Arial"/>
          <w:color w:val="000000"/>
          <w:szCs w:val="20"/>
        </w:rPr>
        <w:t xml:space="preserve"> v znení neskorších predpisov.</w:t>
      </w:r>
    </w:p>
    <w:p w14:paraId="75A0FFE0" w14:textId="77777777" w:rsidR="00B650E5" w:rsidRDefault="00B650E5">
      <w:pPr>
        <w:pStyle w:val="SRK2"/>
      </w:pPr>
      <w:bookmarkStart w:id="16" w:name="_Toc453233937"/>
      <w:bookmarkStart w:id="17" w:name="_Toc501629988"/>
      <w:bookmarkStart w:id="18" w:name="kapitola_12"/>
      <w:r>
        <w:t xml:space="preserve">1.2 </w:t>
      </w:r>
      <w:bookmarkEnd w:id="15"/>
      <w:r>
        <w:t>Základné ustanovenia a rozsah aplikácie</w:t>
      </w:r>
      <w:bookmarkEnd w:id="16"/>
      <w:bookmarkEnd w:id="17"/>
    </w:p>
    <w:bookmarkEnd w:id="18"/>
    <w:p w14:paraId="3C851B6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59790EF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a 2 všeobecného nariadenia</w:t>
      </w:r>
    </w:p>
    <w:p w14:paraId="143FFDB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5F4084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 a 3 zákona o príspevku z EŠIF</w:t>
      </w:r>
    </w:p>
    <w:p w14:paraId="2DED6BBF" w14:textId="77777777" w:rsidR="00B650E5" w:rsidRDefault="00B650E5">
      <w:pPr>
        <w:pStyle w:val="Odsekzoznamu"/>
        <w:numPr>
          <w:ilvl w:val="0"/>
          <w:numId w:val="329"/>
        </w:numPr>
        <w:spacing w:before="120" w:after="120"/>
        <w:ind w:left="426" w:hanging="426"/>
        <w:contextualSpacing w:val="0"/>
        <w:jc w:val="both"/>
      </w:pPr>
      <w:bookmarkStart w:id="19" w:name="_Toc378947472"/>
      <w:r>
        <w:t>Systém riadenia EŠIF upravuje spoločné pravidlá aplikovateľné na všetky EŠIF rešpektujúc osobitosti, ktoré sa týkajú poskytovania príspevkov v rámci niektorých OP. Vzhľadom na</w:t>
      </w:r>
      <w:r w:rsidR="00486158">
        <w:t> </w:t>
      </w:r>
      <w:r>
        <w:t>uvedené sa Systém riadenia EŠIF vzťahuje vo svojich častiach na jednotlivé EŠIF nasledovne:</w:t>
      </w:r>
    </w:p>
    <w:p w14:paraId="084B58D4" w14:textId="77777777" w:rsidR="00B650E5" w:rsidRDefault="00B650E5">
      <w:pPr>
        <w:pStyle w:val="Odsekzoznamu"/>
        <w:numPr>
          <w:ilvl w:val="1"/>
          <w:numId w:val="337"/>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14:paraId="4D9B79B5"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14:paraId="6098F389" w14:textId="77777777" w:rsidR="00B650E5" w:rsidRDefault="00B650E5">
      <w:pPr>
        <w:pStyle w:val="Odsekzoznamu"/>
        <w:numPr>
          <w:ilvl w:val="1"/>
          <w:numId w:val="337"/>
        </w:numPr>
        <w:spacing w:before="120" w:after="120"/>
        <w:ind w:left="851" w:hanging="425"/>
        <w:contextualSpacing w:val="0"/>
        <w:jc w:val="both"/>
      </w:pPr>
      <w:r>
        <w:lastRenderedPageBreak/>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14:paraId="66C3C65A" w14:textId="77777777" w:rsidR="00B650E5" w:rsidRDefault="00B650E5">
      <w:pPr>
        <w:pStyle w:val="Odsekzoznamu"/>
        <w:numPr>
          <w:ilvl w:val="1"/>
          <w:numId w:val="337"/>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 a povinností vo vzťahu k Pracovnej komisii pre koordináciu a zabezpečenie synergických účinkov medzi EŠIF a ostatnými nástrojmi podpory Únie a SR; v týchto častiach sa pod pojem ,,operačný program“ zahŕňa aj program rozvoja vidieka (ďalej len ,,PRV“).</w:t>
      </w:r>
    </w:p>
    <w:p w14:paraId="7F9D66FF" w14:textId="77777777" w:rsidR="00B650E5" w:rsidRPr="00172982" w:rsidRDefault="00B650E5">
      <w:pPr>
        <w:pStyle w:val="Odsekzoznamu"/>
        <w:numPr>
          <w:ilvl w:val="0"/>
          <w:numId w:val="329"/>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14:paraId="548551F3" w14:textId="77777777" w:rsidR="00B650E5" w:rsidRPr="009078F6" w:rsidRDefault="00B650E5">
      <w:pPr>
        <w:pStyle w:val="Odsekzoznamu"/>
        <w:numPr>
          <w:ilvl w:val="0"/>
          <w:numId w:val="329"/>
        </w:numPr>
        <w:spacing w:before="120" w:after="120"/>
        <w:ind w:left="426" w:hanging="426"/>
        <w:contextualSpacing w:val="0"/>
        <w:jc w:val="both"/>
      </w:pPr>
      <w:bookmarkStart w:id="20" w:name="kapitola_12_ods_3"/>
      <w:r w:rsidRPr="00172982">
        <w:t>Za účelom efektívnej úpravy vybraných otázok implementácie EŠIF je CKO</w:t>
      </w:r>
      <w:r w:rsidRPr="00DE5D89">
        <w:t xml:space="preserve"> </w:t>
      </w:r>
      <w:r>
        <w:t>a ÚV SR</w:t>
      </w:r>
      <w:r w:rsidRPr="00DE5D89">
        <w:t xml:space="preserve">  </w:t>
      </w:r>
      <w:r w:rsidRPr="009078F6">
        <w:t>oprávnený vydávať:</w:t>
      </w:r>
    </w:p>
    <w:p w14:paraId="19A5C74C" w14:textId="77777777" w:rsidR="00B650E5" w:rsidRDefault="00B650E5">
      <w:pPr>
        <w:pStyle w:val="Odsekzoznamu"/>
        <w:numPr>
          <w:ilvl w:val="1"/>
          <w:numId w:val="338"/>
        </w:numPr>
        <w:spacing w:before="120" w:after="120"/>
        <w:ind w:left="851" w:hanging="425"/>
        <w:contextualSpacing w:val="0"/>
        <w:jc w:val="both"/>
      </w:pPr>
      <w:bookmarkStart w:id="21" w:name="kapitola_12_ods_3_ac"/>
      <w:r>
        <w:rPr>
          <w:b/>
          <w:i/>
        </w:rPr>
        <w:t>vzory</w:t>
      </w:r>
      <w:r>
        <w:t xml:space="preserve"> formulárov, výstupov a vstupov v rámci jednotlivých procesov (CKO/ÚV SR je oprávnený vydať vzor podľa tohto písmena aj v prípade, ak jeho potrebu identifikuje, napr. z podnetov v rámci procesu implementácie, pričom odkaz na konkrétny vzor nemusí byť priamo súčasťou Systému riadenia EŠIF);</w:t>
      </w:r>
    </w:p>
    <w:p w14:paraId="07DB774B" w14:textId="77777777" w:rsidR="00B650E5" w:rsidRDefault="00B650E5">
      <w:pPr>
        <w:pStyle w:val="Odsekzoznamu"/>
        <w:numPr>
          <w:ilvl w:val="1"/>
          <w:numId w:val="338"/>
        </w:numPr>
        <w:spacing w:before="120" w:after="120"/>
        <w:ind w:left="851" w:hanging="425"/>
        <w:contextualSpacing w:val="0"/>
        <w:jc w:val="both"/>
      </w:pPr>
      <w:bookmarkStart w:id="22" w:name="kapitola_12_ods_3_b"/>
      <w:bookmarkEnd w:id="22"/>
      <w:r>
        <w:rPr>
          <w:b/>
          <w:i/>
        </w:rPr>
        <w:t>metodické pokyny</w:t>
      </w:r>
      <w:r>
        <w:t xml:space="preserve"> upravujúce jednu alebo viacero vecne príbuzných oblastí implementácie EŠIF;</w:t>
      </w:r>
    </w:p>
    <w:p w14:paraId="097C3312" w14:textId="72A2315B" w:rsidR="00B650E5" w:rsidRDefault="00B650E5">
      <w:pPr>
        <w:pStyle w:val="Odsekzoznamu"/>
        <w:numPr>
          <w:ilvl w:val="1"/>
          <w:numId w:val="338"/>
        </w:numPr>
        <w:spacing w:before="120" w:after="120"/>
        <w:ind w:left="851" w:hanging="425"/>
        <w:contextualSpacing w:val="0"/>
        <w:jc w:val="both"/>
      </w:pPr>
      <w:bookmarkStart w:id="23" w:name="kapitola_12_ods_3_c"/>
      <w:bookmarkEnd w:id="23"/>
      <w:r>
        <w:rPr>
          <w:b/>
          <w:i/>
        </w:rPr>
        <w:t>metodické výklady</w:t>
      </w:r>
      <w:r>
        <w:t>, ktoré bližšie popisujú a vysvetľujú aplikáciu konkrétnych ustanovení Systému riadenia EŠIF najmä v nadväznosti na potreby implementačnej praxe</w:t>
      </w:r>
      <w:r w:rsidR="00F95034">
        <w:t>, prípadne vysvetľujú postupy a procesy v predmetnej oblasti, v ktorej sa uskutočnila zmena legislatívy EÚ alebo národnej legislatívy do termínu aktualizácie Systému riadenia EŠIF</w:t>
      </w:r>
      <w:r>
        <w:t>;</w:t>
      </w:r>
    </w:p>
    <w:bookmarkEnd w:id="21"/>
    <w:p w14:paraId="7CBFDD34" w14:textId="60A837E5" w:rsidR="00B650E5" w:rsidRDefault="00B650E5">
      <w:pPr>
        <w:pStyle w:val="Odsekzoznamu"/>
        <w:numPr>
          <w:ilvl w:val="1"/>
          <w:numId w:val="338"/>
        </w:numPr>
        <w:spacing w:before="120" w:after="120"/>
        <w:ind w:left="851" w:hanging="425"/>
        <w:contextualSpacing w:val="0"/>
        <w:jc w:val="both"/>
      </w:pPr>
      <w:r>
        <w:rPr>
          <w:b/>
          <w:i/>
        </w:rPr>
        <w:t>výnimky zo Systému riadenia EŠIF</w:t>
      </w:r>
      <w:r>
        <w:t xml:space="preserve"> a</w:t>
      </w:r>
      <w:r w:rsidR="005706E4">
        <w:t xml:space="preserve"> záväzných </w:t>
      </w:r>
      <w:r>
        <w:t>dokumentov vydávaných v súlade so</w:t>
      </w:r>
      <w:r w:rsidR="005706E4">
        <w:t> </w:t>
      </w:r>
      <w:r>
        <w:t>Systémom riadenia EŠIF</w:t>
      </w:r>
      <w:r w:rsidR="006F3B93">
        <w:t xml:space="preserve">, </w:t>
      </w:r>
      <w:r>
        <w:t>a to na základe oprávnených a riadne odôvodnených žiadostí</w:t>
      </w:r>
      <w:r w:rsidR="0004683B">
        <w:rPr>
          <w:rStyle w:val="Odkaznapoznmkupodiarou"/>
        </w:rPr>
        <w:footnoteReference w:id="2"/>
      </w:r>
      <w:r>
        <w:t xml:space="preserve"> subjektov zapojených do implementácie EŠIF;</w:t>
      </w:r>
    </w:p>
    <w:p w14:paraId="6795FF69" w14:textId="77777777" w:rsidR="00B650E5" w:rsidRPr="00E03F5A" w:rsidRDefault="00B650E5" w:rsidP="00E03F5A">
      <w:pPr>
        <w:pStyle w:val="Odsekzoznamu"/>
        <w:numPr>
          <w:ilvl w:val="1"/>
          <w:numId w:val="338"/>
        </w:numPr>
        <w:spacing w:before="120" w:after="120"/>
        <w:ind w:left="851" w:hanging="425"/>
        <w:contextualSpacing w:val="0"/>
        <w:jc w:val="both"/>
        <w:rPr>
          <w:b/>
          <w:i/>
        </w:rPr>
      </w:pPr>
      <w:r w:rsidRPr="00E03F5A">
        <w:rPr>
          <w:b/>
          <w:i/>
        </w:rPr>
        <w:t xml:space="preserve">Manuál k ITMS 2014+ </w:t>
      </w:r>
      <w:r w:rsidRPr="00E03F5A">
        <w:t>a manuály k súvisiacim informačným systémom vrátane ich zmien/aktualizáci</w:t>
      </w:r>
      <w:r>
        <w:t>í.</w:t>
      </w:r>
    </w:p>
    <w:p w14:paraId="0074522A" w14:textId="69158D11" w:rsidR="00B650E5" w:rsidRDefault="00B650E5">
      <w:pPr>
        <w:spacing w:before="120" w:after="120"/>
        <w:ind w:left="426"/>
        <w:jc w:val="both"/>
      </w:pPr>
      <w:r>
        <w:t xml:space="preserve">Dokumenty vydávané podľa </w:t>
      </w:r>
      <w:hyperlink w:anchor="kapitola_12_ods_3_ac" w:tooltip="ods. 3 písm. a) až c)" w:history="1">
        <w:r>
          <w:rPr>
            <w:rStyle w:val="Hypertextovprepojenie"/>
          </w:rPr>
          <w:t>ods. 3 písm. a) až c)</w:t>
        </w:r>
      </w:hyperlink>
      <w:r>
        <w:t xml:space="preserve"> podliehajú pri ich vydávaní a zmenách pravidlám, ktoré sú totožné s výkonom aktualizácie Systému riadenia EŠIF, </w:t>
      </w:r>
      <w:r w:rsidR="00C93F30">
        <w:t xml:space="preserve">t. j. </w:t>
      </w:r>
      <w:r>
        <w:t xml:space="preserve"> podliehajú pripomienkovému konaniu.</w:t>
      </w:r>
      <w:r w:rsidR="008553D9">
        <w:t xml:space="preserve"> </w:t>
      </w:r>
      <w:r>
        <w:t xml:space="preserve">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r w:rsidRPr="009078F6">
        <w:t xml:space="preserve"> zverejňuje CKO na webovom sídle</w:t>
      </w:r>
      <w:r>
        <w:t xml:space="preserve"> </w:t>
      </w:r>
      <w:hyperlink r:id="rId12" w:history="1">
        <w:r w:rsidRPr="00FA1E63">
          <w:rPr>
            <w:rStyle w:val="Hypertextovprepojenie"/>
          </w:rPr>
          <w:t>www.partnerskadohoda.gov.sk</w:t>
        </w:r>
      </w:hyperlink>
      <w:r w:rsidRPr="009078F6">
        <w:t>.</w:t>
      </w:r>
      <w:r w:rsidR="001B709E">
        <w:t xml:space="preserve"> </w:t>
      </w:r>
    </w:p>
    <w:bookmarkEnd w:id="20"/>
    <w:p w14:paraId="0980C1C5" w14:textId="77777777" w:rsidR="00B650E5" w:rsidRDefault="00B650E5">
      <w:pPr>
        <w:spacing w:before="120" w:after="120"/>
        <w:ind w:left="426"/>
        <w:jc w:val="both"/>
      </w:pPr>
      <w:r>
        <w:lastRenderedPageBreak/>
        <w:t xml:space="preserve">Pre vybrané oblasti Systému riadenia EŠIF (Informovanie a komunikácia; Administratívne kapacity subjektov, zapojených do implementácie, riadenia a kontroly EŠIF, vrátane ich vzdelávania) vydáva dokumenty podľa </w:t>
      </w:r>
      <w:hyperlink w:anchor="kapitola_12_ods_3_ac" w:tooltip="ods. 3 písm. a) až c)" w:history="1">
        <w:r>
          <w:rPr>
            <w:rStyle w:val="Hypertextovprepojenie"/>
          </w:rPr>
          <w:t>ods. 3 písm. a) až d)</w:t>
        </w:r>
      </w:hyperlink>
      <w:r w:rsidRPr="001D5DF8">
        <w:t xml:space="preserve"> </w:t>
      </w:r>
      <w:r>
        <w:t>ÚV SR</w:t>
      </w:r>
      <w:r>
        <w:rPr>
          <w:rStyle w:val="Odkaznapoznmkupodiarou"/>
        </w:rPr>
        <w:footnoteReference w:id="3"/>
      </w:r>
      <w:r>
        <w:t>.</w:t>
      </w:r>
    </w:p>
    <w:p w14:paraId="2B965200" w14:textId="5A3FA43D" w:rsidR="00B650E5" w:rsidRDefault="00B650E5">
      <w:pPr>
        <w:pStyle w:val="Odsekzoznamu"/>
        <w:numPr>
          <w:ilvl w:val="0"/>
          <w:numId w:val="329"/>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w:t>
      </w:r>
      <w:r w:rsidR="00486158">
        <w:t> </w:t>
      </w:r>
      <w:r>
        <w:t>implementácie EŠIF.</w:t>
      </w:r>
    </w:p>
    <w:p w14:paraId="40D48827" w14:textId="03EDE8CD" w:rsidR="006510AD" w:rsidRDefault="00B1673E" w:rsidP="002F3613">
      <w:pPr>
        <w:pStyle w:val="Odsekzoznamu"/>
        <w:numPr>
          <w:ilvl w:val="0"/>
          <w:numId w:val="329"/>
        </w:numPr>
        <w:spacing w:before="120" w:after="120"/>
        <w:ind w:left="426" w:hanging="426"/>
        <w:contextualSpacing w:val="0"/>
        <w:jc w:val="both"/>
      </w:pPr>
      <w:bookmarkStart w:id="24" w:name="kapitola_12_ods_5"/>
      <w:bookmarkEnd w:id="24"/>
      <w:r>
        <w:t xml:space="preserve">Systém riadenia EŠIF, vzory formulárov v zmysle </w:t>
      </w:r>
      <w:hyperlink w:anchor="kapitola_12_ods_3_ac" w:history="1">
        <w:r w:rsidRPr="007E00F3">
          <w:rPr>
            <w:rStyle w:val="Hypertextovprepojenie"/>
          </w:rPr>
          <w:t>kapitoly 1.2, odsek 3 písmeno a)</w:t>
        </w:r>
      </w:hyperlink>
      <w:r>
        <w:t xml:space="preserve"> a metodické pokyny v zmysle kapitoly </w:t>
      </w:r>
      <w:hyperlink w:anchor="kapitola_12_ods_3_b" w:history="1">
        <w:r w:rsidRPr="007E00F3">
          <w:rPr>
            <w:rStyle w:val="Hypertextovprepojenie"/>
          </w:rPr>
          <w:t>1.2, odsek 3 písmeno b)</w:t>
        </w:r>
      </w:hyperlink>
      <w:r>
        <w:t xml:space="preserve"> sú CKO a ÚV SR oprávnení vydávať a aktualizovať ku dňu 30.4. a 31.10</w:t>
      </w:r>
      <w:r w:rsidR="003C2371">
        <w:rPr>
          <w:rStyle w:val="Odkaznapoznmkupodiarou"/>
        </w:rPr>
        <w:footnoteReference w:id="4"/>
      </w:r>
      <w:r>
        <w:t xml:space="preserve">. </w:t>
      </w:r>
      <w:r w:rsidRPr="002F3613">
        <w:t xml:space="preserve">V prípade, ak bude nevyhnutné v dôsledku zmeny legislatívy EÚ alebo národnej legislatívy vykonať úpravy v Systéme riadenia EŠIF, </w:t>
      </w:r>
      <w:r w:rsidR="00CE0E0D" w:rsidRPr="002F3613">
        <w:t xml:space="preserve">vzoroch, alebo metodických pokynoch, </w:t>
      </w:r>
      <w:r w:rsidRPr="002F3613">
        <w:t>CKO</w:t>
      </w:r>
      <w:r w:rsidR="00CE0E0D" w:rsidRPr="002F3613">
        <w:t>, resp. ÚV SR</w:t>
      </w:r>
      <w:r w:rsidRPr="002F3613">
        <w:t xml:space="preserve"> vydá </w:t>
      </w:r>
      <w:r w:rsidR="00CE0E0D" w:rsidRPr="002F3613">
        <w:t xml:space="preserve">metodický </w:t>
      </w:r>
      <w:r w:rsidRPr="002F3613">
        <w:t>výklad</w:t>
      </w:r>
      <w:r w:rsidR="00CE0E0D" w:rsidRPr="002F3613">
        <w:t xml:space="preserve"> v zmysle </w:t>
      </w:r>
      <w:hyperlink w:anchor="kapitola_12_ods_3_c" w:history="1">
        <w:r w:rsidR="00CE0E0D" w:rsidRPr="007E00F3">
          <w:rPr>
            <w:rStyle w:val="Hypertextovprepojenie"/>
          </w:rPr>
          <w:t>kapitoly 1.2, odsek 3 písmeno c)</w:t>
        </w:r>
      </w:hyperlink>
      <w:r w:rsidR="00CE0E0D">
        <w:t>,</w:t>
      </w:r>
      <w:r w:rsidRPr="002F3613">
        <w:t xml:space="preserve"> týkajúci sa predmetnej oblasti, avšak samotný </w:t>
      </w:r>
      <w:r w:rsidR="00CE0E0D" w:rsidRPr="002F3613">
        <w:t>dokument</w:t>
      </w:r>
      <w:r w:rsidRPr="002F3613">
        <w:t xml:space="preserve"> bude aktualizovaný až k dátumu najbližšej riadnej aktualizácie.</w:t>
      </w:r>
      <w:r w:rsidR="00CE0E0D" w:rsidRPr="002F3613">
        <w:t xml:space="preserve"> </w:t>
      </w:r>
    </w:p>
    <w:p w14:paraId="34782090" w14:textId="77777777" w:rsidR="006510AD" w:rsidRDefault="006510AD" w:rsidP="002F3613">
      <w:pPr>
        <w:pStyle w:val="Odsekzoznamu"/>
        <w:spacing w:before="120" w:after="120"/>
        <w:ind w:left="426"/>
        <w:contextualSpacing w:val="0"/>
        <w:jc w:val="both"/>
      </w:pPr>
      <w:r w:rsidRPr="002F3613">
        <w:t xml:space="preserve">V prípade, ak sa akékoľvek ustanovenie Systému riadenia </w:t>
      </w:r>
      <w:r>
        <w:t xml:space="preserve">EŠIF </w:t>
      </w:r>
      <w:r w:rsidRPr="002F3613">
        <w:t>stane neplatným v dôsledku jeho rozporu s platným právnym poriadkom SR a EÚ, nespôsobí to neplatnosť celého Systému riadenia</w:t>
      </w:r>
      <w:r>
        <w:t xml:space="preserve"> EŠIF</w:t>
      </w:r>
      <w:r w:rsidRPr="002F3613">
        <w:t xml:space="preserve">. Vo všeobecnosti platí, že ak dôjde k takémuto rozporu, platia pre danú oblasť ustanovenia právne záväzných aktov EÚ a všeobecne záväzných právnych predpisov SR. </w:t>
      </w:r>
    </w:p>
    <w:p w14:paraId="024F4663" w14:textId="5908C0D6" w:rsidR="00C857B6" w:rsidRPr="002F3613" w:rsidRDefault="00C857B6" w:rsidP="002F3613">
      <w:pPr>
        <w:pStyle w:val="Odsekzoznamu"/>
        <w:spacing w:before="120" w:after="120"/>
        <w:ind w:left="426"/>
        <w:contextualSpacing w:val="0"/>
        <w:jc w:val="both"/>
      </w:pPr>
      <w:r>
        <w:t xml:space="preserve">V prípade, ak </w:t>
      </w:r>
      <w:r w:rsidR="00D32F2C">
        <w:t>vo výnimočných prípadoch nastane nesúlad medzi</w:t>
      </w:r>
      <w:r>
        <w:t xml:space="preserve"> Systém</w:t>
      </w:r>
      <w:r w:rsidR="00D32F2C">
        <w:t>om</w:t>
      </w:r>
      <w:r>
        <w:t xml:space="preserve"> riadenia EŠIF </w:t>
      </w:r>
      <w:r w:rsidR="00D32F2C">
        <w:t xml:space="preserve">a </w:t>
      </w:r>
      <w:r>
        <w:t xml:space="preserve">metodickými pokynmi </w:t>
      </w:r>
      <w:r w:rsidR="00D32F2C">
        <w:t>a vzormi formulárov, RO sa riadi ustanoveniami Systému riadenia EŠIF.</w:t>
      </w:r>
    </w:p>
    <w:p w14:paraId="7F86151E" w14:textId="04C6B08E" w:rsidR="00477086" w:rsidRPr="008935C3" w:rsidRDefault="008C334E">
      <w:pPr>
        <w:pStyle w:val="Odsekzoznamu"/>
        <w:numPr>
          <w:ilvl w:val="0"/>
          <w:numId w:val="329"/>
        </w:numPr>
        <w:spacing w:before="120" w:after="120"/>
        <w:ind w:left="426" w:hanging="426"/>
        <w:contextualSpacing w:val="0"/>
        <w:jc w:val="both"/>
      </w:pPr>
      <w:r>
        <w:t xml:space="preserve">CKO </w:t>
      </w:r>
      <w:r w:rsidRPr="008C334E">
        <w:t xml:space="preserve">vo vybraných oblastiach upravených Systémom riadenia EŠIF, okrem  dokumentov vydávaných v zmysle </w:t>
      </w:r>
      <w:hyperlink w:anchor="kapitola_12_ods_3_ac" w:tooltip="kapitoly 1.2 ods. 3, písm. a) až c)" w:history="1">
        <w:r w:rsidRPr="007E00F3">
          <w:rPr>
            <w:rStyle w:val="Hypertextovprepojenie"/>
          </w:rPr>
          <w:t>kapitoly 1.2 ods. 3 písm. a) až c)</w:t>
        </w:r>
      </w:hyperlink>
      <w:r w:rsidRPr="008C334E">
        <w:t xml:space="preserve"> </w:t>
      </w:r>
      <w:r w:rsidR="008935C3">
        <w:t xml:space="preserve">poskytuje výklady a </w:t>
      </w:r>
      <w:r w:rsidRPr="008C334E">
        <w:t>metodicky usmerňuje subjekty zapojené do riadenia a kontroly EŠIF podľa formy doručenej žiadosti o</w:t>
      </w:r>
      <w:r w:rsidR="008935C3">
        <w:t> </w:t>
      </w:r>
      <w:r w:rsidRPr="008C334E">
        <w:t>usmernenie</w:t>
      </w:r>
      <w:r w:rsidR="008935C3">
        <w:t>/výklad</w:t>
      </w:r>
      <w:r w:rsidR="00FC5E8C">
        <w:rPr>
          <w:rStyle w:val="Odkaznapoznmkupodiarou"/>
        </w:rPr>
        <w:footnoteReference w:id="5"/>
      </w:r>
      <w:r w:rsidRPr="008C334E">
        <w:t xml:space="preserve"> buď e-mailom, alebo osobitným listom.</w:t>
      </w:r>
      <w:r w:rsidR="00AA6D42" w:rsidRPr="008C334E">
        <w:t xml:space="preserve"> </w:t>
      </w:r>
      <w:r>
        <w:t>S cieľom</w:t>
      </w:r>
      <w:r w:rsidR="00AA6D42" w:rsidRPr="008C334E">
        <w:t xml:space="preserve"> </w:t>
      </w:r>
      <w:r w:rsidR="0004683B" w:rsidRPr="008C334E">
        <w:t>zabezpečenia dostupnosti vybraných</w:t>
      </w:r>
      <w:r w:rsidR="0004683B" w:rsidRPr="008C334E">
        <w:rPr>
          <w:rStyle w:val="Odkaznapoznmkupodiarou"/>
        </w:rPr>
        <w:footnoteReference w:id="6"/>
      </w:r>
      <w:r w:rsidR="0004683B" w:rsidRPr="008C334E">
        <w:t xml:space="preserve"> usmernení</w:t>
      </w:r>
      <w:r w:rsidR="008935C3">
        <w:t>/výkladov</w:t>
      </w:r>
      <w:r w:rsidR="0004683B" w:rsidRPr="008C334E">
        <w:t xml:space="preserve"> </w:t>
      </w:r>
      <w:r w:rsidR="008F4D56" w:rsidRPr="008C334E">
        <w:t xml:space="preserve">zo strany </w:t>
      </w:r>
      <w:r w:rsidR="0004683B" w:rsidRPr="008C334E">
        <w:t>všetký</w:t>
      </w:r>
      <w:r w:rsidR="008F4D56" w:rsidRPr="008C334E">
        <w:t>ch</w:t>
      </w:r>
      <w:r w:rsidR="0004683B" w:rsidRPr="008C334E">
        <w:t xml:space="preserve"> subjekto</w:t>
      </w:r>
      <w:r w:rsidR="008F4D56" w:rsidRPr="008C334E">
        <w:t>v</w:t>
      </w:r>
      <w:r w:rsidR="0004683B" w:rsidRPr="008C334E">
        <w:t xml:space="preserve"> zapojený</w:t>
      </w:r>
      <w:r w:rsidR="008F4D56" w:rsidRPr="008C334E">
        <w:t>ch</w:t>
      </w:r>
      <w:r w:rsidR="0004683B" w:rsidRPr="008C334E">
        <w:t xml:space="preserve"> do riadenia a kontroly EŠIF, </w:t>
      </w:r>
      <w:r w:rsidRPr="008C334E">
        <w:t xml:space="preserve">CKO k jednotlivým ustanoveniam platného Systému riadenia EŠIF </w:t>
      </w:r>
      <w:r w:rsidR="0004683B" w:rsidRPr="008C334E">
        <w:t xml:space="preserve">zverejňuje </w:t>
      </w:r>
      <w:r w:rsidRPr="008C334E">
        <w:t>za</w:t>
      </w:r>
      <w:r w:rsidR="008935C3">
        <w:t> </w:t>
      </w:r>
      <w:r w:rsidRPr="008C334E">
        <w:t>konkrétnym textom</w:t>
      </w:r>
      <w:r w:rsidR="0004683B" w:rsidRPr="008C334E">
        <w:t xml:space="preserve"> </w:t>
      </w:r>
      <w:r w:rsidR="00031256" w:rsidRPr="008C334E">
        <w:t xml:space="preserve">stručné </w:t>
      </w:r>
      <w:r w:rsidR="008F4D56" w:rsidRPr="008C334E">
        <w:t>komentáre. Komentáre vychádzajú z</w:t>
      </w:r>
      <w:r w:rsidR="008935C3">
        <w:t> </w:t>
      </w:r>
      <w:r w:rsidR="008F4D56" w:rsidRPr="008935C3">
        <w:t>usmernení</w:t>
      </w:r>
      <w:r w:rsidR="008935C3">
        <w:t>/výkladov</w:t>
      </w:r>
      <w:r w:rsidR="008F4D56" w:rsidRPr="008935C3">
        <w:t xml:space="preserve">, zaslaných </w:t>
      </w:r>
      <w:r w:rsidR="00223683" w:rsidRPr="008935C3">
        <w:t xml:space="preserve">zo strany CKO </w:t>
      </w:r>
      <w:r w:rsidR="008F4D56" w:rsidRPr="008935C3">
        <w:t>jednotlivým subjektom</w:t>
      </w:r>
      <w:r w:rsidR="00223683" w:rsidRPr="008935C3">
        <w:t xml:space="preserve"> a sú označené pri</w:t>
      </w:r>
      <w:r w:rsidRPr="008935C3">
        <w:t> </w:t>
      </w:r>
      <w:r w:rsidR="00223683" w:rsidRPr="008935C3">
        <w:t xml:space="preserve">konkrétnom texte Systému riadenia EŠIF hviezdičkou (*). </w:t>
      </w:r>
      <w:r w:rsidR="00031256" w:rsidRPr="008935C3">
        <w:t xml:space="preserve">V komentároch je uvedený odkaz na </w:t>
      </w:r>
      <w:r w:rsidRPr="008935C3">
        <w:t xml:space="preserve">zverejnený </w:t>
      </w:r>
      <w:r w:rsidR="00031256" w:rsidRPr="008935C3">
        <w:t>dokument, v ktorom sú usmernenia</w:t>
      </w:r>
      <w:r w:rsidR="008935C3">
        <w:t>/výklady</w:t>
      </w:r>
      <w:r w:rsidR="00031256" w:rsidRPr="008935C3">
        <w:t xml:space="preserve"> podrobnejšie rozpracované. </w:t>
      </w:r>
    </w:p>
    <w:p w14:paraId="55E513D0" w14:textId="4312258B" w:rsidR="00477086" w:rsidRPr="008C334E" w:rsidRDefault="00031256" w:rsidP="008C334E">
      <w:pPr>
        <w:pStyle w:val="Odsekzoznamu"/>
        <w:spacing w:before="120" w:after="120"/>
        <w:ind w:left="426"/>
        <w:contextualSpacing w:val="0"/>
        <w:jc w:val="both"/>
      </w:pPr>
      <w:r w:rsidRPr="00E629B6">
        <w:t xml:space="preserve">CKO </w:t>
      </w:r>
      <w:r w:rsidR="008C334E" w:rsidRPr="00E629B6">
        <w:t>dopĺňa</w:t>
      </w:r>
      <w:r w:rsidRPr="00E629B6">
        <w:t xml:space="preserve"> komentáre </w:t>
      </w:r>
      <w:r w:rsidR="003443AF">
        <w:t>priebežne, najneskôr vždy k poslednému dňu kalendárneho mesiaca (ak je to relevantné)</w:t>
      </w:r>
      <w:r w:rsidRPr="008C334E">
        <w:t xml:space="preserve">. </w:t>
      </w:r>
    </w:p>
    <w:p w14:paraId="5035EC67" w14:textId="2A371C1D" w:rsidR="00CE0E0D" w:rsidRPr="008C334E" w:rsidRDefault="00031256" w:rsidP="008C334E">
      <w:pPr>
        <w:pStyle w:val="Odsekzoznamu"/>
        <w:spacing w:before="120" w:after="120"/>
        <w:ind w:left="426"/>
        <w:contextualSpacing w:val="0"/>
        <w:jc w:val="both"/>
      </w:pPr>
      <w:r w:rsidRPr="008C334E">
        <w:lastRenderedPageBreak/>
        <w:t>Keďže komentáre vychádzajú z</w:t>
      </w:r>
      <w:r w:rsidR="008935C3">
        <w:t> </w:t>
      </w:r>
      <w:r w:rsidRPr="008935C3">
        <w:t>usmernení</w:t>
      </w:r>
      <w:r w:rsidR="008935C3">
        <w:t>/výkladov</w:t>
      </w:r>
      <w:r w:rsidRPr="008935C3">
        <w:t>, adresovaných jednotlivým subjektom na</w:t>
      </w:r>
      <w:r w:rsidR="008935C3">
        <w:t> </w:t>
      </w:r>
      <w:r w:rsidRPr="008935C3">
        <w:t xml:space="preserve">základe </w:t>
      </w:r>
      <w:r w:rsidR="00477086" w:rsidRPr="008935C3">
        <w:t xml:space="preserve">konkrétnej vzniknutej situácie a špecifických </w:t>
      </w:r>
      <w:r w:rsidR="00477086" w:rsidRPr="00E629B6">
        <w:t xml:space="preserve">podmienok, </w:t>
      </w:r>
      <w:r w:rsidR="008C334E" w:rsidRPr="00E629B6">
        <w:t xml:space="preserve">nie je </w:t>
      </w:r>
      <w:r w:rsidR="00DB643E">
        <w:t xml:space="preserve">ich </w:t>
      </w:r>
      <w:r w:rsidR="00477086" w:rsidRPr="008C334E">
        <w:t>možné považovať za záväzné.</w:t>
      </w:r>
    </w:p>
    <w:p w14:paraId="3FBAFD17" w14:textId="7EEA5939" w:rsidR="00B650E5" w:rsidRDefault="00AB4052">
      <w:pPr>
        <w:pStyle w:val="Odsekzoznamu"/>
        <w:numPr>
          <w:ilvl w:val="0"/>
          <w:numId w:val="329"/>
        </w:numPr>
        <w:spacing w:before="120" w:after="120"/>
        <w:ind w:left="426" w:hanging="426"/>
        <w:contextualSpacing w:val="0"/>
        <w:jc w:val="both"/>
      </w:pPr>
      <w:r w:rsidRPr="00F54043">
        <w:t xml:space="preserve">Lehota na zapracovanie zmien vyplývajúcich z novej verzie Systému riadenia EŠIF </w:t>
      </w:r>
      <w:r>
        <w:t>(ak je to relevantné)</w:t>
      </w:r>
      <w:r w:rsidR="001650B5">
        <w:t>, resp. vzorov formulárov a metodických pokynov (ak je to relevantné)</w:t>
      </w:r>
      <w:r>
        <w:t xml:space="preserve"> </w:t>
      </w:r>
      <w:r w:rsidRPr="00F54043">
        <w:t xml:space="preserve">je 30 pracovných dní od účinnosti </w:t>
      </w:r>
      <w:r>
        <w:t>novej verzie</w:t>
      </w:r>
      <w:r w:rsidRPr="00F54043">
        <w:t xml:space="preserve"> Systému riadenia EŠIF</w:t>
      </w:r>
      <w:r w:rsidR="001650B5">
        <w:t>, vzorov formulárov a metodických pokynov</w:t>
      </w:r>
      <w:r w:rsidR="00B650E5">
        <w:t xml:space="preserve">, pokiaľ nie </w:t>
      </w:r>
      <w:r w:rsidR="00A567D4">
        <w:t>je</w:t>
      </w:r>
      <w:r w:rsidR="00B650E5">
        <w:t xml:space="preserve"> priamo v texte Systému riadenia EŠIF</w:t>
      </w:r>
      <w:r w:rsidR="001650B5">
        <w:t>, vzoroch formulárov a metodických pokynoch</w:t>
      </w:r>
      <w:r w:rsidR="00B650E5">
        <w:t xml:space="preserve"> stanovený iný termín. </w:t>
      </w:r>
    </w:p>
    <w:p w14:paraId="038C34C0" w14:textId="77777777" w:rsidR="00B650E5" w:rsidRDefault="00B650E5">
      <w:pPr>
        <w:pStyle w:val="Odsekzoznamu"/>
        <w:numPr>
          <w:ilvl w:val="0"/>
          <w:numId w:val="329"/>
        </w:numPr>
        <w:spacing w:before="120" w:after="120"/>
        <w:ind w:left="426" w:hanging="426"/>
        <w:contextualSpacing w:val="0"/>
        <w:jc w:val="both"/>
      </w:pPr>
      <w:r>
        <w:t>Na účely Systému riadenia EŠIF sa pri použití jednotlivých pojmov týkajúcich sa EŠIF postupuje nasledovne:</w:t>
      </w:r>
    </w:p>
    <w:p w14:paraId="34D0519D" w14:textId="77777777" w:rsidR="00B650E5" w:rsidRDefault="00B650E5">
      <w:pPr>
        <w:pStyle w:val="Odsekzoznamu"/>
        <w:numPr>
          <w:ilvl w:val="1"/>
          <w:numId w:val="339"/>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14:paraId="36D7BFCA" w14:textId="77777777" w:rsidR="00B650E5" w:rsidRDefault="00B650E5">
      <w:pPr>
        <w:pStyle w:val="Odsekzoznamu"/>
        <w:numPr>
          <w:ilvl w:val="1"/>
          <w:numId w:val="339"/>
        </w:numPr>
        <w:spacing w:before="120" w:after="120"/>
        <w:ind w:left="851" w:hanging="425"/>
        <w:contextualSpacing w:val="0"/>
        <w:jc w:val="both"/>
      </w:pPr>
      <w:r>
        <w:t>štrukturálne fondy sú EFRR a ESF,</w:t>
      </w:r>
    </w:p>
    <w:p w14:paraId="0DE5745D" w14:textId="77777777" w:rsidR="00B650E5" w:rsidRDefault="00B650E5">
      <w:pPr>
        <w:pStyle w:val="Odsekzoznamu"/>
        <w:numPr>
          <w:ilvl w:val="1"/>
          <w:numId w:val="339"/>
        </w:numPr>
        <w:spacing w:before="120" w:after="120"/>
        <w:ind w:left="851" w:hanging="425"/>
        <w:contextualSpacing w:val="0"/>
        <w:jc w:val="both"/>
      </w:pPr>
      <w:r>
        <w:t>fondy sú štrukturálne fondy (EFRR a ESF) a KF,</w:t>
      </w:r>
    </w:p>
    <w:p w14:paraId="36ADCE4E" w14:textId="77777777" w:rsidR="00B650E5" w:rsidRDefault="00B650E5">
      <w:pPr>
        <w:pStyle w:val="Odsekzoznamu"/>
        <w:numPr>
          <w:ilvl w:val="1"/>
          <w:numId w:val="339"/>
        </w:numPr>
        <w:spacing w:before="120" w:after="120"/>
        <w:ind w:left="851" w:hanging="425"/>
        <w:contextualSpacing w:val="0"/>
        <w:jc w:val="both"/>
      </w:pPr>
      <w:r>
        <w:t xml:space="preserve">ak v niektorých ustanoveniach Systému riadenia EŠIF je použitý pojem ,,fondy“, aplikujú sa tieto ustanovenia aj na ENRF (ak z textu nevyplýva opak) s výnimkami uvedenými osobitne pre tento fond priamo v texte. </w:t>
      </w:r>
    </w:p>
    <w:p w14:paraId="44D05ADB" w14:textId="77777777" w:rsidR="00B650E5" w:rsidRDefault="00B650E5">
      <w:pPr>
        <w:pStyle w:val="Odsekzoznamu"/>
        <w:numPr>
          <w:ilvl w:val="0"/>
          <w:numId w:val="329"/>
        </w:numPr>
        <w:spacing w:before="120" w:after="120"/>
        <w:ind w:left="426" w:hanging="426"/>
        <w:contextualSpacing w:val="0"/>
        <w:jc w:val="both"/>
      </w:pPr>
      <w:r>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14:paraId="083A5935" w14:textId="77777777" w:rsidR="00B650E5" w:rsidRDefault="00B650E5">
      <w:pPr>
        <w:pStyle w:val="Odsekzoznamu"/>
        <w:numPr>
          <w:ilvl w:val="0"/>
          <w:numId w:val="329"/>
        </w:numPr>
        <w:spacing w:before="120" w:after="120"/>
        <w:ind w:left="426" w:hanging="426"/>
        <w:contextualSpacing w:val="0"/>
        <w:jc w:val="both"/>
      </w:pPr>
      <w:r>
        <w:t xml:space="preserve">Pre účely počítania lehôt v rámci procesov vykonávaných na úrovni jednotlivých OP sa v súlade s ustanoveniami zákona o príspevku z EŠIF použije správny poriadok - § 27 správneho poriadku, (pozn. § 28, </w:t>
      </w:r>
      <w:r w:rsidR="00C93F30">
        <w:t xml:space="preserve">t. j. </w:t>
      </w:r>
      <w:r>
        <w:t xml:space="preserve"> ustanovenia o zmeškaní lehoty sa neuplatní). Systém riadenia EŠIF stanovuje všetky lehoty v pracovných dňoch, ak v konkrétnom ustanovení nie je lehota uvedená výslovne v kalendárnych dňoch.</w:t>
      </w:r>
    </w:p>
    <w:p w14:paraId="417CEAF8" w14:textId="77777777" w:rsidR="00B650E5" w:rsidRDefault="00B650E5">
      <w:pPr>
        <w:pStyle w:val="Odsekzoznamu"/>
        <w:numPr>
          <w:ilvl w:val="0"/>
          <w:numId w:val="329"/>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14:paraId="704F0614" w14:textId="77777777" w:rsidR="00B650E5" w:rsidRDefault="00B650E5">
      <w:pPr>
        <w:pStyle w:val="Odsekzoznamu"/>
        <w:numPr>
          <w:ilvl w:val="0"/>
          <w:numId w:val="329"/>
        </w:numPr>
        <w:spacing w:before="120" w:after="120"/>
        <w:ind w:left="426" w:hanging="426"/>
        <w:contextualSpacing w:val="0"/>
        <w:jc w:val="both"/>
      </w:pPr>
      <w:r>
        <w:t>Pojmy použité v Systéme riadenia EŠIF majú význam, ktorý je upravený v platnej legislatíve EÚ (najmä čl. 2 všeobecného nariadenia) a SR (najmä § 3 zákona o príspevku z EŠIF), v ostatných prípadoch sú pojmy definované v rámci jednotlivých dokumentov vydávaných CKO/ÚV SR</w:t>
      </w:r>
      <w:r>
        <w:rPr>
          <w:rStyle w:val="Odkaznapoznmkupodiarou"/>
        </w:rPr>
        <w:footnoteReference w:id="7"/>
      </w:r>
      <w:r>
        <w:t xml:space="preserve"> v súlade so Systémom riadenia EŠIF. Ak nie je niektorý pojem definovaný, má význam, ktorý vyplýva z iných záväzných dokumentov, napr. Systém finančného riadenia štrukturálnych fondov, Kohézneho fondu a Európskeho námorného a rybárskeho fondu na programové obdobie 2014 – 2020 (ďalej len ,,Systém finančného riadenia“).</w:t>
      </w:r>
    </w:p>
    <w:p w14:paraId="22A9333D" w14:textId="77777777" w:rsidR="00B650E5" w:rsidRDefault="00B650E5">
      <w:pPr>
        <w:pStyle w:val="Odsekzoznamu"/>
        <w:numPr>
          <w:ilvl w:val="0"/>
          <w:numId w:val="329"/>
        </w:numPr>
        <w:spacing w:before="120" w:after="120"/>
        <w:ind w:left="426" w:hanging="426"/>
        <w:contextualSpacing w:val="0"/>
        <w:jc w:val="both"/>
      </w:pPr>
      <w:r>
        <w:t>Ak sa v Systéme riadenia EŠIF alebo </w:t>
      </w:r>
      <w:r w:rsidRPr="003425F6">
        <w:t>v dokumentoch</w:t>
      </w:r>
      <w:r>
        <w:t xml:space="preserve"> vypracovaných  CKO/ÚV SR uvádzajú pracovné pozície, tieto sa  uvádzajú pre obe pohlavia jednotne v mužskom rode.</w:t>
      </w:r>
    </w:p>
    <w:p w14:paraId="501F7C4F" w14:textId="77777777" w:rsidR="00B650E5" w:rsidRDefault="00B650E5">
      <w:pPr>
        <w:pStyle w:val="Odsekzoznamu"/>
        <w:numPr>
          <w:ilvl w:val="0"/>
          <w:numId w:val="329"/>
        </w:numPr>
        <w:spacing w:before="120" w:after="120"/>
        <w:ind w:left="426" w:hanging="426"/>
        <w:contextualSpacing w:val="0"/>
        <w:jc w:val="both"/>
      </w:pPr>
      <w:r>
        <w:lastRenderedPageBreak/>
        <w:t>Finančná kontrola začatá pred nadobudnutím účinnosti zákona o finančnej kontrole</w:t>
      </w:r>
      <w:r w:rsidR="001043DA">
        <w:t>,</w:t>
      </w:r>
      <w:r>
        <w:t xml:space="preserve"> t. j. pred 1. januárom 2016 sa dokončí podľa zákona č. 502/2001 Z. z. o finančnej kontrole a vnútornom audite a o zmene a doplnení niektorých zákonov v znení neskorších predpisov a Systému riadenia EŠIF, verzia 2.</w:t>
      </w:r>
    </w:p>
    <w:p w14:paraId="62F0B1AC" w14:textId="77777777" w:rsidR="00B650E5" w:rsidRDefault="00B650E5" w:rsidP="000E286B">
      <w:pPr>
        <w:pStyle w:val="Odsekzoznamu"/>
        <w:numPr>
          <w:ilvl w:val="0"/>
          <w:numId w:val="329"/>
        </w:numPr>
        <w:jc w:val="both"/>
      </w:pPr>
      <w:r w:rsidRPr="00763BA9">
        <w:t xml:space="preserve">Kontrola verejného obstarávania, ktorej predmetom je postup zadávania zákazky, preukázateľne začatý </w:t>
      </w:r>
      <w:r>
        <w:t xml:space="preserve">do 17. </w:t>
      </w:r>
      <w:r w:rsidRPr="00763BA9">
        <w:t>apríl</w:t>
      </w:r>
      <w:r>
        <w:t>a</w:t>
      </w:r>
      <w:r w:rsidRPr="00763BA9">
        <w:t xml:space="preserve"> 2016, sa vykoná podľa Systému riadenia EŠIF, verzia 3.</w:t>
      </w:r>
    </w:p>
    <w:p w14:paraId="46DCFE8F" w14:textId="77777777" w:rsidR="00B650E5" w:rsidRDefault="00B650E5">
      <w:pPr>
        <w:pStyle w:val="SRK3"/>
        <w:spacing w:before="120" w:after="120"/>
      </w:pPr>
      <w:bookmarkStart w:id="25" w:name="_Toc453233938"/>
      <w:bookmarkStart w:id="26" w:name="_Toc501629989"/>
      <w:r>
        <w:t>1.2.1 Zoznam použitých skratiek a vybraných pojmov</w:t>
      </w:r>
      <w:bookmarkEnd w:id="25"/>
      <w:bookmarkEnd w:id="26"/>
    </w:p>
    <w:p w14:paraId="271E7D15" w14:textId="77777777" w:rsidR="00B650E5" w:rsidRDefault="00B650E5" w:rsidP="00DE5D89">
      <w:pPr>
        <w:pStyle w:val="Odsekzoznamu"/>
        <w:numPr>
          <w:ilvl w:val="0"/>
          <w:numId w:val="335"/>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14:paraId="57B14CE5" w14:textId="77777777" w:rsidR="00B650E5" w:rsidRDefault="00B650E5">
      <w:pPr>
        <w:spacing w:before="120" w:after="120"/>
        <w:jc w:val="both"/>
      </w:pPr>
    </w:p>
    <w:tbl>
      <w:tblPr>
        <w:tblW w:w="9826" w:type="dxa"/>
        <w:tblInd w:w="70" w:type="dxa"/>
        <w:tblCellMar>
          <w:left w:w="70" w:type="dxa"/>
          <w:right w:w="70" w:type="dxa"/>
        </w:tblCellMar>
        <w:tblLook w:val="00A0" w:firstRow="1" w:lastRow="0" w:firstColumn="1" w:lastColumn="0" w:noHBand="0" w:noVBand="0"/>
      </w:tblPr>
      <w:tblGrid>
        <w:gridCol w:w="1977"/>
        <w:gridCol w:w="7849"/>
      </w:tblGrid>
      <w:tr w:rsidR="00B650E5" w14:paraId="2376BB54" w14:textId="77777777" w:rsidTr="00227685">
        <w:trPr>
          <w:trHeight w:val="315"/>
        </w:trPr>
        <w:tc>
          <w:tcPr>
            <w:tcW w:w="1977" w:type="dxa"/>
            <w:vAlign w:val="center"/>
          </w:tcPr>
          <w:p w14:paraId="47DFC4DB" w14:textId="77777777" w:rsidR="00B650E5" w:rsidRDefault="00B650E5">
            <w:pPr>
              <w:rPr>
                <w:color w:val="000000"/>
              </w:rPr>
            </w:pPr>
            <w:r>
              <w:rPr>
                <w:color w:val="000000"/>
              </w:rPr>
              <w:t>CBA</w:t>
            </w:r>
          </w:p>
        </w:tc>
        <w:tc>
          <w:tcPr>
            <w:tcW w:w="7849" w:type="dxa"/>
            <w:vAlign w:val="center"/>
          </w:tcPr>
          <w:p w14:paraId="6E8FF353" w14:textId="77777777" w:rsidR="00B650E5" w:rsidRDefault="00B650E5">
            <w:pPr>
              <w:rPr>
                <w:color w:val="000000"/>
              </w:rPr>
            </w:pPr>
            <w:r>
              <w:rPr>
                <w:color w:val="000000"/>
              </w:rPr>
              <w:t>analýza nákladov a prínosov projektu</w:t>
            </w:r>
          </w:p>
        </w:tc>
      </w:tr>
      <w:tr w:rsidR="00B650E5" w14:paraId="598B831F" w14:textId="77777777" w:rsidTr="00227685">
        <w:trPr>
          <w:trHeight w:val="315"/>
        </w:trPr>
        <w:tc>
          <w:tcPr>
            <w:tcW w:w="1977" w:type="dxa"/>
            <w:vAlign w:val="center"/>
          </w:tcPr>
          <w:p w14:paraId="1CFD48E1" w14:textId="77777777" w:rsidR="00B650E5" w:rsidRDefault="00B650E5">
            <w:pPr>
              <w:rPr>
                <w:color w:val="000000"/>
              </w:rPr>
            </w:pPr>
            <w:r>
              <w:rPr>
                <w:color w:val="000000"/>
              </w:rPr>
              <w:t>CKO</w:t>
            </w:r>
          </w:p>
        </w:tc>
        <w:tc>
          <w:tcPr>
            <w:tcW w:w="7849" w:type="dxa"/>
            <w:vAlign w:val="center"/>
          </w:tcPr>
          <w:p w14:paraId="3BE19E87" w14:textId="77777777" w:rsidR="00B650E5" w:rsidRDefault="00B650E5">
            <w:pPr>
              <w:rPr>
                <w:color w:val="000000"/>
              </w:rPr>
            </w:pPr>
            <w:r>
              <w:rPr>
                <w:color w:val="000000"/>
              </w:rPr>
              <w:t>Centrálny koordinačný orgán</w:t>
            </w:r>
          </w:p>
        </w:tc>
      </w:tr>
      <w:tr w:rsidR="00B650E5" w14:paraId="58F7A851" w14:textId="77777777" w:rsidTr="00227685">
        <w:trPr>
          <w:trHeight w:val="315"/>
        </w:trPr>
        <w:tc>
          <w:tcPr>
            <w:tcW w:w="1977" w:type="dxa"/>
            <w:vAlign w:val="center"/>
          </w:tcPr>
          <w:p w14:paraId="5832338C" w14:textId="77777777" w:rsidR="00B650E5" w:rsidRDefault="00B650E5">
            <w:pPr>
              <w:rPr>
                <w:color w:val="000000"/>
              </w:rPr>
            </w:pPr>
            <w:r>
              <w:rPr>
                <w:color w:val="000000"/>
              </w:rPr>
              <w:t>CLLD</w:t>
            </w:r>
          </w:p>
        </w:tc>
        <w:tc>
          <w:tcPr>
            <w:tcW w:w="7849" w:type="dxa"/>
            <w:vAlign w:val="center"/>
          </w:tcPr>
          <w:p w14:paraId="18F0624B" w14:textId="77777777" w:rsidR="00B650E5" w:rsidRDefault="00B650E5">
            <w:pPr>
              <w:rPr>
                <w:color w:val="000000"/>
              </w:rPr>
            </w:pPr>
            <w:r>
              <w:rPr>
                <w:color w:val="000000"/>
              </w:rPr>
              <w:t>miestny rozvoj vedený komunitou</w:t>
            </w:r>
          </w:p>
        </w:tc>
      </w:tr>
      <w:tr w:rsidR="00B650E5" w14:paraId="109E394F" w14:textId="77777777" w:rsidTr="00227685">
        <w:trPr>
          <w:trHeight w:val="315"/>
        </w:trPr>
        <w:tc>
          <w:tcPr>
            <w:tcW w:w="1977" w:type="dxa"/>
            <w:vAlign w:val="center"/>
          </w:tcPr>
          <w:p w14:paraId="300119CC" w14:textId="77777777" w:rsidR="00B650E5" w:rsidRDefault="00B650E5">
            <w:pPr>
              <w:rPr>
                <w:color w:val="000000"/>
              </w:rPr>
            </w:pPr>
            <w:r>
              <w:rPr>
                <w:color w:val="000000"/>
              </w:rPr>
              <w:t>CO</w:t>
            </w:r>
          </w:p>
        </w:tc>
        <w:tc>
          <w:tcPr>
            <w:tcW w:w="7849" w:type="dxa"/>
            <w:vAlign w:val="center"/>
          </w:tcPr>
          <w:p w14:paraId="35476FF1" w14:textId="77777777" w:rsidR="00B650E5" w:rsidRDefault="00B650E5">
            <w:pPr>
              <w:rPr>
                <w:color w:val="000000"/>
              </w:rPr>
            </w:pPr>
            <w:r>
              <w:rPr>
                <w:color w:val="000000"/>
              </w:rPr>
              <w:t>Certifikačný orgán</w:t>
            </w:r>
          </w:p>
        </w:tc>
      </w:tr>
      <w:tr w:rsidR="00B650E5" w14:paraId="63D76152" w14:textId="77777777" w:rsidTr="00227685">
        <w:trPr>
          <w:trHeight w:val="315"/>
        </w:trPr>
        <w:tc>
          <w:tcPr>
            <w:tcW w:w="1977" w:type="dxa"/>
            <w:vAlign w:val="center"/>
          </w:tcPr>
          <w:p w14:paraId="21094D7D" w14:textId="77777777" w:rsidR="00B650E5" w:rsidRDefault="00B650E5">
            <w:pPr>
              <w:rPr>
                <w:color w:val="000000"/>
              </w:rPr>
            </w:pPr>
            <w:r>
              <w:rPr>
                <w:color w:val="000000"/>
              </w:rPr>
              <w:t>COO</w:t>
            </w:r>
          </w:p>
        </w:tc>
        <w:tc>
          <w:tcPr>
            <w:tcW w:w="7849" w:type="dxa"/>
            <w:vAlign w:val="center"/>
          </w:tcPr>
          <w:p w14:paraId="7CEE7A51" w14:textId="77777777" w:rsidR="00B650E5" w:rsidRDefault="00B650E5">
            <w:pPr>
              <w:rPr>
                <w:color w:val="000000"/>
              </w:rPr>
            </w:pPr>
            <w:r>
              <w:rPr>
                <w:color w:val="000000"/>
              </w:rPr>
              <w:t>centrálna obstarávacia organizácia</w:t>
            </w:r>
          </w:p>
        </w:tc>
      </w:tr>
      <w:tr w:rsidR="00B650E5" w14:paraId="1F3268CC" w14:textId="77777777" w:rsidTr="00227685">
        <w:trPr>
          <w:trHeight w:val="315"/>
        </w:trPr>
        <w:tc>
          <w:tcPr>
            <w:tcW w:w="1977" w:type="dxa"/>
            <w:vAlign w:val="center"/>
          </w:tcPr>
          <w:p w14:paraId="58BD7635" w14:textId="77777777" w:rsidR="00B650E5" w:rsidRDefault="00B650E5">
            <w:pPr>
              <w:rPr>
                <w:color w:val="000000"/>
              </w:rPr>
            </w:pPr>
            <w:r>
              <w:rPr>
                <w:color w:val="000000"/>
              </w:rPr>
              <w:t>EDA</w:t>
            </w:r>
          </w:p>
        </w:tc>
        <w:tc>
          <w:tcPr>
            <w:tcW w:w="7849" w:type="dxa"/>
            <w:vAlign w:val="center"/>
          </w:tcPr>
          <w:p w14:paraId="776CACE9" w14:textId="77777777" w:rsidR="00B650E5" w:rsidRDefault="00B650E5">
            <w:pPr>
              <w:rPr>
                <w:color w:val="000000"/>
              </w:rPr>
            </w:pPr>
            <w:r>
              <w:rPr>
                <w:color w:val="000000"/>
              </w:rPr>
              <w:t>Európsky dvor audítorov</w:t>
            </w:r>
          </w:p>
        </w:tc>
      </w:tr>
      <w:tr w:rsidR="00B650E5" w14:paraId="07645501" w14:textId="77777777" w:rsidTr="00227685">
        <w:trPr>
          <w:trHeight w:val="315"/>
        </w:trPr>
        <w:tc>
          <w:tcPr>
            <w:tcW w:w="1977" w:type="dxa"/>
            <w:vAlign w:val="center"/>
          </w:tcPr>
          <w:p w14:paraId="6BEB2137" w14:textId="77777777" w:rsidR="00B650E5" w:rsidRDefault="00B650E5">
            <w:pPr>
              <w:rPr>
                <w:color w:val="000000"/>
              </w:rPr>
            </w:pPr>
            <w:r>
              <w:rPr>
                <w:color w:val="000000"/>
              </w:rPr>
              <w:t>EFRR</w:t>
            </w:r>
          </w:p>
        </w:tc>
        <w:tc>
          <w:tcPr>
            <w:tcW w:w="7849" w:type="dxa"/>
            <w:vAlign w:val="center"/>
          </w:tcPr>
          <w:p w14:paraId="36662348" w14:textId="77777777" w:rsidR="00B650E5" w:rsidRDefault="00B650E5">
            <w:pPr>
              <w:rPr>
                <w:color w:val="000000"/>
              </w:rPr>
            </w:pPr>
            <w:r>
              <w:rPr>
                <w:color w:val="000000"/>
              </w:rPr>
              <w:t>Európsky fond regionálneho rozvoja</w:t>
            </w:r>
          </w:p>
        </w:tc>
      </w:tr>
      <w:tr w:rsidR="00B650E5" w14:paraId="4E8E2A5C" w14:textId="77777777" w:rsidTr="00227685">
        <w:trPr>
          <w:trHeight w:val="315"/>
        </w:trPr>
        <w:tc>
          <w:tcPr>
            <w:tcW w:w="1977" w:type="dxa"/>
            <w:vAlign w:val="center"/>
          </w:tcPr>
          <w:p w14:paraId="2F1DC4A8" w14:textId="77777777" w:rsidR="00B650E5" w:rsidRDefault="00B650E5">
            <w:pPr>
              <w:rPr>
                <w:color w:val="000000"/>
              </w:rPr>
            </w:pPr>
            <w:r>
              <w:rPr>
                <w:color w:val="000000"/>
              </w:rPr>
              <w:t>EIB</w:t>
            </w:r>
          </w:p>
        </w:tc>
        <w:tc>
          <w:tcPr>
            <w:tcW w:w="7849" w:type="dxa"/>
            <w:vAlign w:val="center"/>
          </w:tcPr>
          <w:p w14:paraId="240E2AD6" w14:textId="77777777" w:rsidR="00B650E5" w:rsidRDefault="00B650E5">
            <w:pPr>
              <w:rPr>
                <w:color w:val="000000"/>
              </w:rPr>
            </w:pPr>
            <w:r>
              <w:rPr>
                <w:color w:val="000000"/>
              </w:rPr>
              <w:t>Európska investičná banka</w:t>
            </w:r>
          </w:p>
        </w:tc>
      </w:tr>
      <w:tr w:rsidR="00B650E5" w14:paraId="728E0ECA" w14:textId="77777777" w:rsidTr="00227685">
        <w:trPr>
          <w:trHeight w:val="315"/>
        </w:trPr>
        <w:tc>
          <w:tcPr>
            <w:tcW w:w="1977" w:type="dxa"/>
            <w:vAlign w:val="center"/>
          </w:tcPr>
          <w:p w14:paraId="3EFBE45D" w14:textId="77777777" w:rsidR="00B650E5" w:rsidRDefault="00B650E5">
            <w:pPr>
              <w:rPr>
                <w:color w:val="000000"/>
              </w:rPr>
            </w:pPr>
            <w:r>
              <w:rPr>
                <w:color w:val="000000"/>
              </w:rPr>
              <w:t>EK</w:t>
            </w:r>
          </w:p>
        </w:tc>
        <w:tc>
          <w:tcPr>
            <w:tcW w:w="7849" w:type="dxa"/>
            <w:vAlign w:val="center"/>
          </w:tcPr>
          <w:p w14:paraId="60748E90" w14:textId="77777777" w:rsidR="00B650E5" w:rsidRDefault="00B650E5">
            <w:pPr>
              <w:rPr>
                <w:color w:val="000000"/>
              </w:rPr>
            </w:pPr>
            <w:r>
              <w:rPr>
                <w:color w:val="000000"/>
              </w:rPr>
              <w:t>Európska komisia</w:t>
            </w:r>
          </w:p>
        </w:tc>
      </w:tr>
      <w:tr w:rsidR="00B650E5" w14:paraId="1AAB4528" w14:textId="77777777" w:rsidTr="00227685">
        <w:trPr>
          <w:trHeight w:val="315"/>
        </w:trPr>
        <w:tc>
          <w:tcPr>
            <w:tcW w:w="1977" w:type="dxa"/>
            <w:vAlign w:val="center"/>
          </w:tcPr>
          <w:p w14:paraId="4EDA4B7A" w14:textId="77777777" w:rsidR="00B650E5" w:rsidRDefault="00B650E5">
            <w:pPr>
              <w:rPr>
                <w:color w:val="000000"/>
              </w:rPr>
            </w:pPr>
            <w:r>
              <w:rPr>
                <w:color w:val="000000"/>
              </w:rPr>
              <w:t>ENRF</w:t>
            </w:r>
          </w:p>
        </w:tc>
        <w:tc>
          <w:tcPr>
            <w:tcW w:w="7849" w:type="dxa"/>
            <w:vAlign w:val="center"/>
          </w:tcPr>
          <w:p w14:paraId="278E56F9" w14:textId="77777777" w:rsidR="00B650E5" w:rsidRDefault="00B650E5">
            <w:pPr>
              <w:rPr>
                <w:color w:val="000000"/>
              </w:rPr>
            </w:pPr>
            <w:r>
              <w:rPr>
                <w:color w:val="000000"/>
              </w:rPr>
              <w:t>Európsky námorný a rybársky fond</w:t>
            </w:r>
          </w:p>
        </w:tc>
      </w:tr>
      <w:tr w:rsidR="00B650E5" w14:paraId="40D6B5FD" w14:textId="77777777" w:rsidTr="00227685">
        <w:trPr>
          <w:trHeight w:val="315"/>
        </w:trPr>
        <w:tc>
          <w:tcPr>
            <w:tcW w:w="1977" w:type="dxa"/>
            <w:vAlign w:val="center"/>
          </w:tcPr>
          <w:p w14:paraId="3788D9F0" w14:textId="77777777" w:rsidR="00B650E5" w:rsidRDefault="00B650E5">
            <w:pPr>
              <w:rPr>
                <w:color w:val="000000"/>
              </w:rPr>
            </w:pPr>
            <w:r>
              <w:rPr>
                <w:color w:val="000000"/>
              </w:rPr>
              <w:t>EPFRV</w:t>
            </w:r>
          </w:p>
        </w:tc>
        <w:tc>
          <w:tcPr>
            <w:tcW w:w="7849" w:type="dxa"/>
            <w:vAlign w:val="center"/>
          </w:tcPr>
          <w:p w14:paraId="181D8DD4" w14:textId="77777777" w:rsidR="00B650E5" w:rsidRDefault="00B650E5">
            <w:pPr>
              <w:rPr>
                <w:color w:val="000000"/>
              </w:rPr>
            </w:pPr>
            <w:r>
              <w:rPr>
                <w:color w:val="000000"/>
              </w:rPr>
              <w:t>Európsky poľnohospodársky fond pre rozvoj vidieka</w:t>
            </w:r>
          </w:p>
        </w:tc>
      </w:tr>
      <w:tr w:rsidR="00B650E5" w14:paraId="4DC5EF3A" w14:textId="77777777" w:rsidTr="00227685">
        <w:trPr>
          <w:trHeight w:val="315"/>
        </w:trPr>
        <w:tc>
          <w:tcPr>
            <w:tcW w:w="1977" w:type="dxa"/>
            <w:vAlign w:val="center"/>
          </w:tcPr>
          <w:p w14:paraId="081078B1" w14:textId="77777777" w:rsidR="00B650E5" w:rsidRDefault="00B650E5">
            <w:pPr>
              <w:rPr>
                <w:color w:val="000000"/>
              </w:rPr>
            </w:pPr>
            <w:r>
              <w:rPr>
                <w:color w:val="000000"/>
              </w:rPr>
              <w:t>ESD</w:t>
            </w:r>
          </w:p>
        </w:tc>
        <w:tc>
          <w:tcPr>
            <w:tcW w:w="7849" w:type="dxa"/>
            <w:vAlign w:val="center"/>
          </w:tcPr>
          <w:p w14:paraId="7AF2C03D" w14:textId="77777777" w:rsidR="00B650E5" w:rsidRDefault="00B650E5">
            <w:pPr>
              <w:rPr>
                <w:color w:val="000000"/>
              </w:rPr>
            </w:pPr>
            <w:r>
              <w:rPr>
                <w:color w:val="000000"/>
              </w:rPr>
              <w:t>Európsky súdny dvor</w:t>
            </w:r>
          </w:p>
        </w:tc>
      </w:tr>
      <w:tr w:rsidR="00B650E5" w14:paraId="6853C6D1" w14:textId="77777777" w:rsidTr="00227685">
        <w:trPr>
          <w:trHeight w:val="315"/>
        </w:trPr>
        <w:tc>
          <w:tcPr>
            <w:tcW w:w="1977" w:type="dxa"/>
            <w:vAlign w:val="center"/>
          </w:tcPr>
          <w:p w14:paraId="3D7762B5" w14:textId="77777777" w:rsidR="00B650E5" w:rsidRDefault="00B650E5">
            <w:pPr>
              <w:rPr>
                <w:color w:val="000000"/>
              </w:rPr>
            </w:pPr>
            <w:r>
              <w:rPr>
                <w:color w:val="000000"/>
              </w:rPr>
              <w:t>ESF</w:t>
            </w:r>
          </w:p>
        </w:tc>
        <w:tc>
          <w:tcPr>
            <w:tcW w:w="7849" w:type="dxa"/>
            <w:vAlign w:val="center"/>
          </w:tcPr>
          <w:p w14:paraId="28127D0B" w14:textId="77777777" w:rsidR="00B650E5" w:rsidRDefault="00B650E5">
            <w:pPr>
              <w:rPr>
                <w:color w:val="000000"/>
              </w:rPr>
            </w:pPr>
            <w:r>
              <w:rPr>
                <w:color w:val="000000"/>
              </w:rPr>
              <w:t>Európsky sociálny fond</w:t>
            </w:r>
          </w:p>
        </w:tc>
      </w:tr>
      <w:tr w:rsidR="00B650E5" w14:paraId="04C3BBCE" w14:textId="77777777" w:rsidTr="00227685">
        <w:trPr>
          <w:trHeight w:val="315"/>
        </w:trPr>
        <w:tc>
          <w:tcPr>
            <w:tcW w:w="1977" w:type="dxa"/>
            <w:vAlign w:val="center"/>
          </w:tcPr>
          <w:p w14:paraId="70FF2620" w14:textId="77777777" w:rsidR="00B650E5" w:rsidRDefault="00B650E5">
            <w:pPr>
              <w:rPr>
                <w:color w:val="000000"/>
              </w:rPr>
            </w:pPr>
            <w:r>
              <w:rPr>
                <w:color w:val="000000"/>
              </w:rPr>
              <w:t>EŠIF</w:t>
            </w:r>
          </w:p>
        </w:tc>
        <w:tc>
          <w:tcPr>
            <w:tcW w:w="7849" w:type="dxa"/>
            <w:vAlign w:val="center"/>
          </w:tcPr>
          <w:p w14:paraId="0766908A" w14:textId="77777777" w:rsidR="00B650E5" w:rsidRDefault="00B650E5">
            <w:pPr>
              <w:rPr>
                <w:color w:val="000000"/>
              </w:rPr>
            </w:pPr>
            <w:r>
              <w:rPr>
                <w:color w:val="000000"/>
              </w:rPr>
              <w:t>európske štrukturálne a investičné fondy</w:t>
            </w:r>
          </w:p>
        </w:tc>
      </w:tr>
      <w:tr w:rsidR="00B650E5" w14:paraId="44E02F39" w14:textId="77777777" w:rsidTr="00227685">
        <w:trPr>
          <w:trHeight w:val="315"/>
        </w:trPr>
        <w:tc>
          <w:tcPr>
            <w:tcW w:w="1977" w:type="dxa"/>
            <w:vAlign w:val="center"/>
          </w:tcPr>
          <w:p w14:paraId="64086DC1" w14:textId="77777777" w:rsidR="00B650E5" w:rsidRDefault="00B650E5">
            <w:pPr>
              <w:rPr>
                <w:color w:val="000000"/>
              </w:rPr>
            </w:pPr>
            <w:r>
              <w:rPr>
                <w:color w:val="000000"/>
              </w:rPr>
              <w:t>EÚ</w:t>
            </w:r>
          </w:p>
        </w:tc>
        <w:tc>
          <w:tcPr>
            <w:tcW w:w="7849" w:type="dxa"/>
            <w:vAlign w:val="center"/>
          </w:tcPr>
          <w:p w14:paraId="32676D7D" w14:textId="77777777" w:rsidR="00B650E5" w:rsidRDefault="00B650E5">
            <w:pPr>
              <w:rPr>
                <w:color w:val="000000"/>
              </w:rPr>
            </w:pPr>
            <w:r>
              <w:rPr>
                <w:color w:val="000000"/>
              </w:rPr>
              <w:t>Európska Únia</w:t>
            </w:r>
          </w:p>
        </w:tc>
      </w:tr>
      <w:tr w:rsidR="00B650E5" w14:paraId="1C50357D" w14:textId="77777777" w:rsidTr="00227685">
        <w:trPr>
          <w:trHeight w:val="315"/>
        </w:trPr>
        <w:tc>
          <w:tcPr>
            <w:tcW w:w="1977" w:type="dxa"/>
            <w:vAlign w:val="center"/>
          </w:tcPr>
          <w:p w14:paraId="67807D3D" w14:textId="77777777" w:rsidR="00B650E5" w:rsidRDefault="00B650E5">
            <w:pPr>
              <w:rPr>
                <w:color w:val="000000"/>
              </w:rPr>
            </w:pPr>
            <w:r>
              <w:rPr>
                <w:color w:val="000000"/>
              </w:rPr>
              <w:t>EÚS</w:t>
            </w:r>
          </w:p>
        </w:tc>
        <w:tc>
          <w:tcPr>
            <w:tcW w:w="7849" w:type="dxa"/>
            <w:vAlign w:val="center"/>
          </w:tcPr>
          <w:p w14:paraId="47517DB4" w14:textId="77777777" w:rsidR="00B650E5" w:rsidRDefault="00B650E5">
            <w:pPr>
              <w:rPr>
                <w:color w:val="000000"/>
              </w:rPr>
            </w:pPr>
            <w:r>
              <w:rPr>
                <w:color w:val="000000"/>
              </w:rPr>
              <w:t>Európska územná spolupráca</w:t>
            </w:r>
          </w:p>
        </w:tc>
      </w:tr>
      <w:tr w:rsidR="00B650E5" w14:paraId="52994E81" w14:textId="77777777" w:rsidTr="00227685">
        <w:trPr>
          <w:trHeight w:val="315"/>
        </w:trPr>
        <w:tc>
          <w:tcPr>
            <w:tcW w:w="1977" w:type="dxa"/>
            <w:vAlign w:val="center"/>
          </w:tcPr>
          <w:p w14:paraId="4C20C0BF" w14:textId="77777777" w:rsidR="00B650E5" w:rsidRPr="00172982" w:rsidRDefault="00B650E5">
            <w:pPr>
              <w:rPr>
                <w:color w:val="000000"/>
              </w:rPr>
            </w:pPr>
            <w:r w:rsidRPr="00172982">
              <w:rPr>
                <w:color w:val="000000"/>
              </w:rPr>
              <w:t>EZÚS</w:t>
            </w:r>
          </w:p>
        </w:tc>
        <w:tc>
          <w:tcPr>
            <w:tcW w:w="7849" w:type="dxa"/>
            <w:vAlign w:val="center"/>
          </w:tcPr>
          <w:p w14:paraId="1F8F2C0A" w14:textId="77777777" w:rsidR="00B650E5" w:rsidRDefault="00B650E5">
            <w:pPr>
              <w:jc w:val="both"/>
              <w:rPr>
                <w:color w:val="000000"/>
              </w:rPr>
            </w:pPr>
            <w:r w:rsidRPr="00172982">
              <w:rPr>
                <w:color w:val="000000"/>
              </w:rPr>
              <w:t>Európske zoskupenie územnej spolupráce</w:t>
            </w:r>
          </w:p>
        </w:tc>
      </w:tr>
      <w:tr w:rsidR="00B650E5" w14:paraId="29F44C1C" w14:textId="77777777" w:rsidTr="00227685">
        <w:trPr>
          <w:trHeight w:val="630"/>
        </w:trPr>
        <w:tc>
          <w:tcPr>
            <w:tcW w:w="1977" w:type="dxa"/>
            <w:vAlign w:val="center"/>
          </w:tcPr>
          <w:p w14:paraId="5E6580A8" w14:textId="77777777" w:rsidR="00B650E5" w:rsidRPr="00172982" w:rsidRDefault="00B650E5">
            <w:pPr>
              <w:rPr>
                <w:color w:val="000000"/>
              </w:rPr>
            </w:pPr>
            <w:r w:rsidRPr="00893512">
              <w:rPr>
                <w:color w:val="000000"/>
              </w:rPr>
              <w:t>HP</w:t>
            </w:r>
          </w:p>
        </w:tc>
        <w:tc>
          <w:tcPr>
            <w:tcW w:w="7849" w:type="dxa"/>
            <w:vAlign w:val="center"/>
          </w:tcPr>
          <w:p w14:paraId="7705860B" w14:textId="77777777" w:rsidR="00B650E5" w:rsidRPr="00172982" w:rsidRDefault="00B650E5">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p>
        </w:tc>
      </w:tr>
      <w:tr w:rsidR="00B650E5" w14:paraId="5DD84C96" w14:textId="77777777" w:rsidTr="00227685">
        <w:trPr>
          <w:trHeight w:val="315"/>
        </w:trPr>
        <w:tc>
          <w:tcPr>
            <w:tcW w:w="1977" w:type="dxa"/>
            <w:vAlign w:val="center"/>
          </w:tcPr>
          <w:p w14:paraId="1C18883E" w14:textId="77777777" w:rsidR="00B650E5" w:rsidRDefault="00B650E5">
            <w:pPr>
              <w:rPr>
                <w:color w:val="000000"/>
              </w:rPr>
            </w:pPr>
            <w:r>
              <w:rPr>
                <w:color w:val="000000"/>
              </w:rPr>
              <w:t>IPC</w:t>
            </w:r>
          </w:p>
        </w:tc>
        <w:tc>
          <w:tcPr>
            <w:tcW w:w="7849" w:type="dxa"/>
            <w:vAlign w:val="center"/>
          </w:tcPr>
          <w:p w14:paraId="742F8398" w14:textId="77777777" w:rsidR="00B650E5" w:rsidRDefault="00B650E5">
            <w:pPr>
              <w:rPr>
                <w:color w:val="000000"/>
              </w:rPr>
            </w:pPr>
            <w:r>
              <w:rPr>
                <w:color w:val="000000"/>
              </w:rPr>
              <w:t xml:space="preserve">informačno-poradenské centrá </w:t>
            </w:r>
          </w:p>
        </w:tc>
      </w:tr>
      <w:tr w:rsidR="00B650E5" w14:paraId="75834D57" w14:textId="77777777" w:rsidTr="00227685">
        <w:trPr>
          <w:trHeight w:val="315"/>
        </w:trPr>
        <w:tc>
          <w:tcPr>
            <w:tcW w:w="1977" w:type="dxa"/>
            <w:vAlign w:val="center"/>
          </w:tcPr>
          <w:p w14:paraId="4DFF05C3" w14:textId="77777777" w:rsidR="00B650E5" w:rsidRDefault="00B650E5">
            <w:pPr>
              <w:rPr>
                <w:color w:val="000000"/>
              </w:rPr>
            </w:pPr>
            <w:r>
              <w:rPr>
                <w:color w:val="000000"/>
              </w:rPr>
              <w:t>IROP</w:t>
            </w:r>
          </w:p>
        </w:tc>
        <w:tc>
          <w:tcPr>
            <w:tcW w:w="7849" w:type="dxa"/>
            <w:vAlign w:val="bottom"/>
          </w:tcPr>
          <w:p w14:paraId="4B8CD990" w14:textId="77777777" w:rsidR="00B650E5" w:rsidRDefault="00B650E5">
            <w:pPr>
              <w:rPr>
                <w:color w:val="000000"/>
              </w:rPr>
            </w:pPr>
            <w:r>
              <w:rPr>
                <w:color w:val="000000"/>
              </w:rPr>
              <w:t>Integrovaný regionálny operačný program</w:t>
            </w:r>
          </w:p>
        </w:tc>
      </w:tr>
      <w:tr w:rsidR="00B650E5" w14:paraId="1BE95EAF" w14:textId="77777777" w:rsidTr="00227685">
        <w:trPr>
          <w:trHeight w:val="315"/>
        </w:trPr>
        <w:tc>
          <w:tcPr>
            <w:tcW w:w="1977" w:type="dxa"/>
            <w:vAlign w:val="center"/>
          </w:tcPr>
          <w:p w14:paraId="493AEF40" w14:textId="77777777" w:rsidR="00B650E5" w:rsidRDefault="00B650E5">
            <w:pPr>
              <w:rPr>
                <w:color w:val="000000"/>
              </w:rPr>
            </w:pPr>
            <w:r>
              <w:rPr>
                <w:color w:val="000000"/>
              </w:rPr>
              <w:t>IS PPA</w:t>
            </w:r>
          </w:p>
        </w:tc>
        <w:tc>
          <w:tcPr>
            <w:tcW w:w="7849" w:type="dxa"/>
            <w:vAlign w:val="center"/>
          </w:tcPr>
          <w:p w14:paraId="74F952C6" w14:textId="77777777" w:rsidR="00B650E5" w:rsidRDefault="00B650E5">
            <w:pPr>
              <w:rPr>
                <w:color w:val="000000"/>
              </w:rPr>
            </w:pPr>
            <w:r>
              <w:rPr>
                <w:color w:val="000000"/>
              </w:rPr>
              <w:t>informačný systém Pôdohospodárskej platobnej agentúry</w:t>
            </w:r>
          </w:p>
        </w:tc>
      </w:tr>
      <w:tr w:rsidR="00B650E5" w14:paraId="104BDE95" w14:textId="77777777" w:rsidTr="00227685">
        <w:trPr>
          <w:trHeight w:val="315"/>
        </w:trPr>
        <w:tc>
          <w:tcPr>
            <w:tcW w:w="1977" w:type="dxa"/>
            <w:vAlign w:val="center"/>
          </w:tcPr>
          <w:p w14:paraId="62E210A7" w14:textId="77777777" w:rsidR="00B650E5" w:rsidRDefault="00B650E5">
            <w:pPr>
              <w:rPr>
                <w:color w:val="000000"/>
              </w:rPr>
            </w:pPr>
            <w:r>
              <w:rPr>
                <w:color w:val="000000"/>
              </w:rPr>
              <w:t>IÚI</w:t>
            </w:r>
          </w:p>
        </w:tc>
        <w:tc>
          <w:tcPr>
            <w:tcW w:w="7849" w:type="dxa"/>
            <w:vAlign w:val="center"/>
          </w:tcPr>
          <w:p w14:paraId="15A5AF89" w14:textId="77777777" w:rsidR="00B650E5" w:rsidRDefault="00B650E5">
            <w:pPr>
              <w:rPr>
                <w:color w:val="000000"/>
              </w:rPr>
            </w:pPr>
            <w:r>
              <w:rPr>
                <w:color w:val="000000"/>
              </w:rPr>
              <w:t>integrované územné investície</w:t>
            </w:r>
          </w:p>
        </w:tc>
      </w:tr>
      <w:tr w:rsidR="00B650E5" w14:paraId="21B2C709" w14:textId="77777777" w:rsidTr="00227685">
        <w:trPr>
          <w:trHeight w:val="315"/>
        </w:trPr>
        <w:tc>
          <w:tcPr>
            <w:tcW w:w="1977" w:type="dxa"/>
            <w:vAlign w:val="center"/>
          </w:tcPr>
          <w:p w14:paraId="49A6BC5E" w14:textId="77777777" w:rsidR="00B650E5" w:rsidRDefault="00B650E5">
            <w:pPr>
              <w:rPr>
                <w:color w:val="000000"/>
              </w:rPr>
            </w:pPr>
            <w:r>
              <w:rPr>
                <w:color w:val="000000"/>
              </w:rPr>
              <w:t>IÚSMO</w:t>
            </w:r>
          </w:p>
        </w:tc>
        <w:tc>
          <w:tcPr>
            <w:tcW w:w="7849" w:type="dxa"/>
            <w:vAlign w:val="bottom"/>
          </w:tcPr>
          <w:p w14:paraId="1C952B81" w14:textId="77777777" w:rsidR="00B650E5" w:rsidRDefault="00B650E5">
            <w:pPr>
              <w:rPr>
                <w:color w:val="000000"/>
              </w:rPr>
            </w:pPr>
            <w:r>
              <w:rPr>
                <w:color w:val="000000"/>
              </w:rPr>
              <w:t>Integrovaná územná stratégia mestskej oblasti</w:t>
            </w:r>
          </w:p>
        </w:tc>
      </w:tr>
      <w:tr w:rsidR="00B650E5" w14:paraId="0533FE13" w14:textId="77777777" w:rsidTr="00227685">
        <w:trPr>
          <w:trHeight w:val="315"/>
        </w:trPr>
        <w:tc>
          <w:tcPr>
            <w:tcW w:w="1977" w:type="dxa"/>
            <w:vAlign w:val="center"/>
          </w:tcPr>
          <w:p w14:paraId="628A6F92" w14:textId="77777777" w:rsidR="00B650E5" w:rsidRDefault="00B650E5">
            <w:pPr>
              <w:rPr>
                <w:color w:val="000000"/>
              </w:rPr>
            </w:pPr>
            <w:r>
              <w:rPr>
                <w:color w:val="000000"/>
              </w:rPr>
              <w:lastRenderedPageBreak/>
              <w:t>KF</w:t>
            </w:r>
          </w:p>
        </w:tc>
        <w:tc>
          <w:tcPr>
            <w:tcW w:w="7849" w:type="dxa"/>
            <w:vAlign w:val="center"/>
          </w:tcPr>
          <w:p w14:paraId="73E722EE" w14:textId="77777777" w:rsidR="00B650E5" w:rsidRDefault="00B650E5">
            <w:pPr>
              <w:rPr>
                <w:color w:val="000000"/>
              </w:rPr>
            </w:pPr>
            <w:r>
              <w:rPr>
                <w:color w:val="000000"/>
              </w:rPr>
              <w:t>Kohézny fond</w:t>
            </w:r>
          </w:p>
        </w:tc>
      </w:tr>
      <w:tr w:rsidR="00B650E5" w14:paraId="2FFEFAF8" w14:textId="77777777" w:rsidTr="00227685">
        <w:trPr>
          <w:trHeight w:val="315"/>
        </w:trPr>
        <w:tc>
          <w:tcPr>
            <w:tcW w:w="1977" w:type="dxa"/>
            <w:vAlign w:val="center"/>
          </w:tcPr>
          <w:p w14:paraId="36A6CAE3" w14:textId="77777777" w:rsidR="00B650E5" w:rsidRDefault="00B650E5">
            <w:pPr>
              <w:rPr>
                <w:color w:val="000000"/>
              </w:rPr>
            </w:pPr>
            <w:r>
              <w:rPr>
                <w:color w:val="000000"/>
              </w:rPr>
              <w:t>MP</w:t>
            </w:r>
          </w:p>
        </w:tc>
        <w:tc>
          <w:tcPr>
            <w:tcW w:w="7849" w:type="dxa"/>
            <w:vAlign w:val="center"/>
          </w:tcPr>
          <w:p w14:paraId="37C231D8" w14:textId="77777777" w:rsidR="00B650E5" w:rsidRDefault="00B650E5">
            <w:pPr>
              <w:rPr>
                <w:color w:val="000000"/>
              </w:rPr>
            </w:pPr>
            <w:r>
              <w:rPr>
                <w:color w:val="000000"/>
              </w:rPr>
              <w:t>metodický pokyn</w:t>
            </w:r>
          </w:p>
        </w:tc>
      </w:tr>
      <w:tr w:rsidR="00B650E5" w14:paraId="4F47D229" w14:textId="77777777" w:rsidTr="00227685">
        <w:trPr>
          <w:trHeight w:val="315"/>
        </w:trPr>
        <w:tc>
          <w:tcPr>
            <w:tcW w:w="1977" w:type="dxa"/>
            <w:vAlign w:val="center"/>
          </w:tcPr>
          <w:p w14:paraId="63EECB37" w14:textId="77777777" w:rsidR="00B650E5" w:rsidRDefault="00B650E5">
            <w:pPr>
              <w:rPr>
                <w:color w:val="000000"/>
              </w:rPr>
            </w:pPr>
            <w:r>
              <w:rPr>
                <w:color w:val="000000"/>
              </w:rPr>
              <w:t>MSP</w:t>
            </w:r>
          </w:p>
        </w:tc>
        <w:tc>
          <w:tcPr>
            <w:tcW w:w="7849" w:type="dxa"/>
            <w:vAlign w:val="center"/>
          </w:tcPr>
          <w:p w14:paraId="5AF6F5FD" w14:textId="77777777" w:rsidR="00B650E5" w:rsidRDefault="00B650E5">
            <w:pPr>
              <w:rPr>
                <w:color w:val="000000"/>
              </w:rPr>
            </w:pPr>
            <w:r>
              <w:rPr>
                <w:color w:val="000000"/>
              </w:rPr>
              <w:t>malé a stredné podniky</w:t>
            </w:r>
          </w:p>
        </w:tc>
      </w:tr>
      <w:tr w:rsidR="00B650E5" w14:paraId="6CE627A5" w14:textId="77777777" w:rsidTr="00227685">
        <w:trPr>
          <w:trHeight w:val="315"/>
        </w:trPr>
        <w:tc>
          <w:tcPr>
            <w:tcW w:w="1977" w:type="dxa"/>
            <w:vAlign w:val="center"/>
          </w:tcPr>
          <w:p w14:paraId="11565447" w14:textId="77777777" w:rsidR="00B650E5" w:rsidRDefault="00B650E5">
            <w:pPr>
              <w:rPr>
                <w:color w:val="000000"/>
              </w:rPr>
            </w:pPr>
            <w:r>
              <w:rPr>
                <w:color w:val="000000"/>
              </w:rPr>
              <w:t>MV</w:t>
            </w:r>
          </w:p>
        </w:tc>
        <w:tc>
          <w:tcPr>
            <w:tcW w:w="7849" w:type="dxa"/>
            <w:vAlign w:val="center"/>
          </w:tcPr>
          <w:p w14:paraId="37EBD20E" w14:textId="77777777" w:rsidR="00B650E5" w:rsidRDefault="00B650E5">
            <w:pPr>
              <w:rPr>
                <w:color w:val="000000"/>
              </w:rPr>
            </w:pPr>
            <w:r>
              <w:rPr>
                <w:color w:val="000000"/>
              </w:rPr>
              <w:t>monitorovací výbor</w:t>
            </w:r>
          </w:p>
        </w:tc>
      </w:tr>
      <w:tr w:rsidR="00B650E5" w14:paraId="00F95A64" w14:textId="77777777" w:rsidTr="00227685">
        <w:trPr>
          <w:trHeight w:val="315"/>
        </w:trPr>
        <w:tc>
          <w:tcPr>
            <w:tcW w:w="1977" w:type="dxa"/>
            <w:vAlign w:val="center"/>
          </w:tcPr>
          <w:p w14:paraId="548BC67F" w14:textId="77777777" w:rsidR="00B650E5" w:rsidRDefault="00B650E5">
            <w:pPr>
              <w:rPr>
                <w:color w:val="000000"/>
              </w:rPr>
            </w:pPr>
            <w:r>
              <w:rPr>
                <w:color w:val="000000"/>
              </w:rPr>
              <w:t>MZVaEZ SR</w:t>
            </w:r>
          </w:p>
        </w:tc>
        <w:tc>
          <w:tcPr>
            <w:tcW w:w="7849" w:type="dxa"/>
            <w:vAlign w:val="center"/>
          </w:tcPr>
          <w:p w14:paraId="114AE329" w14:textId="77777777" w:rsidR="00B650E5" w:rsidRDefault="00B650E5">
            <w:pPr>
              <w:rPr>
                <w:color w:val="000000"/>
              </w:rPr>
            </w:pPr>
            <w:r>
              <w:rPr>
                <w:color w:val="000000"/>
              </w:rPr>
              <w:t>Ministerstvo zahraničných vecí a európskych záležitostí SR</w:t>
            </w:r>
          </w:p>
        </w:tc>
      </w:tr>
      <w:tr w:rsidR="00B650E5" w14:paraId="652D19CD" w14:textId="77777777" w:rsidTr="00227685">
        <w:trPr>
          <w:trHeight w:val="315"/>
        </w:trPr>
        <w:tc>
          <w:tcPr>
            <w:tcW w:w="1977" w:type="dxa"/>
            <w:vAlign w:val="center"/>
          </w:tcPr>
          <w:p w14:paraId="790D4E2B" w14:textId="77777777" w:rsidR="00B650E5" w:rsidRDefault="00B650E5">
            <w:pPr>
              <w:rPr>
                <w:color w:val="000000"/>
              </w:rPr>
            </w:pPr>
            <w:r>
              <w:rPr>
                <w:color w:val="000000"/>
              </w:rPr>
              <w:t>MŽP SR</w:t>
            </w:r>
          </w:p>
        </w:tc>
        <w:tc>
          <w:tcPr>
            <w:tcW w:w="7849" w:type="dxa"/>
            <w:vAlign w:val="center"/>
          </w:tcPr>
          <w:p w14:paraId="0E7CCF65" w14:textId="77777777" w:rsidR="00B650E5" w:rsidRDefault="00B650E5">
            <w:pPr>
              <w:rPr>
                <w:color w:val="000000"/>
              </w:rPr>
            </w:pPr>
            <w:r>
              <w:rPr>
                <w:color w:val="000000"/>
              </w:rPr>
              <w:t>Ministerstvo životného prostredia SR</w:t>
            </w:r>
          </w:p>
        </w:tc>
      </w:tr>
      <w:tr w:rsidR="00B650E5" w14:paraId="6DD68E74" w14:textId="77777777" w:rsidTr="00227685">
        <w:trPr>
          <w:trHeight w:val="315"/>
        </w:trPr>
        <w:tc>
          <w:tcPr>
            <w:tcW w:w="1977" w:type="dxa"/>
            <w:vAlign w:val="center"/>
          </w:tcPr>
          <w:p w14:paraId="0E43AB96" w14:textId="77777777" w:rsidR="00B650E5" w:rsidRDefault="00B650E5">
            <w:pPr>
              <w:rPr>
                <w:color w:val="000000"/>
              </w:rPr>
            </w:pPr>
            <w:r>
              <w:rPr>
                <w:color w:val="000000"/>
              </w:rPr>
              <w:t>NFP</w:t>
            </w:r>
          </w:p>
        </w:tc>
        <w:tc>
          <w:tcPr>
            <w:tcW w:w="7849" w:type="dxa"/>
            <w:vAlign w:val="center"/>
          </w:tcPr>
          <w:p w14:paraId="551A525D" w14:textId="77777777" w:rsidR="00B650E5" w:rsidRDefault="00B650E5">
            <w:pPr>
              <w:rPr>
                <w:color w:val="000000"/>
              </w:rPr>
            </w:pPr>
            <w:r>
              <w:rPr>
                <w:color w:val="000000"/>
              </w:rPr>
              <w:t>nenávratný finančný príspevok</w:t>
            </w:r>
          </w:p>
        </w:tc>
      </w:tr>
      <w:tr w:rsidR="00B650E5" w14:paraId="68045F9A" w14:textId="77777777" w:rsidTr="00227685">
        <w:trPr>
          <w:trHeight w:val="315"/>
        </w:trPr>
        <w:tc>
          <w:tcPr>
            <w:tcW w:w="1977" w:type="dxa"/>
            <w:vAlign w:val="center"/>
          </w:tcPr>
          <w:p w14:paraId="5B23DBB8" w14:textId="77777777" w:rsidR="00B650E5" w:rsidRDefault="00B650E5">
            <w:pPr>
              <w:rPr>
                <w:color w:val="000000"/>
              </w:rPr>
            </w:pPr>
            <w:r>
              <w:rPr>
                <w:color w:val="000000"/>
              </w:rPr>
              <w:t>NKÚ</w:t>
            </w:r>
          </w:p>
        </w:tc>
        <w:tc>
          <w:tcPr>
            <w:tcW w:w="7849" w:type="dxa"/>
            <w:vAlign w:val="center"/>
          </w:tcPr>
          <w:p w14:paraId="09B10B1F" w14:textId="77777777" w:rsidR="00B650E5" w:rsidRDefault="00B650E5">
            <w:pPr>
              <w:rPr>
                <w:color w:val="000000"/>
              </w:rPr>
            </w:pPr>
            <w:r>
              <w:rPr>
                <w:color w:val="000000"/>
              </w:rPr>
              <w:t>Najvyšší kontrolný úrad</w:t>
            </w:r>
          </w:p>
        </w:tc>
      </w:tr>
      <w:tr w:rsidR="00B650E5" w14:paraId="49E27F95" w14:textId="77777777" w:rsidTr="00227685">
        <w:trPr>
          <w:trHeight w:val="315"/>
        </w:trPr>
        <w:tc>
          <w:tcPr>
            <w:tcW w:w="1977" w:type="dxa"/>
            <w:vAlign w:val="center"/>
          </w:tcPr>
          <w:p w14:paraId="0AD491C2" w14:textId="77777777" w:rsidR="00B650E5" w:rsidRDefault="00B650E5">
            <w:pPr>
              <w:rPr>
                <w:color w:val="000000"/>
              </w:rPr>
            </w:pPr>
            <w:r>
              <w:rPr>
                <w:color w:val="000000"/>
              </w:rPr>
              <w:t>NMS</w:t>
            </w:r>
          </w:p>
        </w:tc>
        <w:tc>
          <w:tcPr>
            <w:tcW w:w="7849" w:type="dxa"/>
            <w:vAlign w:val="center"/>
          </w:tcPr>
          <w:p w14:paraId="17E867CA" w14:textId="77777777" w:rsidR="00B650E5" w:rsidRDefault="00B650E5">
            <w:pPr>
              <w:rPr>
                <w:color w:val="000000"/>
              </w:rPr>
            </w:pPr>
            <w:r>
              <w:rPr>
                <w:color w:val="000000"/>
              </w:rPr>
              <w:t>Nezávislý monitorovací subjekt</w:t>
            </w:r>
          </w:p>
        </w:tc>
      </w:tr>
      <w:tr w:rsidR="00B650E5" w14:paraId="083CF9ED" w14:textId="77777777" w:rsidTr="00227685">
        <w:trPr>
          <w:trHeight w:val="315"/>
        </w:trPr>
        <w:tc>
          <w:tcPr>
            <w:tcW w:w="1977" w:type="dxa"/>
            <w:vAlign w:val="center"/>
          </w:tcPr>
          <w:p w14:paraId="114550BF" w14:textId="77777777" w:rsidR="00B650E5" w:rsidRDefault="00B650E5">
            <w:pPr>
              <w:rPr>
                <w:color w:val="000000"/>
              </w:rPr>
            </w:pPr>
            <w:r>
              <w:rPr>
                <w:color w:val="000000"/>
              </w:rPr>
              <w:t>NMV</w:t>
            </w:r>
          </w:p>
        </w:tc>
        <w:tc>
          <w:tcPr>
            <w:tcW w:w="7849" w:type="dxa"/>
            <w:vAlign w:val="center"/>
          </w:tcPr>
          <w:p w14:paraId="2B376C28" w14:textId="77777777" w:rsidR="00B650E5" w:rsidRDefault="00B650E5">
            <w:pPr>
              <w:rPr>
                <w:color w:val="000000"/>
              </w:rPr>
            </w:pPr>
            <w:r>
              <w:rPr>
                <w:color w:val="000000"/>
              </w:rPr>
              <w:t>Národný monitorovací výbor</w:t>
            </w:r>
          </w:p>
        </w:tc>
      </w:tr>
      <w:tr w:rsidR="00B650E5" w14:paraId="695B41E0" w14:textId="77777777" w:rsidTr="00227685">
        <w:trPr>
          <w:trHeight w:val="315"/>
        </w:trPr>
        <w:tc>
          <w:tcPr>
            <w:tcW w:w="1977" w:type="dxa"/>
            <w:vAlign w:val="center"/>
          </w:tcPr>
          <w:p w14:paraId="264C9FD6" w14:textId="77777777" w:rsidR="00B650E5" w:rsidRDefault="00B650E5">
            <w:pPr>
              <w:rPr>
                <w:color w:val="000000"/>
              </w:rPr>
            </w:pPr>
            <w:r>
              <w:rPr>
                <w:color w:val="000000"/>
              </w:rPr>
              <w:t>OA</w:t>
            </w:r>
          </w:p>
        </w:tc>
        <w:tc>
          <w:tcPr>
            <w:tcW w:w="7849" w:type="dxa"/>
            <w:vAlign w:val="center"/>
          </w:tcPr>
          <w:p w14:paraId="649CAB0F" w14:textId="77777777" w:rsidR="00B650E5" w:rsidRDefault="00B650E5">
            <w:pPr>
              <w:rPr>
                <w:color w:val="000000"/>
              </w:rPr>
            </w:pPr>
            <w:r>
              <w:rPr>
                <w:color w:val="000000"/>
              </w:rPr>
              <w:t>Orgán auditu</w:t>
            </w:r>
          </w:p>
        </w:tc>
      </w:tr>
      <w:tr w:rsidR="00B650E5" w14:paraId="2C153F13" w14:textId="77777777" w:rsidTr="00227685">
        <w:trPr>
          <w:trHeight w:val="315"/>
        </w:trPr>
        <w:tc>
          <w:tcPr>
            <w:tcW w:w="1977" w:type="dxa"/>
            <w:vAlign w:val="center"/>
          </w:tcPr>
          <w:p w14:paraId="6CFB3000" w14:textId="77777777" w:rsidR="00B650E5" w:rsidRDefault="00B650E5">
            <w:pPr>
              <w:rPr>
                <w:color w:val="000000"/>
              </w:rPr>
            </w:pPr>
            <w:r>
              <w:rPr>
                <w:color w:val="000000"/>
              </w:rPr>
              <w:t>OCKÚ OLAF</w:t>
            </w:r>
          </w:p>
        </w:tc>
        <w:tc>
          <w:tcPr>
            <w:tcW w:w="7849" w:type="dxa"/>
            <w:vAlign w:val="center"/>
          </w:tcPr>
          <w:p w14:paraId="7B6D52FA" w14:textId="77777777" w:rsidR="00B650E5" w:rsidRDefault="00B650E5">
            <w:pPr>
              <w:rPr>
                <w:color w:val="000000"/>
              </w:rPr>
            </w:pPr>
            <w:r>
              <w:rPr>
                <w:color w:val="000000"/>
              </w:rPr>
              <w:t>Odbor Centrálny kontaktný útvar pre OLAF</w:t>
            </w:r>
          </w:p>
        </w:tc>
      </w:tr>
      <w:tr w:rsidR="00B650E5" w14:paraId="45DC7556" w14:textId="77777777" w:rsidTr="00227685">
        <w:trPr>
          <w:trHeight w:val="315"/>
        </w:trPr>
        <w:tc>
          <w:tcPr>
            <w:tcW w:w="1977" w:type="dxa"/>
            <w:vAlign w:val="center"/>
          </w:tcPr>
          <w:p w14:paraId="4621984A" w14:textId="77777777" w:rsidR="00B650E5" w:rsidRPr="009078F6" w:rsidRDefault="00B650E5">
            <w:pPr>
              <w:rPr>
                <w:color w:val="000000"/>
              </w:rPr>
            </w:pPr>
            <w:r w:rsidRPr="009078F6">
              <w:rPr>
                <w:color w:val="000000"/>
              </w:rPr>
              <w:t>OH</w:t>
            </w:r>
          </w:p>
        </w:tc>
        <w:tc>
          <w:tcPr>
            <w:tcW w:w="7849" w:type="dxa"/>
            <w:vAlign w:val="center"/>
          </w:tcPr>
          <w:p w14:paraId="11DC274D" w14:textId="77777777" w:rsidR="00B650E5" w:rsidRDefault="00B650E5">
            <w:pPr>
              <w:rPr>
                <w:color w:val="000000"/>
              </w:rPr>
            </w:pPr>
            <w:r w:rsidRPr="009078F6">
              <w:rPr>
                <w:color w:val="000000"/>
              </w:rPr>
              <w:t>odborné hodnotenie</w:t>
            </w:r>
          </w:p>
        </w:tc>
      </w:tr>
      <w:tr w:rsidR="00B650E5" w14:paraId="172400BA" w14:textId="77777777" w:rsidTr="00227685">
        <w:trPr>
          <w:trHeight w:val="315"/>
        </w:trPr>
        <w:tc>
          <w:tcPr>
            <w:tcW w:w="1977" w:type="dxa"/>
            <w:vAlign w:val="center"/>
          </w:tcPr>
          <w:p w14:paraId="358E3F35" w14:textId="77777777" w:rsidR="00B650E5" w:rsidRPr="009078F6" w:rsidRDefault="00B650E5">
            <w:pPr>
              <w:rPr>
                <w:color w:val="000000"/>
              </w:rPr>
            </w:pPr>
            <w:r w:rsidRPr="00893512">
              <w:rPr>
                <w:color w:val="000000"/>
              </w:rPr>
              <w:t>OLAF</w:t>
            </w:r>
          </w:p>
        </w:tc>
        <w:tc>
          <w:tcPr>
            <w:tcW w:w="7849" w:type="dxa"/>
            <w:vAlign w:val="center"/>
          </w:tcPr>
          <w:p w14:paraId="2D1B9B5D" w14:textId="77777777" w:rsidR="00B650E5" w:rsidRPr="009078F6" w:rsidRDefault="00B650E5">
            <w:pPr>
              <w:rPr>
                <w:color w:val="000000"/>
              </w:rPr>
            </w:pPr>
            <w:r w:rsidRPr="00893512">
              <w:rPr>
                <w:color w:val="000000"/>
              </w:rPr>
              <w:t>Európsky úrad pre boj proti podvodom</w:t>
            </w:r>
          </w:p>
        </w:tc>
      </w:tr>
      <w:tr w:rsidR="00B650E5" w14:paraId="2CE6C60B" w14:textId="77777777" w:rsidTr="00227685">
        <w:trPr>
          <w:trHeight w:val="945"/>
        </w:trPr>
        <w:tc>
          <w:tcPr>
            <w:tcW w:w="1977" w:type="dxa"/>
            <w:vAlign w:val="center"/>
          </w:tcPr>
          <w:p w14:paraId="5B3C8D0D" w14:textId="77777777" w:rsidR="00B650E5" w:rsidRDefault="00B650E5">
            <w:pPr>
              <w:rPr>
                <w:color w:val="000000"/>
              </w:rPr>
            </w:pPr>
            <w:r>
              <w:rPr>
                <w:color w:val="000000"/>
              </w:rPr>
              <w:t>OP</w:t>
            </w:r>
          </w:p>
        </w:tc>
        <w:tc>
          <w:tcPr>
            <w:tcW w:w="7849" w:type="dxa"/>
            <w:vAlign w:val="center"/>
          </w:tcPr>
          <w:p w14:paraId="3CFC0F61" w14:textId="77777777" w:rsidR="00B650E5" w:rsidRDefault="00B650E5">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B650E5" w14:paraId="2E9FFE9A" w14:textId="77777777" w:rsidTr="00227685">
        <w:trPr>
          <w:trHeight w:val="315"/>
        </w:trPr>
        <w:tc>
          <w:tcPr>
            <w:tcW w:w="1977" w:type="dxa"/>
            <w:vAlign w:val="center"/>
          </w:tcPr>
          <w:p w14:paraId="2C486A9D" w14:textId="77777777" w:rsidR="00B650E5" w:rsidRDefault="00B650E5">
            <w:pPr>
              <w:rPr>
                <w:color w:val="000000"/>
              </w:rPr>
            </w:pPr>
            <w:r>
              <w:rPr>
                <w:color w:val="000000"/>
              </w:rPr>
              <w:t>OP RH</w:t>
            </w:r>
          </w:p>
        </w:tc>
        <w:tc>
          <w:tcPr>
            <w:tcW w:w="7849" w:type="dxa"/>
            <w:vAlign w:val="center"/>
          </w:tcPr>
          <w:p w14:paraId="712EE1F9" w14:textId="77777777" w:rsidR="00B650E5" w:rsidRDefault="00B650E5">
            <w:pPr>
              <w:rPr>
                <w:color w:val="000000"/>
              </w:rPr>
            </w:pPr>
            <w:r>
              <w:rPr>
                <w:color w:val="000000"/>
              </w:rPr>
              <w:t>operačný program Rybné hospodárstvo</w:t>
            </w:r>
          </w:p>
        </w:tc>
      </w:tr>
      <w:tr w:rsidR="00B650E5" w14:paraId="3DE662ED" w14:textId="77777777" w:rsidTr="00227685">
        <w:trPr>
          <w:trHeight w:val="315"/>
        </w:trPr>
        <w:tc>
          <w:tcPr>
            <w:tcW w:w="1977" w:type="dxa"/>
            <w:vAlign w:val="center"/>
          </w:tcPr>
          <w:p w14:paraId="4AF71836" w14:textId="77777777" w:rsidR="00B650E5" w:rsidRDefault="00B650E5">
            <w:pPr>
              <w:rPr>
                <w:color w:val="000000"/>
              </w:rPr>
            </w:pPr>
            <w:r>
              <w:rPr>
                <w:color w:val="000000"/>
              </w:rPr>
              <w:t>PD</w:t>
            </w:r>
          </w:p>
        </w:tc>
        <w:tc>
          <w:tcPr>
            <w:tcW w:w="7849" w:type="dxa"/>
            <w:vAlign w:val="center"/>
          </w:tcPr>
          <w:p w14:paraId="0468A74A" w14:textId="77777777" w:rsidR="00B650E5" w:rsidRDefault="00B650E5">
            <w:pPr>
              <w:rPr>
                <w:color w:val="000000"/>
              </w:rPr>
            </w:pPr>
            <w:r>
              <w:rPr>
                <w:color w:val="000000"/>
              </w:rPr>
              <w:t>partnerská dohoda</w:t>
            </w:r>
          </w:p>
        </w:tc>
      </w:tr>
      <w:tr w:rsidR="00B650E5" w14:paraId="76DC5483" w14:textId="77777777" w:rsidTr="00227685">
        <w:trPr>
          <w:trHeight w:val="315"/>
        </w:trPr>
        <w:tc>
          <w:tcPr>
            <w:tcW w:w="1977" w:type="dxa"/>
            <w:vAlign w:val="center"/>
          </w:tcPr>
          <w:p w14:paraId="4A6DFBE8" w14:textId="77777777" w:rsidR="00B650E5" w:rsidRDefault="00B650E5">
            <w:pPr>
              <w:rPr>
                <w:color w:val="000000"/>
              </w:rPr>
            </w:pPr>
            <w:r>
              <w:rPr>
                <w:color w:val="000000"/>
              </w:rPr>
              <w:t>PJ</w:t>
            </w:r>
          </w:p>
        </w:tc>
        <w:tc>
          <w:tcPr>
            <w:tcW w:w="7849" w:type="dxa"/>
            <w:vAlign w:val="center"/>
          </w:tcPr>
          <w:p w14:paraId="7865DD00" w14:textId="77777777" w:rsidR="00B650E5" w:rsidRDefault="00B650E5">
            <w:pPr>
              <w:rPr>
                <w:color w:val="000000"/>
              </w:rPr>
            </w:pPr>
            <w:r>
              <w:rPr>
                <w:color w:val="000000"/>
              </w:rPr>
              <w:t>platobná jednotka</w:t>
            </w:r>
          </w:p>
        </w:tc>
      </w:tr>
      <w:tr w:rsidR="00B650E5" w14:paraId="561A4BF6" w14:textId="77777777" w:rsidTr="00227685">
        <w:trPr>
          <w:trHeight w:val="315"/>
        </w:trPr>
        <w:tc>
          <w:tcPr>
            <w:tcW w:w="1977" w:type="dxa"/>
            <w:vAlign w:val="center"/>
          </w:tcPr>
          <w:p w14:paraId="7DA32E2E" w14:textId="77777777" w:rsidR="00B650E5" w:rsidRDefault="00B650E5">
            <w:pPr>
              <w:rPr>
                <w:color w:val="000000"/>
              </w:rPr>
            </w:pPr>
            <w:r>
              <w:rPr>
                <w:color w:val="000000"/>
              </w:rPr>
              <w:t>PMÚ</w:t>
            </w:r>
          </w:p>
        </w:tc>
        <w:tc>
          <w:tcPr>
            <w:tcW w:w="7849" w:type="dxa"/>
            <w:vAlign w:val="center"/>
          </w:tcPr>
          <w:p w14:paraId="782FA001" w14:textId="77777777" w:rsidR="00B650E5" w:rsidRDefault="00B650E5">
            <w:pPr>
              <w:rPr>
                <w:color w:val="000000"/>
              </w:rPr>
            </w:pPr>
            <w:r>
              <w:rPr>
                <w:color w:val="000000"/>
              </w:rPr>
              <w:t>Protimonopolný úrad</w:t>
            </w:r>
            <w:r w:rsidR="00841464">
              <w:rPr>
                <w:color w:val="000000"/>
              </w:rPr>
              <w:t xml:space="preserve"> Slovenskej republiky</w:t>
            </w:r>
          </w:p>
        </w:tc>
      </w:tr>
      <w:tr w:rsidR="00B650E5" w14:paraId="5D11DCEC" w14:textId="77777777" w:rsidTr="00227685">
        <w:trPr>
          <w:trHeight w:val="315"/>
        </w:trPr>
        <w:tc>
          <w:tcPr>
            <w:tcW w:w="1977" w:type="dxa"/>
            <w:vAlign w:val="center"/>
          </w:tcPr>
          <w:p w14:paraId="49E0F11C" w14:textId="77777777" w:rsidR="00B650E5" w:rsidRDefault="00B650E5">
            <w:pPr>
              <w:rPr>
                <w:color w:val="000000"/>
              </w:rPr>
            </w:pPr>
            <w:r>
              <w:rPr>
                <w:color w:val="000000"/>
              </w:rPr>
              <w:t>PO</w:t>
            </w:r>
          </w:p>
        </w:tc>
        <w:tc>
          <w:tcPr>
            <w:tcW w:w="7849" w:type="dxa"/>
            <w:vAlign w:val="center"/>
          </w:tcPr>
          <w:p w14:paraId="558EA9B8" w14:textId="77777777" w:rsidR="00B650E5" w:rsidRDefault="00B650E5">
            <w:pPr>
              <w:rPr>
                <w:color w:val="000000"/>
              </w:rPr>
            </w:pPr>
            <w:r>
              <w:rPr>
                <w:color w:val="000000"/>
              </w:rPr>
              <w:t>prioritná os</w:t>
            </w:r>
          </w:p>
        </w:tc>
      </w:tr>
      <w:tr w:rsidR="00B650E5" w14:paraId="094B0A70" w14:textId="77777777" w:rsidTr="00227685">
        <w:trPr>
          <w:trHeight w:val="315"/>
        </w:trPr>
        <w:tc>
          <w:tcPr>
            <w:tcW w:w="1977" w:type="dxa"/>
            <w:vAlign w:val="center"/>
          </w:tcPr>
          <w:p w14:paraId="115524DA" w14:textId="77777777" w:rsidR="00B650E5" w:rsidRPr="009078F6" w:rsidRDefault="00B650E5">
            <w:pPr>
              <w:rPr>
                <w:color w:val="000000"/>
              </w:rPr>
            </w:pPr>
            <w:r w:rsidRPr="009078F6">
              <w:rPr>
                <w:color w:val="000000"/>
              </w:rPr>
              <w:t>PRV</w:t>
            </w:r>
          </w:p>
        </w:tc>
        <w:tc>
          <w:tcPr>
            <w:tcW w:w="7849" w:type="dxa"/>
            <w:vAlign w:val="center"/>
          </w:tcPr>
          <w:p w14:paraId="0A736DE1" w14:textId="77777777" w:rsidR="00B650E5" w:rsidRDefault="00B650E5">
            <w:pPr>
              <w:rPr>
                <w:color w:val="000000"/>
              </w:rPr>
            </w:pPr>
            <w:r w:rsidRPr="009078F6">
              <w:rPr>
                <w:color w:val="000000"/>
              </w:rPr>
              <w:t>Program rozvoja vidieka</w:t>
            </w:r>
          </w:p>
        </w:tc>
      </w:tr>
      <w:tr w:rsidR="00090E63" w14:paraId="79392DFC" w14:textId="77777777" w:rsidTr="00227685">
        <w:trPr>
          <w:trHeight w:val="315"/>
        </w:trPr>
        <w:tc>
          <w:tcPr>
            <w:tcW w:w="1977" w:type="dxa"/>
            <w:vAlign w:val="center"/>
          </w:tcPr>
          <w:p w14:paraId="777B92E5" w14:textId="7389BEE0" w:rsidR="00090E63" w:rsidRPr="009078F6" w:rsidRDefault="00090E63" w:rsidP="00F67D84">
            <w:pPr>
              <w:rPr>
                <w:color w:val="000000"/>
              </w:rPr>
            </w:pPr>
            <w:r>
              <w:rPr>
                <w:color w:val="000000"/>
              </w:rPr>
              <w:t>RIS3</w:t>
            </w:r>
          </w:p>
        </w:tc>
        <w:tc>
          <w:tcPr>
            <w:tcW w:w="7849" w:type="dxa"/>
            <w:vAlign w:val="center"/>
          </w:tcPr>
          <w:p w14:paraId="5ABF5553" w14:textId="2CBB14C2" w:rsidR="00090E63" w:rsidRPr="009078F6" w:rsidRDefault="00090E63">
            <w:pPr>
              <w:rPr>
                <w:color w:val="000000"/>
              </w:rPr>
            </w:pPr>
            <w:r w:rsidRPr="00090E63">
              <w:rPr>
                <w:color w:val="000000"/>
              </w:rPr>
              <w:t>Stratégia výskumu a inovácií pre inteligentnú špecializáciu SR</w:t>
            </w:r>
          </w:p>
        </w:tc>
      </w:tr>
      <w:tr w:rsidR="00B650E5" w14:paraId="3F024981" w14:textId="77777777" w:rsidTr="00227685">
        <w:trPr>
          <w:trHeight w:val="315"/>
        </w:trPr>
        <w:tc>
          <w:tcPr>
            <w:tcW w:w="1977" w:type="dxa"/>
            <w:vAlign w:val="center"/>
          </w:tcPr>
          <w:p w14:paraId="1EDC18EC" w14:textId="77777777" w:rsidR="00B650E5" w:rsidRDefault="00B650E5">
            <w:pPr>
              <w:rPr>
                <w:color w:val="000000"/>
              </w:rPr>
            </w:pPr>
            <w:r>
              <w:rPr>
                <w:color w:val="000000"/>
              </w:rPr>
              <w:t>RIÚS</w:t>
            </w:r>
          </w:p>
        </w:tc>
        <w:tc>
          <w:tcPr>
            <w:tcW w:w="7849" w:type="dxa"/>
            <w:vAlign w:val="bottom"/>
          </w:tcPr>
          <w:p w14:paraId="7CB4CBFB" w14:textId="77777777" w:rsidR="00B650E5" w:rsidRDefault="00B650E5">
            <w:pPr>
              <w:rPr>
                <w:color w:val="000000"/>
              </w:rPr>
            </w:pPr>
            <w:r>
              <w:rPr>
                <w:color w:val="000000"/>
              </w:rPr>
              <w:t>Regionálna integrovaná územná stratégia</w:t>
            </w:r>
          </w:p>
        </w:tc>
      </w:tr>
      <w:tr w:rsidR="00B650E5" w14:paraId="6226D853" w14:textId="77777777" w:rsidTr="00227685">
        <w:trPr>
          <w:trHeight w:val="315"/>
        </w:trPr>
        <w:tc>
          <w:tcPr>
            <w:tcW w:w="1977" w:type="dxa"/>
            <w:vAlign w:val="center"/>
          </w:tcPr>
          <w:p w14:paraId="55CAB44D" w14:textId="77777777" w:rsidR="00B650E5" w:rsidRDefault="00B650E5">
            <w:pPr>
              <w:rPr>
                <w:color w:val="000000"/>
              </w:rPr>
            </w:pPr>
            <w:r>
              <w:rPr>
                <w:color w:val="000000"/>
              </w:rPr>
              <w:t>RO</w:t>
            </w:r>
          </w:p>
        </w:tc>
        <w:tc>
          <w:tcPr>
            <w:tcW w:w="7849" w:type="dxa"/>
            <w:vAlign w:val="center"/>
          </w:tcPr>
          <w:p w14:paraId="5C73D107" w14:textId="77777777" w:rsidR="00B650E5" w:rsidRDefault="00B650E5">
            <w:pPr>
              <w:rPr>
                <w:color w:val="000000"/>
              </w:rPr>
            </w:pPr>
            <w:r>
              <w:rPr>
                <w:color w:val="000000"/>
              </w:rPr>
              <w:t>riadiaci orgán</w:t>
            </w:r>
          </w:p>
        </w:tc>
      </w:tr>
      <w:tr w:rsidR="00B650E5" w14:paraId="418699E6" w14:textId="77777777" w:rsidTr="00227685">
        <w:trPr>
          <w:trHeight w:val="315"/>
        </w:trPr>
        <w:tc>
          <w:tcPr>
            <w:tcW w:w="1977" w:type="dxa"/>
            <w:vAlign w:val="center"/>
          </w:tcPr>
          <w:p w14:paraId="0745DFBE" w14:textId="77777777" w:rsidR="00B650E5" w:rsidRDefault="00B650E5">
            <w:pPr>
              <w:rPr>
                <w:color w:val="000000"/>
              </w:rPr>
            </w:pPr>
            <w:r>
              <w:rPr>
                <w:color w:val="000000"/>
              </w:rPr>
              <w:t>SAP</w:t>
            </w:r>
          </w:p>
        </w:tc>
        <w:tc>
          <w:tcPr>
            <w:tcW w:w="7849" w:type="dxa"/>
            <w:vAlign w:val="center"/>
          </w:tcPr>
          <w:p w14:paraId="1EA52B9B" w14:textId="77777777" w:rsidR="00B650E5" w:rsidRDefault="00B650E5">
            <w:pPr>
              <w:rPr>
                <w:color w:val="000000"/>
              </w:rPr>
            </w:pPr>
            <w:r>
              <w:rPr>
                <w:color w:val="000000"/>
              </w:rPr>
              <w:t>spoločný akčný plán</w:t>
            </w:r>
          </w:p>
        </w:tc>
      </w:tr>
      <w:tr w:rsidR="00B650E5" w14:paraId="72A0D702" w14:textId="77777777" w:rsidTr="00227685">
        <w:trPr>
          <w:trHeight w:val="315"/>
        </w:trPr>
        <w:tc>
          <w:tcPr>
            <w:tcW w:w="1977" w:type="dxa"/>
            <w:vAlign w:val="center"/>
          </w:tcPr>
          <w:p w14:paraId="63CAD60F" w14:textId="77777777" w:rsidR="00B650E5" w:rsidRDefault="00B650E5">
            <w:pPr>
              <w:rPr>
                <w:color w:val="000000"/>
              </w:rPr>
            </w:pPr>
            <w:r>
              <w:rPr>
                <w:color w:val="000000"/>
              </w:rPr>
              <w:t>SI HP</w:t>
            </w:r>
          </w:p>
        </w:tc>
        <w:tc>
          <w:tcPr>
            <w:tcW w:w="7849" w:type="dxa"/>
            <w:vAlign w:val="center"/>
          </w:tcPr>
          <w:p w14:paraId="7782DE8E" w14:textId="77777777" w:rsidR="00B650E5" w:rsidRDefault="00B650E5">
            <w:pPr>
              <w:rPr>
                <w:color w:val="000000"/>
              </w:rPr>
            </w:pPr>
            <w:r>
              <w:rPr>
                <w:color w:val="000000"/>
              </w:rPr>
              <w:t>Systém implementácie horizontálneho princípu</w:t>
            </w:r>
          </w:p>
        </w:tc>
      </w:tr>
      <w:tr w:rsidR="00B650E5" w14:paraId="463FBCAA" w14:textId="77777777" w:rsidTr="00227685">
        <w:trPr>
          <w:trHeight w:val="315"/>
        </w:trPr>
        <w:tc>
          <w:tcPr>
            <w:tcW w:w="1977" w:type="dxa"/>
            <w:vAlign w:val="center"/>
          </w:tcPr>
          <w:p w14:paraId="1F655772" w14:textId="77777777" w:rsidR="00B650E5" w:rsidRDefault="00B650E5">
            <w:pPr>
              <w:rPr>
                <w:color w:val="000000"/>
              </w:rPr>
            </w:pPr>
            <w:r>
              <w:rPr>
                <w:color w:val="000000"/>
              </w:rPr>
              <w:t>SO</w:t>
            </w:r>
          </w:p>
        </w:tc>
        <w:tc>
          <w:tcPr>
            <w:tcW w:w="7849" w:type="dxa"/>
            <w:vAlign w:val="center"/>
          </w:tcPr>
          <w:p w14:paraId="0DD883AA" w14:textId="77777777" w:rsidR="00B650E5" w:rsidRDefault="00B650E5">
            <w:pPr>
              <w:rPr>
                <w:color w:val="000000"/>
              </w:rPr>
            </w:pPr>
            <w:r>
              <w:rPr>
                <w:color w:val="000000"/>
              </w:rPr>
              <w:t>sprostredkovateľský orgán</w:t>
            </w:r>
          </w:p>
        </w:tc>
      </w:tr>
      <w:tr w:rsidR="00B650E5" w14:paraId="47134C4B" w14:textId="77777777" w:rsidTr="00227685">
        <w:trPr>
          <w:trHeight w:val="315"/>
        </w:trPr>
        <w:tc>
          <w:tcPr>
            <w:tcW w:w="1977" w:type="dxa"/>
            <w:vAlign w:val="center"/>
          </w:tcPr>
          <w:p w14:paraId="1635B089" w14:textId="77777777" w:rsidR="00B650E5" w:rsidRDefault="00B650E5">
            <w:pPr>
              <w:rPr>
                <w:color w:val="000000"/>
              </w:rPr>
            </w:pPr>
            <w:r>
              <w:rPr>
                <w:color w:val="000000"/>
              </w:rPr>
              <w:t>SSR</w:t>
            </w:r>
          </w:p>
        </w:tc>
        <w:tc>
          <w:tcPr>
            <w:tcW w:w="7849" w:type="dxa"/>
            <w:vAlign w:val="center"/>
          </w:tcPr>
          <w:p w14:paraId="24C22507" w14:textId="77777777" w:rsidR="00B650E5" w:rsidRDefault="00B650E5">
            <w:pPr>
              <w:rPr>
                <w:color w:val="000000"/>
              </w:rPr>
            </w:pPr>
            <w:r>
              <w:rPr>
                <w:color w:val="000000"/>
              </w:rPr>
              <w:t>Spoločný strategický rámec</w:t>
            </w:r>
          </w:p>
        </w:tc>
      </w:tr>
      <w:tr w:rsidR="00B650E5" w14:paraId="0B7A2282" w14:textId="77777777" w:rsidTr="00227685">
        <w:trPr>
          <w:trHeight w:val="315"/>
        </w:trPr>
        <w:tc>
          <w:tcPr>
            <w:tcW w:w="1977" w:type="dxa"/>
            <w:vAlign w:val="center"/>
          </w:tcPr>
          <w:p w14:paraId="4A62AF6A" w14:textId="77777777" w:rsidR="00B650E5" w:rsidRDefault="00B650E5">
            <w:pPr>
              <w:rPr>
                <w:color w:val="000000"/>
              </w:rPr>
            </w:pPr>
            <w:r>
              <w:rPr>
                <w:color w:val="000000"/>
              </w:rPr>
              <w:t>SVHZ</w:t>
            </w:r>
          </w:p>
        </w:tc>
        <w:tc>
          <w:tcPr>
            <w:tcW w:w="7849" w:type="dxa"/>
            <w:vAlign w:val="center"/>
          </w:tcPr>
          <w:p w14:paraId="46F04B00" w14:textId="77777777" w:rsidR="00B650E5" w:rsidRDefault="00B650E5">
            <w:pPr>
              <w:rPr>
                <w:color w:val="000000"/>
              </w:rPr>
            </w:pPr>
            <w:r>
              <w:rPr>
                <w:color w:val="000000"/>
              </w:rPr>
              <w:t>služby všeobecného hospodárskeho záujmu</w:t>
            </w:r>
          </w:p>
        </w:tc>
      </w:tr>
      <w:tr w:rsidR="00B650E5" w14:paraId="29A119F5" w14:textId="77777777" w:rsidTr="00227685">
        <w:trPr>
          <w:trHeight w:val="630"/>
        </w:trPr>
        <w:tc>
          <w:tcPr>
            <w:tcW w:w="1977" w:type="dxa"/>
            <w:vAlign w:val="center"/>
          </w:tcPr>
          <w:p w14:paraId="678A9118" w14:textId="77777777" w:rsidR="00B650E5" w:rsidRDefault="00B650E5">
            <w:pPr>
              <w:rPr>
                <w:color w:val="000000"/>
              </w:rPr>
            </w:pPr>
            <w:r>
              <w:rPr>
                <w:color w:val="000000"/>
              </w:rPr>
              <w:t>Systém finančného riadenia</w:t>
            </w:r>
          </w:p>
        </w:tc>
        <w:tc>
          <w:tcPr>
            <w:tcW w:w="7849" w:type="dxa"/>
            <w:vAlign w:val="center"/>
          </w:tcPr>
          <w:p w14:paraId="49ED2494" w14:textId="77777777" w:rsidR="00B650E5" w:rsidRDefault="00B650E5">
            <w:pPr>
              <w:rPr>
                <w:color w:val="000000"/>
              </w:rPr>
            </w:pPr>
            <w:r>
              <w:rPr>
                <w:color w:val="000000"/>
              </w:rPr>
              <w:t>Systém finančného riadenia štrukturálnych fondov, Kohézneho fondu a Európskeho námorného a rybárskeho fondu na programové obdobie 2014</w:t>
            </w:r>
            <w:r w:rsidR="0023261D">
              <w:rPr>
                <w:color w:val="000000"/>
              </w:rPr>
              <w:t xml:space="preserve"> </w:t>
            </w:r>
            <w:r>
              <w:rPr>
                <w:color w:val="000000"/>
              </w:rPr>
              <w:t>-</w:t>
            </w:r>
            <w:r w:rsidR="0023261D">
              <w:rPr>
                <w:color w:val="000000"/>
              </w:rPr>
              <w:t xml:space="preserve"> </w:t>
            </w:r>
            <w:r>
              <w:rPr>
                <w:color w:val="000000"/>
              </w:rPr>
              <w:t>2020</w:t>
            </w:r>
          </w:p>
        </w:tc>
      </w:tr>
      <w:tr w:rsidR="00B650E5" w14:paraId="4015F92B" w14:textId="77777777" w:rsidTr="00227685">
        <w:trPr>
          <w:trHeight w:val="315"/>
        </w:trPr>
        <w:tc>
          <w:tcPr>
            <w:tcW w:w="1977" w:type="dxa"/>
            <w:vAlign w:val="center"/>
          </w:tcPr>
          <w:p w14:paraId="246D9DD4" w14:textId="77777777" w:rsidR="00B650E5" w:rsidRDefault="00B650E5">
            <w:pPr>
              <w:rPr>
                <w:color w:val="000000"/>
              </w:rPr>
            </w:pPr>
            <w:r>
              <w:rPr>
                <w:color w:val="000000"/>
              </w:rPr>
              <w:t>UMR</w:t>
            </w:r>
          </w:p>
        </w:tc>
        <w:tc>
          <w:tcPr>
            <w:tcW w:w="7849" w:type="dxa"/>
            <w:vAlign w:val="center"/>
          </w:tcPr>
          <w:p w14:paraId="1C4C8EFB" w14:textId="77777777" w:rsidR="00B650E5" w:rsidRDefault="00B650E5">
            <w:pPr>
              <w:rPr>
                <w:color w:val="000000"/>
              </w:rPr>
            </w:pPr>
            <w:r>
              <w:rPr>
                <w:color w:val="000000"/>
              </w:rPr>
              <w:t>udržateľný mestský rozvoj</w:t>
            </w:r>
          </w:p>
        </w:tc>
      </w:tr>
      <w:tr w:rsidR="00B650E5" w14:paraId="6ABB26FB" w14:textId="77777777" w:rsidTr="00227685">
        <w:trPr>
          <w:trHeight w:val="315"/>
        </w:trPr>
        <w:tc>
          <w:tcPr>
            <w:tcW w:w="1977" w:type="dxa"/>
            <w:vAlign w:val="center"/>
          </w:tcPr>
          <w:p w14:paraId="2604B320" w14:textId="77777777" w:rsidR="00B650E5" w:rsidRDefault="00B650E5">
            <w:pPr>
              <w:rPr>
                <w:color w:val="000000"/>
              </w:rPr>
            </w:pPr>
            <w:r>
              <w:rPr>
                <w:color w:val="000000"/>
              </w:rPr>
              <w:t>ÚOŠS</w:t>
            </w:r>
          </w:p>
        </w:tc>
        <w:tc>
          <w:tcPr>
            <w:tcW w:w="7849" w:type="dxa"/>
            <w:vAlign w:val="center"/>
          </w:tcPr>
          <w:p w14:paraId="1D589790" w14:textId="77777777" w:rsidR="00B650E5" w:rsidRDefault="00B650E5" w:rsidP="00AB2E95">
            <w:pPr>
              <w:rPr>
                <w:color w:val="000000"/>
              </w:rPr>
            </w:pPr>
            <w:r>
              <w:rPr>
                <w:color w:val="000000"/>
              </w:rPr>
              <w:t>ústredné orgány štátnej správy</w:t>
            </w:r>
          </w:p>
        </w:tc>
      </w:tr>
      <w:tr w:rsidR="00B650E5" w14:paraId="7C3244E6" w14:textId="77777777" w:rsidTr="00227685">
        <w:trPr>
          <w:trHeight w:val="315"/>
        </w:trPr>
        <w:tc>
          <w:tcPr>
            <w:tcW w:w="1977" w:type="dxa"/>
            <w:vAlign w:val="center"/>
          </w:tcPr>
          <w:p w14:paraId="28D369D0" w14:textId="77777777" w:rsidR="00B650E5" w:rsidRDefault="00B650E5">
            <w:pPr>
              <w:rPr>
                <w:color w:val="000000"/>
              </w:rPr>
            </w:pPr>
            <w:r>
              <w:rPr>
                <w:color w:val="000000"/>
              </w:rPr>
              <w:t>ÚPPVII</w:t>
            </w:r>
          </w:p>
        </w:tc>
        <w:tc>
          <w:tcPr>
            <w:tcW w:w="7849" w:type="dxa"/>
            <w:vAlign w:val="center"/>
          </w:tcPr>
          <w:p w14:paraId="518F295A" w14:textId="77777777" w:rsidR="00B650E5" w:rsidRDefault="00B650E5">
            <w:pPr>
              <w:rPr>
                <w:color w:val="000000"/>
              </w:rPr>
            </w:pPr>
            <w:r>
              <w:rPr>
                <w:color w:val="000000"/>
              </w:rPr>
              <w:t>Úrad podpredsedu vlády Slovenskej republiky pre investície a informatizáciu</w:t>
            </w:r>
          </w:p>
        </w:tc>
      </w:tr>
      <w:tr w:rsidR="00B650E5" w14:paraId="1BDC767F" w14:textId="77777777" w:rsidTr="00227685">
        <w:trPr>
          <w:trHeight w:val="315"/>
        </w:trPr>
        <w:tc>
          <w:tcPr>
            <w:tcW w:w="1977" w:type="dxa"/>
            <w:vAlign w:val="center"/>
          </w:tcPr>
          <w:p w14:paraId="2F8A1847" w14:textId="77777777" w:rsidR="00B650E5" w:rsidRDefault="00B650E5">
            <w:pPr>
              <w:rPr>
                <w:color w:val="000000"/>
              </w:rPr>
            </w:pPr>
            <w:r w:rsidRPr="00893512">
              <w:rPr>
                <w:color w:val="000000"/>
              </w:rPr>
              <w:t>ÚVA</w:t>
            </w:r>
          </w:p>
        </w:tc>
        <w:tc>
          <w:tcPr>
            <w:tcW w:w="7849" w:type="dxa"/>
            <w:vAlign w:val="center"/>
          </w:tcPr>
          <w:p w14:paraId="5FD224D9" w14:textId="77777777" w:rsidR="00B650E5" w:rsidRDefault="00B650E5">
            <w:pPr>
              <w:rPr>
                <w:color w:val="000000"/>
              </w:rPr>
            </w:pPr>
            <w:r w:rsidRPr="00893512">
              <w:rPr>
                <w:color w:val="000000"/>
              </w:rPr>
              <w:t>Úrad vládneho auditu</w:t>
            </w:r>
          </w:p>
        </w:tc>
      </w:tr>
      <w:tr w:rsidR="00B650E5" w14:paraId="5709D34D" w14:textId="77777777" w:rsidTr="00227685">
        <w:trPr>
          <w:trHeight w:val="315"/>
        </w:trPr>
        <w:tc>
          <w:tcPr>
            <w:tcW w:w="1977" w:type="dxa"/>
            <w:vAlign w:val="center"/>
          </w:tcPr>
          <w:p w14:paraId="73BA9B8F" w14:textId="77777777" w:rsidR="00B650E5" w:rsidRDefault="00B650E5">
            <w:pPr>
              <w:rPr>
                <w:color w:val="000000"/>
              </w:rPr>
            </w:pPr>
            <w:r>
              <w:rPr>
                <w:color w:val="000000"/>
              </w:rPr>
              <w:t>ÚVO</w:t>
            </w:r>
          </w:p>
        </w:tc>
        <w:tc>
          <w:tcPr>
            <w:tcW w:w="7849" w:type="dxa"/>
            <w:vAlign w:val="center"/>
          </w:tcPr>
          <w:p w14:paraId="58EEAA58" w14:textId="77777777" w:rsidR="00B650E5" w:rsidRDefault="00B650E5">
            <w:pPr>
              <w:rPr>
                <w:color w:val="000000"/>
              </w:rPr>
            </w:pPr>
            <w:r>
              <w:rPr>
                <w:color w:val="000000"/>
              </w:rPr>
              <w:t>Úrad pre verejné obstarávanie</w:t>
            </w:r>
          </w:p>
        </w:tc>
      </w:tr>
      <w:tr w:rsidR="00B650E5" w14:paraId="2A0442EC" w14:textId="77777777" w:rsidTr="00227685">
        <w:trPr>
          <w:trHeight w:val="315"/>
        </w:trPr>
        <w:tc>
          <w:tcPr>
            <w:tcW w:w="1977" w:type="dxa"/>
            <w:vAlign w:val="center"/>
          </w:tcPr>
          <w:p w14:paraId="2EFC08F1" w14:textId="77777777" w:rsidR="00B650E5" w:rsidRPr="009078F6" w:rsidRDefault="00B650E5">
            <w:pPr>
              <w:rPr>
                <w:color w:val="000000"/>
              </w:rPr>
            </w:pPr>
            <w:r w:rsidRPr="009078F6">
              <w:rPr>
                <w:color w:val="000000"/>
              </w:rPr>
              <w:t>ÚV SR</w:t>
            </w:r>
          </w:p>
        </w:tc>
        <w:tc>
          <w:tcPr>
            <w:tcW w:w="7849" w:type="dxa"/>
            <w:vAlign w:val="center"/>
          </w:tcPr>
          <w:p w14:paraId="15EFC278" w14:textId="77777777" w:rsidR="00B650E5" w:rsidRDefault="00B650E5">
            <w:pPr>
              <w:rPr>
                <w:color w:val="000000"/>
              </w:rPr>
            </w:pPr>
            <w:r w:rsidRPr="009078F6">
              <w:rPr>
                <w:color w:val="000000"/>
              </w:rPr>
              <w:t>Úrad vlády Slovenskej republiky</w:t>
            </w:r>
          </w:p>
        </w:tc>
      </w:tr>
      <w:tr w:rsidR="00B650E5" w14:paraId="0C062EE9" w14:textId="77777777" w:rsidTr="00227685">
        <w:trPr>
          <w:trHeight w:val="315"/>
        </w:trPr>
        <w:tc>
          <w:tcPr>
            <w:tcW w:w="1977" w:type="dxa"/>
            <w:vAlign w:val="center"/>
          </w:tcPr>
          <w:p w14:paraId="00881C99" w14:textId="77777777" w:rsidR="00B650E5" w:rsidRPr="009078F6" w:rsidRDefault="00B650E5">
            <w:pPr>
              <w:rPr>
                <w:color w:val="000000"/>
              </w:rPr>
            </w:pPr>
            <w:r w:rsidRPr="00893512">
              <w:rPr>
                <w:color w:val="000000"/>
              </w:rPr>
              <w:t>VK</w:t>
            </w:r>
          </w:p>
        </w:tc>
        <w:tc>
          <w:tcPr>
            <w:tcW w:w="7849" w:type="dxa"/>
            <w:vAlign w:val="center"/>
          </w:tcPr>
          <w:p w14:paraId="00BDCA4A" w14:textId="77777777" w:rsidR="00B650E5" w:rsidRPr="009078F6" w:rsidRDefault="00B650E5">
            <w:pPr>
              <w:rPr>
                <w:color w:val="000000"/>
              </w:rPr>
            </w:pPr>
            <w:r w:rsidRPr="00893512">
              <w:rPr>
                <w:color w:val="000000"/>
              </w:rPr>
              <w:t>výberové kritériá</w:t>
            </w:r>
          </w:p>
        </w:tc>
      </w:tr>
      <w:tr w:rsidR="00B650E5" w14:paraId="50B1022F" w14:textId="77777777" w:rsidTr="00227685">
        <w:trPr>
          <w:trHeight w:val="315"/>
        </w:trPr>
        <w:tc>
          <w:tcPr>
            <w:tcW w:w="1977" w:type="dxa"/>
            <w:vAlign w:val="center"/>
          </w:tcPr>
          <w:p w14:paraId="64425E32" w14:textId="77777777" w:rsidR="00B650E5" w:rsidRPr="009078F6" w:rsidRDefault="00B650E5">
            <w:pPr>
              <w:rPr>
                <w:color w:val="000000"/>
              </w:rPr>
            </w:pPr>
            <w:r w:rsidRPr="00893512">
              <w:rPr>
                <w:color w:val="000000"/>
              </w:rPr>
              <w:t>VO</w:t>
            </w:r>
          </w:p>
        </w:tc>
        <w:tc>
          <w:tcPr>
            <w:tcW w:w="7849" w:type="dxa"/>
            <w:vAlign w:val="center"/>
          </w:tcPr>
          <w:p w14:paraId="6124828B" w14:textId="77777777" w:rsidR="00B650E5" w:rsidRPr="009078F6" w:rsidRDefault="00B650E5">
            <w:pPr>
              <w:rPr>
                <w:color w:val="000000"/>
              </w:rPr>
            </w:pPr>
            <w:r w:rsidRPr="00893512">
              <w:rPr>
                <w:color w:val="000000"/>
              </w:rPr>
              <w:t>verejné obstarávanie</w:t>
            </w:r>
          </w:p>
        </w:tc>
      </w:tr>
      <w:tr w:rsidR="00B650E5" w14:paraId="17DF0B3D" w14:textId="77777777" w:rsidTr="00227685">
        <w:trPr>
          <w:trHeight w:val="315"/>
        </w:trPr>
        <w:tc>
          <w:tcPr>
            <w:tcW w:w="1977" w:type="dxa"/>
            <w:vAlign w:val="center"/>
          </w:tcPr>
          <w:p w14:paraId="31ADB04C" w14:textId="77777777" w:rsidR="00B650E5" w:rsidRDefault="00B650E5">
            <w:pPr>
              <w:rPr>
                <w:color w:val="000000"/>
              </w:rPr>
            </w:pPr>
            <w:r>
              <w:rPr>
                <w:color w:val="000000"/>
              </w:rPr>
              <w:t>Výzvy</w:t>
            </w:r>
          </w:p>
        </w:tc>
        <w:tc>
          <w:tcPr>
            <w:tcW w:w="7849" w:type="dxa"/>
            <w:vAlign w:val="center"/>
          </w:tcPr>
          <w:p w14:paraId="6F512AAC" w14:textId="77777777" w:rsidR="00B650E5" w:rsidRDefault="00B650E5">
            <w:pPr>
              <w:rPr>
                <w:color w:val="000000"/>
              </w:rPr>
            </w:pPr>
            <w:r>
              <w:rPr>
                <w:color w:val="000000"/>
              </w:rPr>
              <w:t>výzva na predkladanie projektových zámerov a výzva na predkladanie ŽoNFP</w:t>
            </w:r>
          </w:p>
        </w:tc>
      </w:tr>
      <w:tr w:rsidR="00B650E5" w14:paraId="53CAF7D2" w14:textId="77777777" w:rsidTr="00227685">
        <w:trPr>
          <w:trHeight w:val="1890"/>
        </w:trPr>
        <w:tc>
          <w:tcPr>
            <w:tcW w:w="1977" w:type="dxa"/>
            <w:vAlign w:val="center"/>
          </w:tcPr>
          <w:p w14:paraId="62BED549" w14:textId="77777777" w:rsidR="00B650E5" w:rsidRDefault="00B650E5">
            <w:pPr>
              <w:rPr>
                <w:color w:val="000000"/>
              </w:rPr>
            </w:pPr>
            <w:r>
              <w:rPr>
                <w:color w:val="000000"/>
              </w:rPr>
              <w:lastRenderedPageBreak/>
              <w:t>zmluva o NFP</w:t>
            </w:r>
          </w:p>
        </w:tc>
        <w:tc>
          <w:tcPr>
            <w:tcW w:w="7849" w:type="dxa"/>
            <w:vAlign w:val="center"/>
          </w:tcPr>
          <w:p w14:paraId="4E093F37" w14:textId="77777777" w:rsidR="00B650E5" w:rsidRDefault="00B650E5" w:rsidP="006B2B6A">
            <w:pPr>
              <w:jc w:val="both"/>
              <w:rPr>
                <w:color w:val="000000"/>
              </w:rPr>
            </w:pPr>
            <w:r>
              <w:rPr>
                <w:color w:val="000000"/>
              </w:rPr>
              <w:t>zmluva o poskytnutí nenávratného finančného príspevku (</w:t>
            </w:r>
            <w:r>
              <w:rPr>
                <w:i/>
                <w:iCs/>
                <w:color w:val="000000"/>
              </w:rPr>
              <w:t>v prípade, ak pri</w:t>
            </w:r>
            <w:r w:rsidR="00E2080D">
              <w:rPr>
                <w:i/>
                <w:iCs/>
                <w:color w:val="000000"/>
              </w:rPr>
              <w:t> </w:t>
            </w:r>
            <w:r>
              <w:rPr>
                <w:i/>
                <w:iCs/>
                <w:color w:val="000000"/>
              </w:rPr>
              <w:t>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B650E5" w14:paraId="1C41A998" w14:textId="77777777" w:rsidTr="00227685">
        <w:trPr>
          <w:trHeight w:val="630"/>
        </w:trPr>
        <w:tc>
          <w:tcPr>
            <w:tcW w:w="1977" w:type="dxa"/>
            <w:vAlign w:val="center"/>
          </w:tcPr>
          <w:p w14:paraId="2C922123" w14:textId="77777777" w:rsidR="00B650E5" w:rsidRDefault="00B650E5">
            <w:pPr>
              <w:rPr>
                <w:color w:val="000000"/>
              </w:rPr>
            </w:pPr>
            <w:r>
              <w:rPr>
                <w:color w:val="000000"/>
              </w:rPr>
              <w:t>ZVO</w:t>
            </w:r>
          </w:p>
        </w:tc>
        <w:tc>
          <w:tcPr>
            <w:tcW w:w="7849" w:type="dxa"/>
            <w:vAlign w:val="center"/>
          </w:tcPr>
          <w:p w14:paraId="7D0DFA20" w14:textId="77777777" w:rsidR="00B650E5" w:rsidRDefault="00B650E5" w:rsidP="000E286B">
            <w:pPr>
              <w:jc w:val="both"/>
              <w:rPr>
                <w:color w:val="000000"/>
              </w:rPr>
            </w:pPr>
            <w:r>
              <w:rPr>
                <w:color w:val="000000"/>
              </w:rPr>
              <w:t>zákon č. 343/2015 Z. z. o verejnom obstarávaní a o zmene a doplnení niektorých zákonov v znení neskorších predpisov</w:t>
            </w:r>
          </w:p>
        </w:tc>
      </w:tr>
      <w:tr w:rsidR="00B650E5" w14:paraId="324C2094" w14:textId="77777777" w:rsidTr="00227685">
        <w:trPr>
          <w:trHeight w:val="315"/>
        </w:trPr>
        <w:tc>
          <w:tcPr>
            <w:tcW w:w="1977" w:type="dxa"/>
            <w:vAlign w:val="center"/>
          </w:tcPr>
          <w:p w14:paraId="1E13EB63" w14:textId="77777777" w:rsidR="00B650E5" w:rsidRDefault="00B650E5">
            <w:pPr>
              <w:rPr>
                <w:color w:val="000000"/>
              </w:rPr>
            </w:pPr>
            <w:r>
              <w:rPr>
                <w:color w:val="000000"/>
              </w:rPr>
              <w:t>ŽoNFP</w:t>
            </w:r>
          </w:p>
        </w:tc>
        <w:tc>
          <w:tcPr>
            <w:tcW w:w="7849" w:type="dxa"/>
            <w:vAlign w:val="center"/>
          </w:tcPr>
          <w:p w14:paraId="7D39ED28" w14:textId="77777777" w:rsidR="00B650E5" w:rsidRDefault="00B650E5">
            <w:pPr>
              <w:rPr>
                <w:color w:val="000000"/>
              </w:rPr>
            </w:pPr>
            <w:r>
              <w:rPr>
                <w:color w:val="000000"/>
              </w:rPr>
              <w:t>žiadosť o poskytnutie nenávratného finančného príspevku</w:t>
            </w:r>
          </w:p>
        </w:tc>
      </w:tr>
      <w:tr w:rsidR="00B650E5" w14:paraId="179BF418" w14:textId="77777777" w:rsidTr="00227685">
        <w:trPr>
          <w:trHeight w:val="315"/>
        </w:trPr>
        <w:tc>
          <w:tcPr>
            <w:tcW w:w="1977" w:type="dxa"/>
            <w:vAlign w:val="center"/>
          </w:tcPr>
          <w:p w14:paraId="2D8A89C9" w14:textId="77777777" w:rsidR="00B650E5" w:rsidRDefault="00B650E5">
            <w:pPr>
              <w:rPr>
                <w:color w:val="000000"/>
              </w:rPr>
            </w:pPr>
            <w:r>
              <w:rPr>
                <w:color w:val="000000"/>
              </w:rPr>
              <w:t>ŽoP</w:t>
            </w:r>
          </w:p>
        </w:tc>
        <w:tc>
          <w:tcPr>
            <w:tcW w:w="7849" w:type="dxa"/>
            <w:vAlign w:val="center"/>
          </w:tcPr>
          <w:p w14:paraId="36D4AA74" w14:textId="77777777" w:rsidR="00B650E5" w:rsidRDefault="00B650E5">
            <w:pPr>
              <w:rPr>
                <w:color w:val="000000"/>
              </w:rPr>
            </w:pPr>
            <w:r>
              <w:rPr>
                <w:color w:val="000000"/>
              </w:rPr>
              <w:t>žiadosť o platbu</w:t>
            </w:r>
          </w:p>
        </w:tc>
      </w:tr>
    </w:tbl>
    <w:p w14:paraId="54EFE8ED" w14:textId="77777777" w:rsidR="00B650E5" w:rsidRDefault="00B650E5">
      <w:pPr>
        <w:spacing w:after="200" w:line="276" w:lineRule="auto"/>
        <w:rPr>
          <w:b/>
          <w:bCs/>
          <w:color w:val="365F91"/>
          <w:spacing w:val="5"/>
          <w:kern w:val="28"/>
          <w:sz w:val="36"/>
          <w:szCs w:val="26"/>
        </w:rPr>
      </w:pPr>
      <w:r>
        <w:br w:type="page"/>
      </w:r>
    </w:p>
    <w:p w14:paraId="12C7AC62" w14:textId="77777777" w:rsidR="00B650E5" w:rsidRDefault="00B650E5">
      <w:pPr>
        <w:pStyle w:val="SRK2"/>
      </w:pPr>
      <w:bookmarkStart w:id="27" w:name="_Toc453233939"/>
      <w:bookmarkStart w:id="28" w:name="_Toc501629990"/>
      <w:bookmarkStart w:id="29" w:name="kapitola_13"/>
      <w:r>
        <w:lastRenderedPageBreak/>
        <w:t>1.3 Subjekty zapojené do riadenia a kontroly EŠIF</w:t>
      </w:r>
      <w:bookmarkEnd w:id="19"/>
      <w:bookmarkEnd w:id="27"/>
      <w:bookmarkEnd w:id="28"/>
    </w:p>
    <w:p w14:paraId="112CEEB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30" w:name="_Toc378947473"/>
      <w:bookmarkEnd w:id="29"/>
      <w:r>
        <w:rPr>
          <w:u w:val="single"/>
        </w:rPr>
        <w:t>Relevantná úprava v legislatíve EÚ:</w:t>
      </w:r>
    </w:p>
    <w:p w14:paraId="03CF98E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117, 123 až 127 všeobecného nariadenia</w:t>
      </w:r>
    </w:p>
    <w:p w14:paraId="4E29EAB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91EB15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až § 15 zákona o príspevku z EŠIF</w:t>
      </w:r>
    </w:p>
    <w:p w14:paraId="69874E2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24 kompetenčného zákona</w:t>
      </w:r>
    </w:p>
    <w:p w14:paraId="06CDC9F8" w14:textId="77777777" w:rsidR="00B650E5" w:rsidRDefault="00B650E5">
      <w:pPr>
        <w:pStyle w:val="SRK3"/>
      </w:pPr>
      <w:bookmarkStart w:id="31" w:name="_Toc453233940"/>
      <w:bookmarkStart w:id="32" w:name="_Toc501629991"/>
      <w:r>
        <w:t>1.3.1 Subjekty zapojené do riadenia a kontroly na strategickej úrovni</w:t>
      </w:r>
      <w:bookmarkEnd w:id="30"/>
      <w:bookmarkEnd w:id="31"/>
      <w:bookmarkEnd w:id="32"/>
    </w:p>
    <w:p w14:paraId="1FC9F17C" w14:textId="77777777" w:rsidR="00B650E5" w:rsidRDefault="00B650E5" w:rsidP="0045286B">
      <w:pPr>
        <w:pStyle w:val="SRK4"/>
      </w:pPr>
      <w:bookmarkStart w:id="33" w:name="_Toc453233941"/>
      <w:bookmarkStart w:id="34" w:name="_Toc501629992"/>
      <w:r>
        <w:t>1.3.1.1 Podpredseda vlády SR pre investície a informatizáciu</w:t>
      </w:r>
      <w:bookmarkEnd w:id="33"/>
      <w:bookmarkEnd w:id="34"/>
    </w:p>
    <w:p w14:paraId="2141D2FA" w14:textId="77777777" w:rsidR="00B650E5" w:rsidRDefault="00B650E5" w:rsidP="00DE5D89">
      <w:pPr>
        <w:pStyle w:val="Odsekzoznamu"/>
        <w:numPr>
          <w:ilvl w:val="0"/>
          <w:numId w:val="387"/>
        </w:numPr>
        <w:spacing w:before="120" w:after="120"/>
        <w:ind w:left="426" w:hanging="426"/>
        <w:contextualSpacing w:val="0"/>
        <w:jc w:val="both"/>
      </w:pPr>
      <w:r>
        <w:t>Podpredseda vlády SR pre investície a informatizáciu vo vzťahu k implementácii EŠIF plní úlohy v súlade so schváleným Štatútom podpredsedu vlády SR pre investície a informatizáciu.</w:t>
      </w:r>
    </w:p>
    <w:p w14:paraId="75478BBF" w14:textId="77777777" w:rsidR="00B650E5" w:rsidRDefault="00B650E5" w:rsidP="0045286B">
      <w:pPr>
        <w:pStyle w:val="SRK4"/>
      </w:pPr>
      <w:bookmarkStart w:id="35" w:name="_Toc453233942"/>
      <w:bookmarkStart w:id="36" w:name="_Toc501629993"/>
      <w:r>
        <w:t>1.3.1.2 Centrálny koordinačný orgán</w:t>
      </w:r>
      <w:bookmarkEnd w:id="35"/>
      <w:bookmarkEnd w:id="36"/>
    </w:p>
    <w:p w14:paraId="54C910CD" w14:textId="77777777" w:rsidR="00B650E5" w:rsidRDefault="00B650E5">
      <w:pPr>
        <w:pStyle w:val="Odsekzoznamu"/>
        <w:numPr>
          <w:ilvl w:val="0"/>
          <w:numId w:val="341"/>
        </w:numPr>
        <w:spacing w:before="120" w:after="120"/>
        <w:contextualSpacing w:val="0"/>
        <w:jc w:val="both"/>
      </w:pPr>
      <w:r>
        <w:t xml:space="preserve">Úlohy CKO v súlade s § 6 ods. 1 zákona o príspevku z EŠIF plní od 1. 6. 2016 </w:t>
      </w:r>
      <w:r w:rsidRPr="009D7275">
        <w:t>ÚP</w:t>
      </w:r>
      <w:r>
        <w:t>P</w:t>
      </w:r>
      <w:r w:rsidRPr="009D7275">
        <w:t>VII</w:t>
      </w:r>
      <w:r>
        <w:t xml:space="preserve">. Vzťahy medzi CKO a podpredsedom vlády SR pre investície </w:t>
      </w:r>
      <w:r w:rsidRPr="00B210B9">
        <w:t xml:space="preserve">a informatizáciu </w:t>
      </w:r>
      <w:r>
        <w:t>sú určené organizačným poriadkom Ú</w:t>
      </w:r>
      <w:r w:rsidRPr="009D7275">
        <w:t>P</w:t>
      </w:r>
      <w:r>
        <w:t>P</w:t>
      </w:r>
      <w:r w:rsidRPr="009D7275">
        <w:t>VII a štatútmi podpredsedu vlády SR pre investície a informatizáciu a Ú</w:t>
      </w:r>
      <w:r>
        <w:t>P</w:t>
      </w:r>
      <w:r w:rsidRPr="009D7275">
        <w:t>PVII</w:t>
      </w:r>
      <w:r>
        <w:t>.</w:t>
      </w:r>
    </w:p>
    <w:p w14:paraId="40967066" w14:textId="77777777" w:rsidR="00B650E5" w:rsidRDefault="00B650E5">
      <w:pPr>
        <w:pStyle w:val="Odsekzoznamu"/>
        <w:numPr>
          <w:ilvl w:val="0"/>
          <w:numId w:val="341"/>
        </w:numPr>
        <w:spacing w:before="120" w:after="120"/>
        <w:ind w:left="426" w:hanging="426"/>
        <w:contextualSpacing w:val="0"/>
        <w:jc w:val="both"/>
      </w:pPr>
      <w:r>
        <w:t>CKO v súvislosti s realizáciou PD, OP a PRV najmä:</w:t>
      </w:r>
    </w:p>
    <w:p w14:paraId="6662D06B" w14:textId="77777777" w:rsidR="00B650E5" w:rsidRDefault="00B650E5">
      <w:pPr>
        <w:pStyle w:val="Odsekzoznamu"/>
        <w:numPr>
          <w:ilvl w:val="0"/>
          <w:numId w:val="18"/>
        </w:numPr>
        <w:spacing w:before="120" w:after="120"/>
        <w:ind w:left="850" w:hanging="425"/>
        <w:contextualSpacing w:val="0"/>
        <w:jc w:val="both"/>
      </w:pPr>
      <w:r>
        <w:t>zabezpečuje vypracovanie PD a plní akékoľvek činnosti spojené s jej zmenami;</w:t>
      </w:r>
    </w:p>
    <w:p w14:paraId="77E29121" w14:textId="77777777" w:rsidR="00B650E5" w:rsidRDefault="00B650E5">
      <w:pPr>
        <w:pStyle w:val="Odsekzoznamu"/>
        <w:numPr>
          <w:ilvl w:val="0"/>
          <w:numId w:val="18"/>
        </w:numPr>
        <w:spacing w:before="120" w:after="120"/>
        <w:ind w:left="850" w:hanging="425"/>
        <w:contextualSpacing w:val="0"/>
        <w:jc w:val="both"/>
      </w:pPr>
      <w:r>
        <w:t xml:space="preserve">koordinuje a usmerňuje subjekty v oblasti Systému riadenia EŠIF, okrem osobitných častí systému riadenia EPFRV a oblasti komunikácie a informovanosti a oblasti vzdelávania administratívnych kapacít </w:t>
      </w:r>
      <w:r w:rsidRPr="00823788">
        <w:t xml:space="preserve"> </w:t>
      </w:r>
      <w:r>
        <w:t>zamest</w:t>
      </w:r>
      <w:r w:rsidRPr="00823788">
        <w:t>nancov pôsobiacich v systéme riadenia, kontroly a auditu EŠIF</w:t>
      </w:r>
      <w:r>
        <w:t>;</w:t>
      </w:r>
    </w:p>
    <w:p w14:paraId="49E68D48" w14:textId="77777777" w:rsidR="00B650E5" w:rsidRPr="009078F6" w:rsidRDefault="00B650E5">
      <w:pPr>
        <w:pStyle w:val="Odsekzoznamu"/>
        <w:numPr>
          <w:ilvl w:val="0"/>
          <w:numId w:val="18"/>
        </w:numPr>
        <w:spacing w:before="120" w:after="120"/>
        <w:ind w:left="850" w:hanging="425"/>
        <w:contextualSpacing w:val="0"/>
        <w:jc w:val="both"/>
      </w:pPr>
      <w:bookmarkStart w:id="37" w:name="kapitola_1312_ods_2c"/>
      <w:r>
        <w:t xml:space="preserve">vypracúva Systém riadenia EŠIF a jeho zmeny, okrem Systému riadenia EPFRV, vydáva vzory formulárov, výstupov a vstupov v rámci jednotlivých procesov, metodické pokyny, </w:t>
      </w:r>
      <w:r w:rsidRPr="009078F6">
        <w:t>metodické výklady a výnimky zo Systému riadenia EŠIF;</w:t>
      </w:r>
    </w:p>
    <w:bookmarkEnd w:id="37"/>
    <w:p w14:paraId="2CC6EB62" w14:textId="77777777" w:rsidR="00B650E5" w:rsidRPr="009078F6" w:rsidRDefault="00B650E5">
      <w:pPr>
        <w:pStyle w:val="Odsekzoznamu"/>
        <w:numPr>
          <w:ilvl w:val="0"/>
          <w:numId w:val="18"/>
        </w:numPr>
        <w:spacing w:before="120" w:after="120"/>
        <w:ind w:left="850" w:hanging="425"/>
        <w:contextualSpacing w:val="0"/>
        <w:jc w:val="both"/>
      </w:pPr>
      <w:r w:rsidRPr="009078F6">
        <w:t>vydáva vzor</w:t>
      </w:r>
      <w:r w:rsidRPr="009078F6">
        <w:rPr>
          <w:rStyle w:val="Odkaznapoznmkupodiarou"/>
        </w:rPr>
        <w:footnoteReference w:id="8"/>
      </w:r>
      <w:r w:rsidRPr="009078F6">
        <w:t xml:space="preserve"> zmluvy o NFP v spolupráci s CO;</w:t>
      </w:r>
    </w:p>
    <w:p w14:paraId="6640DB7A" w14:textId="77777777" w:rsidR="00B650E5" w:rsidRPr="009078F6" w:rsidRDefault="00B650E5">
      <w:pPr>
        <w:pStyle w:val="Odsekzoznamu"/>
        <w:numPr>
          <w:ilvl w:val="0"/>
          <w:numId w:val="18"/>
        </w:numPr>
        <w:spacing w:before="120" w:after="120"/>
        <w:ind w:left="851" w:hanging="425"/>
        <w:contextualSpacing w:val="0"/>
        <w:jc w:val="both"/>
      </w:pPr>
      <w:r w:rsidRPr="009078F6">
        <w:t>vydáva vzor</w:t>
      </w:r>
      <w:r w:rsidRPr="009078F6">
        <w:rPr>
          <w:rStyle w:val="Odkaznapoznmkupodiarou"/>
        </w:rPr>
        <w:footnoteReference w:id="9"/>
      </w:r>
      <w:r w:rsidRPr="009078F6">
        <w:t xml:space="preserve"> písomnej zmluvy medzi riadiacim orgánom a sprostredkovateľským orgánom;</w:t>
      </w:r>
    </w:p>
    <w:p w14:paraId="6130BF18" w14:textId="77777777" w:rsidR="00B650E5" w:rsidRDefault="00B650E5">
      <w:pPr>
        <w:pStyle w:val="Odsekzoznamu"/>
        <w:numPr>
          <w:ilvl w:val="0"/>
          <w:numId w:val="18"/>
        </w:numPr>
        <w:spacing w:before="120" w:after="120"/>
        <w:ind w:left="851" w:hanging="425"/>
        <w:contextualSpacing w:val="0"/>
        <w:jc w:val="both"/>
      </w:pPr>
      <w:r>
        <w:t>zabezpečuje tvorbu ITMS 2014+ a plní úlohy súvisiace s jeho prevádzkou, okrem informačného systému pre EPFRV a informačného systému pre operačný program Interact; V súlade s § 9 zákona o príspevku z EŠIF certifikačný orgán spolupracuje pri tvorbe ITMS 2014+ za oblasť finančného riadenia, zabezpečuje definovanie požiadaviek a testovanie aplikačného programového vybavenia ITMS 2014+ za oblasť finančného riadenia, vrátenia finančných prostriedkov a nezrovnalostí a spolupracuje pri definovaní požiadaviek a testovaní programového aplikačného vybavenia ITMS 2014+ pre ostatné oblasti v súlade s</w:t>
      </w:r>
      <w:r w:rsidR="006B2B6A">
        <w:t> </w:t>
      </w:r>
      <w:r>
        <w:t xml:space="preserve">platnou legislatívnou EÚ a SR a v zmysle usmernení a špecifických požiadaviek CKO; </w:t>
      </w:r>
    </w:p>
    <w:p w14:paraId="261FEB83" w14:textId="77777777" w:rsidR="00B650E5" w:rsidRDefault="00B650E5">
      <w:pPr>
        <w:pStyle w:val="Odsekzoznamu"/>
        <w:numPr>
          <w:ilvl w:val="0"/>
          <w:numId w:val="18"/>
        </w:numPr>
        <w:spacing w:before="120" w:after="120"/>
        <w:ind w:left="851" w:hanging="425"/>
        <w:contextualSpacing w:val="0"/>
        <w:jc w:val="both"/>
      </w:pPr>
      <w:r>
        <w:t>zriaďuje Riadiaci výbor ITMS 2014+ a pripravuje jeho štatút a rokovací poriadok, usmerňuje jeho prácu a zabezpečuje jeho zasadnutia minimálne za účasti CO a DataCentra;</w:t>
      </w:r>
    </w:p>
    <w:p w14:paraId="319ADABB" w14:textId="77777777" w:rsidR="00B650E5" w:rsidRDefault="00B650E5">
      <w:pPr>
        <w:pStyle w:val="Odsekzoznamu"/>
        <w:numPr>
          <w:ilvl w:val="0"/>
          <w:numId w:val="18"/>
        </w:numPr>
        <w:spacing w:before="120" w:after="120"/>
        <w:ind w:left="850" w:hanging="425"/>
        <w:contextualSpacing w:val="0"/>
        <w:jc w:val="both"/>
      </w:pPr>
      <w:r>
        <w:lastRenderedPageBreak/>
        <w:t>monitoruje a hodnotí výsledky implementácie EŠIF;</w:t>
      </w:r>
    </w:p>
    <w:p w14:paraId="1CC5FF1E" w14:textId="77777777" w:rsidR="00B650E5" w:rsidRDefault="00B650E5">
      <w:pPr>
        <w:pStyle w:val="Odsekzoznamu"/>
        <w:numPr>
          <w:ilvl w:val="0"/>
          <w:numId w:val="18"/>
        </w:numPr>
        <w:spacing w:before="120" w:after="120"/>
        <w:ind w:left="851" w:hanging="425"/>
        <w:contextualSpacing w:val="0"/>
        <w:jc w:val="both"/>
      </w:pPr>
      <w:r>
        <w:t>je gestorom Integrovanej siete informačno-poradenských centier;</w:t>
      </w:r>
    </w:p>
    <w:p w14:paraId="72D8EACD" w14:textId="77777777" w:rsidR="00B650E5" w:rsidRDefault="00B650E5">
      <w:pPr>
        <w:pStyle w:val="Odsekzoznamu"/>
        <w:numPr>
          <w:ilvl w:val="0"/>
          <w:numId w:val="18"/>
        </w:numPr>
        <w:spacing w:before="120" w:after="120"/>
        <w:ind w:left="851" w:hanging="425"/>
        <w:contextualSpacing w:val="0"/>
        <w:jc w:val="both"/>
      </w:pPr>
      <w:r>
        <w:t>zabezpečuje prípravu stanovísk a pozícií SR k legislatívnym a strategickým dokumentom EÚ pre politiku súdržnosti a koordinuje a zabezpečuje prípravu legislatívnych, strategických a koncepčných dokumentov politiky súdržnosti v SR;</w:t>
      </w:r>
    </w:p>
    <w:p w14:paraId="06B4B090" w14:textId="77777777" w:rsidR="00B650E5" w:rsidRDefault="00B650E5">
      <w:pPr>
        <w:pStyle w:val="Odsekzoznamu"/>
        <w:numPr>
          <w:ilvl w:val="0"/>
          <w:numId w:val="18"/>
        </w:numPr>
        <w:spacing w:before="120" w:after="120"/>
        <w:ind w:left="851" w:hanging="425"/>
        <w:contextualSpacing w:val="0"/>
        <w:jc w:val="both"/>
      </w:pPr>
      <w:r>
        <w:t>je príslušným orgánom podľa osobitného predpisu v oblasti EZÚS;</w:t>
      </w:r>
    </w:p>
    <w:p w14:paraId="5CE641FA" w14:textId="77777777" w:rsidR="00B650E5" w:rsidRDefault="00B650E5">
      <w:pPr>
        <w:pStyle w:val="Odsekzoznamu"/>
        <w:numPr>
          <w:ilvl w:val="0"/>
          <w:numId w:val="18"/>
        </w:numPr>
        <w:spacing w:before="120" w:after="120"/>
        <w:ind w:left="851" w:hanging="425"/>
        <w:contextualSpacing w:val="0"/>
        <w:jc w:val="both"/>
      </w:pPr>
      <w:r>
        <w:t>zriaďuje Radu CKO, ktorej postavenie, zloženie a úlohy upraví štatút a rokovací poriadok vydaný CKO;</w:t>
      </w:r>
    </w:p>
    <w:p w14:paraId="087E0078" w14:textId="77777777" w:rsidR="00B650E5" w:rsidRDefault="00B650E5">
      <w:pPr>
        <w:pStyle w:val="Odsekzoznamu"/>
        <w:numPr>
          <w:ilvl w:val="0"/>
          <w:numId w:val="18"/>
        </w:numPr>
        <w:spacing w:before="120" w:after="120"/>
        <w:ind w:left="851" w:hanging="425"/>
        <w:contextualSpacing w:val="0"/>
        <w:jc w:val="both"/>
      </w:pPr>
      <w:r>
        <w:t>zodpovedá za oznámenie dátumu a spôsobu určenia RO a certifikačného orgánu (ďalej len ,,CO“) EK pred predložením prvej žiadosti o priebežnú platbu v zmysle čl. 124 ods. 1 nariadenia č. 1303/2013;</w:t>
      </w:r>
    </w:p>
    <w:p w14:paraId="64E4BD9B" w14:textId="77777777" w:rsidR="00B650E5" w:rsidRDefault="00B650E5">
      <w:pPr>
        <w:pStyle w:val="Odsekzoznamu"/>
        <w:numPr>
          <w:ilvl w:val="0"/>
          <w:numId w:val="18"/>
        </w:numPr>
        <w:spacing w:before="120" w:after="120"/>
        <w:ind w:left="851" w:hanging="425"/>
        <w:contextualSpacing w:val="0"/>
        <w:jc w:val="both"/>
      </w:pPr>
      <w:r>
        <w:t>monitoruje dodržiavanie kritérií určenia RO a CO</w:t>
      </w:r>
      <w:r w:rsidR="00D23AF3">
        <w:rPr>
          <w:rStyle w:val="Odkaznapoznmkupodiarou"/>
        </w:rPr>
        <w:footnoteReference w:id="10"/>
      </w:r>
      <w:r>
        <w:t xml:space="preserve">; </w:t>
      </w:r>
    </w:p>
    <w:p w14:paraId="364ABE1F" w14:textId="77777777" w:rsidR="00B650E5" w:rsidRDefault="00B650E5">
      <w:pPr>
        <w:pStyle w:val="Odsekzoznamu"/>
        <w:numPr>
          <w:ilvl w:val="0"/>
          <w:numId w:val="18"/>
        </w:numPr>
        <w:spacing w:before="120" w:after="120"/>
        <w:ind w:left="851" w:hanging="425"/>
        <w:contextualSpacing w:val="0"/>
        <w:jc w:val="both"/>
      </w:pPr>
      <w:bookmarkStart w:id="38" w:name="kapitola_1312_ods_2_p"/>
      <w:r w:rsidRPr="00487880">
        <w:t>schvaľuje pre operačný program záväzný plán vypracovaný riadiacim orgánom, ktorý obsahuje časový harmonogram a finančný harmonogram poskytovania finančných prostriedkov určených pre operačný program</w:t>
      </w:r>
      <w:r>
        <w:t xml:space="preserve">, program rozvoja vidieka, program spolupráce </w:t>
      </w:r>
      <w:r w:rsidR="00DE270A">
        <w:t xml:space="preserve">Interreg V-A </w:t>
      </w:r>
      <w:r>
        <w:t xml:space="preserve">Slovenská republika – Česká republika, program spolupráce </w:t>
      </w:r>
      <w:r w:rsidR="00DE270A">
        <w:t xml:space="preserve">Interreg V-A </w:t>
      </w:r>
      <w:r>
        <w:t xml:space="preserve">Slovenská republika </w:t>
      </w:r>
      <w:r w:rsidR="00DE270A">
        <w:t>–</w:t>
      </w:r>
      <w:r>
        <w:t xml:space="preserve"> Rakúsko</w:t>
      </w:r>
      <w:r w:rsidR="00DE270A">
        <w:t xml:space="preserve"> (ďalej aj „programy cezhraničnej spolupráce“)</w:t>
      </w:r>
      <w:r w:rsidRPr="00487880">
        <w:t xml:space="preserve"> a plán napĺňania cieľov operačného programu</w:t>
      </w:r>
      <w:r>
        <w:t>;</w:t>
      </w:r>
    </w:p>
    <w:bookmarkEnd w:id="38"/>
    <w:p w14:paraId="6C6C8ACB" w14:textId="77777777" w:rsidR="00B650E5" w:rsidRPr="00B80C21" w:rsidRDefault="00B650E5">
      <w:pPr>
        <w:pStyle w:val="Odsekzoznamu"/>
        <w:numPr>
          <w:ilvl w:val="0"/>
          <w:numId w:val="18"/>
        </w:numPr>
        <w:spacing w:before="120" w:after="120"/>
        <w:ind w:left="851" w:hanging="425"/>
        <w:contextualSpacing w:val="0"/>
        <w:jc w:val="both"/>
      </w:pPr>
      <w:r w:rsidRPr="00B80C21">
        <w:t>schva</w:t>
      </w:r>
      <w:r w:rsidRPr="00AE34F1">
        <w:t>ľ</w:t>
      </w:r>
      <w:r w:rsidRPr="00B5005C">
        <w:t>uje výzvy</w:t>
      </w:r>
      <w:r w:rsidRPr="00B80C21">
        <w:t xml:space="preserve"> vrátane výziev v rámci operačných programov cezhraničnej spolupráce, výzvy na predkladanie projektových zámerov a vyzvania na predloženie národných projektov, na predloženie veľkých projektov a na predloženie projektov technickej pomoci pred ich vyhlásením;</w:t>
      </w:r>
    </w:p>
    <w:p w14:paraId="1B157E4A" w14:textId="066C7C9B" w:rsidR="00B650E5" w:rsidRDefault="00B650E5" w:rsidP="000E286B">
      <w:pPr>
        <w:pStyle w:val="Odsekzoznamu"/>
        <w:numPr>
          <w:ilvl w:val="0"/>
          <w:numId w:val="18"/>
        </w:numPr>
        <w:spacing w:before="120" w:after="120"/>
        <w:ind w:left="851" w:hanging="425"/>
        <w:contextualSpacing w:val="0"/>
        <w:jc w:val="both"/>
      </w:pPr>
      <w:r w:rsidRPr="000E286B">
        <w:t xml:space="preserve">je oprávnený vykonávať krízové riadenie operačného programu </w:t>
      </w:r>
      <w:r w:rsidRPr="001C792C">
        <w:t>v zmysle § 3 Nariadenia vlády SR č. 247/2016 Z.</w:t>
      </w:r>
      <w:r w:rsidR="00A4267B">
        <w:t xml:space="preserve"> </w:t>
      </w:r>
      <w:r w:rsidRPr="001C792C">
        <w:t xml:space="preserve">z. zo 17. augusta 2016 </w:t>
      </w:r>
      <w:r w:rsidRPr="000E286B">
        <w:t xml:space="preserve">v prípade, ak záväzný plán podľa </w:t>
      </w:r>
      <w:hyperlink w:anchor="kapitola_1312_ods_2_p" w:tooltip="písm. p) tohto odseku" w:history="1">
        <w:r w:rsidRPr="000E286B">
          <w:rPr>
            <w:rStyle w:val="Hypertextovprepojenie"/>
          </w:rPr>
          <w:t>písm</w:t>
        </w:r>
        <w:r>
          <w:rPr>
            <w:rStyle w:val="Hypertextovprepojenie"/>
          </w:rPr>
          <w:t>.</w:t>
        </w:r>
        <w:r w:rsidRPr="000E286B">
          <w:rPr>
            <w:rStyle w:val="Hypertextovprepojenie"/>
          </w:rPr>
          <w:t xml:space="preserve"> </w:t>
        </w:r>
        <w:r w:rsidR="00721F46">
          <w:rPr>
            <w:rStyle w:val="Hypertextovprepojenie"/>
          </w:rPr>
          <w:t>o</w:t>
        </w:r>
        <w:r w:rsidRPr="000E286B">
          <w:rPr>
            <w:rStyle w:val="Hypertextovprepojenie"/>
          </w:rPr>
          <w:t>)</w:t>
        </w:r>
        <w:r w:rsidRPr="001C792C">
          <w:rPr>
            <w:rStyle w:val="Hypertextovprepojenie"/>
          </w:rPr>
          <w:t xml:space="preserve"> tohto odseku</w:t>
        </w:r>
      </w:hyperlink>
      <w:r w:rsidRPr="000E286B">
        <w:t xml:space="preserve"> nie je predložený alebo plnenie záväzného plánu príslušného operačného programu nedosahuje aspoň 80 % a ak o tom rozhodne vláda Slovenskej republiky na návrh predsedu vlády Slovenskej republiky</w:t>
      </w:r>
      <w:r>
        <w:t>. Krízovým riadením sa rozumie súbor opatrení vrátane časového harmonogramu ich zavedenia, ktoré navrhne CKO v spolupráci s RO a schváli vláda Slovenskej republiky. CKO</w:t>
      </w:r>
      <w:r w:rsidRPr="00E550D6">
        <w:t xml:space="preserve"> odporučí</w:t>
      </w:r>
      <w:r>
        <w:t xml:space="preserve"> predsedovi vlády Slovenskej republiky, aby predložil vláde Slovenskej republiky návrh na zavedenie krízového riadenia po konzultácii s riadiacim orgánom, pričom z konzultácie sa vyhotovuje písomná zápisnica. CKO poskytuje RO súčinnosť pri implementácii opatrení krízového riadenia operačného programu </w:t>
      </w:r>
      <w:r>
        <w:br/>
        <w:t>podľa § 38, ods. 1 kompetenčného zákona. CKO</w:t>
      </w:r>
      <w:r w:rsidRPr="00CA06A4">
        <w:t xml:space="preserve"> neodporučí predsedovi vlády Slovenskej republiky, aby predložil vláde Slovenskej republiky návrh na zavedenie krízového riadenia, ak dôvody pre jeho zavedenie spočívajú v okolnostiach spôsobených vyššou mocou</w:t>
      </w:r>
      <w:r w:rsidR="00AC1BC6">
        <w:t>, resp. okolnostiach vylučujúcich zodpovednosť RO</w:t>
      </w:r>
      <w:r>
        <w:t>;</w:t>
      </w:r>
    </w:p>
    <w:p w14:paraId="229AB021" w14:textId="77777777" w:rsidR="00B650E5" w:rsidRDefault="00B650E5" w:rsidP="00CC7ABC">
      <w:pPr>
        <w:pStyle w:val="Odsekzoznamu"/>
        <w:numPr>
          <w:ilvl w:val="0"/>
          <w:numId w:val="18"/>
        </w:numPr>
        <w:spacing w:before="120" w:after="120"/>
        <w:ind w:left="851" w:hanging="425"/>
        <w:contextualSpacing w:val="0"/>
        <w:jc w:val="both"/>
      </w:pPr>
      <w:r>
        <w:t xml:space="preserve">ak CKO na základe podkladov predložených RO na účel vyhodnotenia ročného záväzného plánu OP podľa §1 ods. 6 </w:t>
      </w:r>
      <w:r w:rsidR="008452CB" w:rsidRPr="001C792C">
        <w:t>Nariadenia vlády SR č. 247/2016 Z.</w:t>
      </w:r>
      <w:r w:rsidR="008452CB">
        <w:t xml:space="preserve"> </w:t>
      </w:r>
      <w:r w:rsidR="008452CB" w:rsidRPr="001C792C">
        <w:t xml:space="preserve">z. zo 17. augusta 2016 </w:t>
      </w:r>
      <w:r>
        <w:t>dospeje k záveru, že dôvody na zavedenie krízového riadenia OP pominuli, odporučí predsedovi vlády SR, aby predložil vláde SR návrh na zrušenie krízového riadenia OP;</w:t>
      </w:r>
    </w:p>
    <w:p w14:paraId="2363B443" w14:textId="77777777" w:rsidR="00B650E5" w:rsidRPr="00172982" w:rsidRDefault="00B650E5">
      <w:pPr>
        <w:pStyle w:val="Odsekzoznamu"/>
        <w:numPr>
          <w:ilvl w:val="0"/>
          <w:numId w:val="18"/>
        </w:numPr>
        <w:spacing w:before="120" w:after="120"/>
        <w:ind w:left="851" w:hanging="425"/>
        <w:contextualSpacing w:val="0"/>
        <w:jc w:val="both"/>
      </w:pPr>
      <w:r w:rsidRPr="009078F6">
        <w:lastRenderedPageBreak/>
        <w:t>vypracováva číselník oprávnených výdavkov a číselník merateľných ukazovateľov, vrátane projektových ukazovateľov ako súčasť príslušných metodických pokynov CKO a zabezpečuje ich aktualizáciu</w:t>
      </w:r>
      <w:r w:rsidRPr="00172982">
        <w:t xml:space="preserve">; </w:t>
      </w:r>
    </w:p>
    <w:p w14:paraId="430732C0" w14:textId="77777777" w:rsidR="00B650E5" w:rsidRDefault="00B650E5">
      <w:pPr>
        <w:pStyle w:val="Odsekzoznamu"/>
        <w:numPr>
          <w:ilvl w:val="0"/>
          <w:numId w:val="18"/>
        </w:numPr>
        <w:spacing w:before="120" w:after="120"/>
        <w:ind w:left="851" w:hanging="425"/>
        <w:contextualSpacing w:val="0"/>
        <w:jc w:val="both"/>
      </w:pPr>
      <w:r>
        <w:t>vypracováva metodické výklady k jednotlivým ustanoveniam Systému riadenia EŠIF a v</w:t>
      </w:r>
      <w:r w:rsidR="006B2B6A">
        <w:t> </w:t>
      </w:r>
      <w:r>
        <w:t>prípade potreby zabezpečuje ich aktualizáciu;</w:t>
      </w:r>
    </w:p>
    <w:p w14:paraId="0632C360" w14:textId="77777777" w:rsidR="00B650E5" w:rsidRDefault="00B650E5">
      <w:pPr>
        <w:pStyle w:val="Odsekzoznamu"/>
        <w:numPr>
          <w:ilvl w:val="0"/>
          <w:numId w:val="18"/>
        </w:numPr>
        <w:spacing w:before="120" w:after="120"/>
        <w:ind w:left="851" w:hanging="425"/>
        <w:contextualSpacing w:val="0"/>
        <w:jc w:val="both"/>
      </w:pPr>
      <w:r>
        <w:t xml:space="preserve">vydáva výnimky zo Systému riadenia EŠIF na základe oprávnených a riadne odôvodnených žiadostí subjektov zapojených do procesu implementácie a zabezpečuje bezodkladné informovanie CO, </w:t>
      </w:r>
      <w:r>
        <w:rPr>
          <w:color w:val="000000"/>
        </w:rPr>
        <w:t>Centráln</w:t>
      </w:r>
      <w:r w:rsidR="006B2B6A">
        <w:rPr>
          <w:color w:val="000000"/>
        </w:rPr>
        <w:t>eho</w:t>
      </w:r>
      <w:r>
        <w:rPr>
          <w:color w:val="000000"/>
        </w:rPr>
        <w:t xml:space="preserve"> kontaktn</w:t>
      </w:r>
      <w:r w:rsidR="006B2B6A">
        <w:rPr>
          <w:color w:val="000000"/>
        </w:rPr>
        <w:t>ého</w:t>
      </w:r>
      <w:r>
        <w:rPr>
          <w:color w:val="000000"/>
        </w:rPr>
        <w:t xml:space="preserve"> útvar</w:t>
      </w:r>
      <w:r w:rsidR="006B2B6A">
        <w:rPr>
          <w:color w:val="000000"/>
        </w:rPr>
        <w:t>u</w:t>
      </w:r>
      <w:r>
        <w:rPr>
          <w:color w:val="000000"/>
        </w:rPr>
        <w:t xml:space="preserve"> pre OLAF (ďalej len „OCKÚ OLAF“)</w:t>
      </w:r>
      <w:r>
        <w:t xml:space="preserve"> a orgánu auditu (ďalej len ,,OA“) o takto udelených výnimkách; </w:t>
      </w:r>
    </w:p>
    <w:p w14:paraId="647DE242" w14:textId="77777777" w:rsidR="00B650E5" w:rsidRDefault="00B650E5">
      <w:pPr>
        <w:pStyle w:val="Odsekzoznamu"/>
        <w:numPr>
          <w:ilvl w:val="0"/>
          <w:numId w:val="18"/>
        </w:numPr>
        <w:spacing w:before="120" w:after="120"/>
        <w:ind w:left="851" w:hanging="425"/>
        <w:contextualSpacing w:val="0"/>
        <w:jc w:val="both"/>
      </w:pPr>
      <w:r>
        <w:t xml:space="preserve">organizuje a koordinuje pravidelné koordinačné porady subjektov zapojených do procesu implementácie EŠIF; </w:t>
      </w:r>
    </w:p>
    <w:p w14:paraId="4C5DFA82" w14:textId="77777777" w:rsidR="00B650E5" w:rsidRDefault="00B650E5">
      <w:pPr>
        <w:pStyle w:val="Odsekzoznamu"/>
        <w:numPr>
          <w:ilvl w:val="0"/>
          <w:numId w:val="18"/>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v prípade potreby organizuje výročné hodnotiace zasadnutie EK s RO, za účasti CO a OA ako nezávislého pozorovateľa; </w:t>
      </w:r>
    </w:p>
    <w:p w14:paraId="4C6022B8" w14:textId="77777777" w:rsidR="00B650E5" w:rsidRDefault="00B650E5">
      <w:pPr>
        <w:pStyle w:val="Odsekzoznamu"/>
        <w:numPr>
          <w:ilvl w:val="0"/>
          <w:numId w:val="18"/>
        </w:numPr>
        <w:spacing w:before="120" w:after="120"/>
        <w:ind w:left="851" w:hanging="425"/>
        <w:contextualSpacing w:val="0"/>
        <w:jc w:val="both"/>
      </w:pPr>
      <w:r>
        <w:t xml:space="preserve">zabezpečuje účasť na zasadnutiach poradných výborov EK a zabezpečuje informovanosť o výsledkoch a záveroch týchto rokovaní; </w:t>
      </w:r>
    </w:p>
    <w:p w14:paraId="1F20D05A" w14:textId="77777777" w:rsidR="00B650E5" w:rsidRDefault="00B650E5">
      <w:pPr>
        <w:pStyle w:val="Odsekzoznamu"/>
        <w:numPr>
          <w:ilvl w:val="0"/>
          <w:numId w:val="18"/>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14:paraId="48E5C890" w14:textId="77777777" w:rsidR="00B650E5" w:rsidRDefault="00B650E5">
      <w:pPr>
        <w:pStyle w:val="Odsekzoznamu"/>
        <w:numPr>
          <w:ilvl w:val="0"/>
          <w:numId w:val="18"/>
        </w:numPr>
        <w:spacing w:before="120" w:after="120"/>
        <w:ind w:left="851" w:hanging="425"/>
        <w:contextualSpacing w:val="0"/>
        <w:jc w:val="both"/>
      </w:pPr>
      <w:r>
        <w:t>predkladá manuál procedúr CKO, vrátane jeho akýchkoľvek zmien s označením čísla verzie a dátumu platnosti OA (</w:t>
      </w:r>
      <w:hyperlink r:id="rId13" w:history="1">
        <w:r>
          <w:rPr>
            <w:rStyle w:val="Hypertextovprepojenie"/>
          </w:rPr>
          <w:t>manualy@mfsr.sk</w:t>
        </w:r>
      </w:hyperlink>
      <w:r>
        <w:t xml:space="preserve">) v elektronickej forme s naskenovanou stranou obsahujúcou podpis zodpovednej osoby, a to najneskôr </w:t>
      </w:r>
      <w:r>
        <w:rPr>
          <w:rFonts w:cs="Arial"/>
          <w:szCs w:val="16"/>
        </w:rPr>
        <w:t xml:space="preserve">do 10 pracovných dní od schválenia zodpovedným vedúcim. </w:t>
      </w:r>
      <w:r>
        <w:t xml:space="preserve">Maximálna veľkosť odosielaných dokumentov je 5 MB. Ak </w:t>
      </w:r>
      <w:r w:rsidR="006B2B6A">
        <w:t xml:space="preserve">je </w:t>
      </w:r>
      <w:r>
        <w:t>odosielaný manuál procedúr rozsiahlejší, je potrebné ho rozdeliť a zaslať po častiach;</w:t>
      </w:r>
    </w:p>
    <w:p w14:paraId="324C1B2C" w14:textId="77777777" w:rsidR="00B650E5" w:rsidRDefault="00B650E5">
      <w:pPr>
        <w:pStyle w:val="Odsekzoznamu"/>
        <w:numPr>
          <w:ilvl w:val="0"/>
          <w:numId w:val="18"/>
        </w:numPr>
        <w:spacing w:before="120" w:after="120"/>
        <w:ind w:left="851" w:hanging="425"/>
        <w:contextualSpacing w:val="0"/>
        <w:jc w:val="both"/>
      </w:pPr>
      <w:r w:rsidRPr="009078F6">
        <w:t>zabezpečuje v spolupráci s riadiacimi orgánmi navrhovanie realokácií prostriedkov medzi</w:t>
      </w:r>
      <w:r>
        <w:t xml:space="preserve"> programami, ich predkladanie na posúdenie CO a koordináciu komunikácie s EK na základe žiadosti RO;</w:t>
      </w:r>
    </w:p>
    <w:p w14:paraId="2CBB3F2D" w14:textId="77777777" w:rsidR="00B650E5" w:rsidRDefault="00B650E5">
      <w:pPr>
        <w:pStyle w:val="Odsekzoznamu"/>
        <w:numPr>
          <w:ilvl w:val="0"/>
          <w:numId w:val="18"/>
        </w:numPr>
        <w:spacing w:before="120" w:after="120"/>
        <w:ind w:left="851" w:hanging="425"/>
        <w:contextualSpacing w:val="0"/>
        <w:jc w:val="both"/>
      </w:pPr>
      <w:r>
        <w:t>posudzuje súlad návrhov revízie OP predložených príslušnými RO so stratégiou PD v</w:t>
      </w:r>
      <w:r w:rsidR="006B2B6A">
        <w:t> </w:t>
      </w:r>
      <w:r>
        <w:t xml:space="preserve">prípade, ak sú navrhované revízie OP viazané na revíziu iného/iných OP (napr. v prípade presunu finančných prostriedkov medzi OP); </w:t>
      </w:r>
    </w:p>
    <w:p w14:paraId="2673732C" w14:textId="77777777" w:rsidR="00B75B6A" w:rsidRDefault="00B75B6A" w:rsidP="00B75B6A">
      <w:pPr>
        <w:pStyle w:val="Odsekzoznamu"/>
        <w:numPr>
          <w:ilvl w:val="0"/>
          <w:numId w:val="18"/>
        </w:numPr>
        <w:spacing w:before="120" w:after="120"/>
        <w:ind w:left="851" w:hanging="425"/>
        <w:contextualSpacing w:val="0"/>
        <w:jc w:val="both"/>
      </w:pPr>
      <w:r>
        <w:t xml:space="preserve">zriaďuje Interný výbor pre predchádzanie vzniku neoprávnených záväzkov; pôsobnosť a kompetencie upraví štatút; </w:t>
      </w:r>
    </w:p>
    <w:p w14:paraId="36161FF3" w14:textId="0AF50913" w:rsidR="00882F3C" w:rsidRDefault="00B650E5">
      <w:pPr>
        <w:pStyle w:val="Odsekzoznamu"/>
        <w:numPr>
          <w:ilvl w:val="0"/>
          <w:numId w:val="18"/>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r w:rsidR="00882F3C">
        <w:t>;</w:t>
      </w:r>
    </w:p>
    <w:p w14:paraId="09D47344" w14:textId="77777777" w:rsidR="00B650E5" w:rsidRDefault="00882F3C">
      <w:pPr>
        <w:pStyle w:val="Odsekzoznamu"/>
        <w:numPr>
          <w:ilvl w:val="0"/>
          <w:numId w:val="18"/>
        </w:numPr>
        <w:spacing w:before="120" w:after="120"/>
        <w:ind w:left="851" w:hanging="425"/>
        <w:contextualSpacing w:val="0"/>
        <w:jc w:val="both"/>
      </w:pPr>
      <w:r>
        <w:t>organizuje stretnutia s odbornou aj laickou verejnosťou za účelom získania podnetov na skvalitnenie postupov a procesov, stanovených v riadiacej dokumentácii CKO</w:t>
      </w:r>
      <w:r w:rsidR="00B650E5">
        <w:t>.</w:t>
      </w:r>
    </w:p>
    <w:p w14:paraId="36569DD8" w14:textId="6BCCACDD" w:rsidR="00B650E5" w:rsidRDefault="00B650E5">
      <w:pPr>
        <w:pStyle w:val="Odsekzoznamu"/>
        <w:numPr>
          <w:ilvl w:val="0"/>
          <w:numId w:val="341"/>
        </w:numPr>
        <w:spacing w:before="120" w:after="120"/>
        <w:ind w:left="426" w:hanging="426"/>
        <w:contextualSpacing w:val="0"/>
        <w:jc w:val="both"/>
      </w:pPr>
      <w:bookmarkStart w:id="39" w:name="kapitola_1312_ods_3"/>
      <w:r>
        <w:t xml:space="preserve">CKO je v súvislosti s plnením kompetencie podľa </w:t>
      </w:r>
      <w:hyperlink w:anchor="kapitola_1312_ods_2c" w:tooltip="ods. 2 písm. c) tejto kapitoly" w:history="1">
        <w:r w:rsidRPr="00803B7E">
          <w:rPr>
            <w:rStyle w:val="Hypertextovprepojenie"/>
          </w:rPr>
          <w:t>ods. 2 písm. c) tejto kapitoly</w:t>
        </w:r>
      </w:hyperlink>
      <w:r w:rsidR="006F3B93">
        <w:rPr>
          <w:rStyle w:val="Hypertextovprepojenie"/>
        </w:rPr>
        <w:t>,</w:t>
      </w:r>
      <w:r>
        <w:t xml:space="preserve"> ako aj pri</w:t>
      </w:r>
      <w:r w:rsidR="006B2B6A">
        <w:t> </w:t>
      </w:r>
      <w:r>
        <w:t>vydaných vzoroch formulárov, výstupov a vstupov v rámci jednotlivých procesov, metodických výkladoch a metodických pokynoch povinný vy</w:t>
      </w:r>
      <w:r w:rsidR="006510AD">
        <w:t>dať výklad k</w:t>
      </w:r>
      <w:r>
        <w:t xml:space="preserve">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w:t>
      </w:r>
      <w:r w:rsidR="006B2B6A">
        <w:t> </w:t>
      </w:r>
      <w:r>
        <w:t xml:space="preserve">tohto procesu. CKO </w:t>
      </w:r>
      <w:r w:rsidR="006510AD">
        <w:t xml:space="preserve">vykoná aktualizáciu Systému riadenia EŠIF, vydaných vzorov formulárov, metodických výkladov a metodických pokynov v súlade </w:t>
      </w:r>
      <w:hyperlink w:anchor="kapitola_12_ods_5" w:history="1">
        <w:r w:rsidR="006510AD" w:rsidRPr="00D86276">
          <w:rPr>
            <w:rStyle w:val="Hypertextovprepojenie"/>
          </w:rPr>
          <w:t>s</w:t>
        </w:r>
        <w:r w:rsidR="00D86276" w:rsidRPr="00D86276">
          <w:rPr>
            <w:rStyle w:val="Hypertextovprepojenie"/>
          </w:rPr>
          <w:t> </w:t>
        </w:r>
        <w:r w:rsidR="007E00F3" w:rsidRPr="00D86276">
          <w:rPr>
            <w:rStyle w:val="Hypertextovprepojenie"/>
          </w:rPr>
          <w:t>kapitol</w:t>
        </w:r>
        <w:r w:rsidR="00D86276" w:rsidRPr="00D86276">
          <w:rPr>
            <w:rStyle w:val="Hypertextovprepojenie"/>
          </w:rPr>
          <w:t xml:space="preserve">ou 1.2 </w:t>
        </w:r>
        <w:r w:rsidR="007E00F3" w:rsidRPr="00D86276">
          <w:rPr>
            <w:rStyle w:val="Hypertextovprepojenie"/>
          </w:rPr>
          <w:t>ods</w:t>
        </w:r>
        <w:r w:rsidR="00D86276" w:rsidRPr="00D86276">
          <w:rPr>
            <w:rStyle w:val="Hypertextovprepojenie"/>
          </w:rPr>
          <w:t xml:space="preserve">ek </w:t>
        </w:r>
        <w:r w:rsidR="007E00F3" w:rsidRPr="00D86276">
          <w:rPr>
            <w:rStyle w:val="Hypertextovprepojenie"/>
          </w:rPr>
          <w:t>5</w:t>
        </w:r>
      </w:hyperlink>
      <w:r w:rsidR="00D86276">
        <w:t xml:space="preserve"> </w:t>
      </w:r>
      <w:r w:rsidR="006510AD">
        <w:t>Systému riadenia EŠIF</w:t>
      </w:r>
      <w:r>
        <w:t xml:space="preserve"> </w:t>
      </w:r>
      <w:r>
        <w:lastRenderedPageBreak/>
        <w:t>v</w:t>
      </w:r>
      <w:r w:rsidR="006510AD">
        <w:t> </w:t>
      </w:r>
      <w:r>
        <w:t>prípade, ak dôjde k</w:t>
      </w:r>
      <w:r w:rsidR="006B2B6A">
        <w:t> </w:t>
      </w:r>
      <w:r>
        <w:t>zmene Systému finančného riadenia, alebo zmene podzákonného právneho predpisu, s</w:t>
      </w:r>
      <w:r w:rsidR="006B2B6A">
        <w:t> </w:t>
      </w:r>
      <w:r>
        <w:t>priamym vplyvom na ustanovenia Systému riadenia EŠIF</w:t>
      </w:r>
      <w:r w:rsidR="000F12A0">
        <w:t xml:space="preserve"> (v aktualizácii budú súčasne </w:t>
      </w:r>
      <w:r w:rsidR="008C6D17">
        <w:t>zapraco</w:t>
      </w:r>
      <w:r w:rsidR="000F12A0">
        <w:t>v</w:t>
      </w:r>
      <w:r w:rsidR="008C6D17">
        <w:t>a</w:t>
      </w:r>
      <w:r w:rsidR="000F12A0">
        <w:t>né aj výklady k všeobecne záväzným právnym predpisom)</w:t>
      </w:r>
      <w:r>
        <w:t>. CKO vykoná aktualizáciu za účelom odstránenia potenciálnych rozporov medzi úpravou obsiahnutou v</w:t>
      </w:r>
      <w:r w:rsidR="000F12A0">
        <w:t> </w:t>
      </w:r>
      <w:r>
        <w:t>Systéme riadenia EŠIF a úpravou v 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w:t>
      </w:r>
      <w:r w:rsidR="006510AD">
        <w:t> </w:t>
      </w:r>
      <w:r>
        <w:t>riadenia a kontroly EŠIF. CKO si vyhradzuje právo nezaslať na pripomienkovanie aktualizované verzie Systému riadenia EŠIF alebo dokumentov vydaných na jeho základe, ktorých predmetom je výhradne úprava vyplývajúca zo zmien právnych predpisov SR a EÚ, Systému finančného riadenia, ďalších dokumentov upravujúcich oblasť systému riadenia, resp. zmien vyplývajúcich z</w:t>
      </w:r>
      <w:r w:rsidR="006B2B6A">
        <w:t> </w:t>
      </w:r>
      <w:r>
        <w:t xml:space="preserve">nastavenia ITMS 2014+ a SFC2014, usmernení a manuálov k týmto informačným systémom,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Pr="009078F6">
        <w:rPr>
          <w:rStyle w:val="Odkaznapoznmkupodiarou"/>
        </w:rPr>
        <w:footnoteReference w:id="11"/>
      </w:r>
      <w:r w:rsidRPr="009078F6">
        <w:t>). Uvedené oprávnenie sa vzťahuje</w:t>
      </w:r>
      <w:r>
        <w:t xml:space="preserve"> výlučne na zmeny, ktoré vychádzajú z potreby transpozície vyššie citovaných dokumentov (vrátane zmien v ITMS 2014+) do Systému riadenia EŠIF alebo dokumentov vydaných na jeho základe a ktoré nevyžadujú podrobnejšiu úpravu (bližšiu špecifikáciu práv a povinností subjektov zapojených do implementácie EŠIF nad rámec ich vymedzenia v</w:t>
      </w:r>
      <w:r w:rsidR="006510AD">
        <w:t> </w:t>
      </w:r>
      <w:r>
        <w:t>predmetných dokumentoch, resp. ITMS 2014+) zo strany CKO. CKO v súvislosti s každou aktualizáciou Systému riadenia EŠIF alebo dokumentov vydaných na jeho základe informuje subjekty zapojené do procesu riadenia a kontroly o vykonaných zmenách</w:t>
      </w:r>
      <w:r w:rsidR="007324D5">
        <w:t>,</w:t>
      </w:r>
      <w:r>
        <w:t xml:space="preserve"> a to buď formou sledovania zmien v dokumente alebo formou samostatného zoznamu vykonaných podstatných zmien.</w:t>
      </w:r>
    </w:p>
    <w:bookmarkEnd w:id="39"/>
    <w:p w14:paraId="33F22C67" w14:textId="77777777" w:rsidR="00B650E5" w:rsidRDefault="00B650E5">
      <w:pPr>
        <w:pStyle w:val="Odsekzoznamu"/>
        <w:numPr>
          <w:ilvl w:val="0"/>
          <w:numId w:val="341"/>
        </w:numPr>
        <w:spacing w:before="120" w:after="120"/>
        <w:ind w:left="426" w:hanging="426"/>
        <w:contextualSpacing w:val="0"/>
        <w:jc w:val="both"/>
      </w:pPr>
      <w:r>
        <w:t xml:space="preserve">CKO je v súlade s § 6 ods. 3 zákona o príspevku z EŠIF oprávnený pri plnení svojich úloh požadovať od RO, platobnej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14:paraId="6C9E4973" w14:textId="77777777" w:rsidR="00B650E5" w:rsidRDefault="00B650E5" w:rsidP="0045286B">
      <w:pPr>
        <w:pStyle w:val="SRK4"/>
      </w:pPr>
      <w:bookmarkStart w:id="40" w:name="_Toc453233943"/>
      <w:bookmarkStart w:id="41" w:name="_Toc501629994"/>
      <w:r>
        <w:t>1.3.1.3 Orgán auditu</w:t>
      </w:r>
      <w:bookmarkEnd w:id="40"/>
      <w:bookmarkEnd w:id="41"/>
      <w:r>
        <w:t xml:space="preserve"> </w:t>
      </w:r>
    </w:p>
    <w:p w14:paraId="0F74BF69" w14:textId="77777777" w:rsidR="00B650E5" w:rsidRDefault="00B650E5">
      <w:pPr>
        <w:pStyle w:val="Odsekzoznamu"/>
        <w:numPr>
          <w:ilvl w:val="0"/>
          <w:numId w:val="325"/>
        </w:numPr>
        <w:spacing w:before="120" w:after="120"/>
        <w:ind w:left="426" w:hanging="426"/>
        <w:contextualSpacing w:val="0"/>
        <w:jc w:val="both"/>
        <w:rPr>
          <w:lang w:eastAsia="en-US"/>
        </w:rPr>
      </w:pPr>
      <w:r>
        <w:t xml:space="preserve">OA vykonáva úlohy v súlade s ustanovením § 10 zákona o príspevku z EŠIF. </w:t>
      </w:r>
      <w:r>
        <w:rPr>
          <w:lang w:eastAsia="en-US"/>
        </w:rPr>
        <w:t>Bližšia úprava postavenia a úloh OA je upravená v Systéme finančného riadenia.</w:t>
      </w:r>
    </w:p>
    <w:p w14:paraId="0CDFD1B9" w14:textId="77777777" w:rsidR="00B650E5" w:rsidRDefault="00B650E5" w:rsidP="0045286B">
      <w:pPr>
        <w:pStyle w:val="SRK4"/>
      </w:pPr>
      <w:bookmarkStart w:id="42" w:name="_Toc453233944"/>
      <w:bookmarkStart w:id="43" w:name="_Toc501629995"/>
      <w:r>
        <w:t>1.3.1.4 Certifikačný orgán</w:t>
      </w:r>
      <w:bookmarkEnd w:id="42"/>
      <w:bookmarkEnd w:id="43"/>
    </w:p>
    <w:p w14:paraId="017D70FD" w14:textId="77777777" w:rsidR="00B650E5" w:rsidRDefault="00B650E5">
      <w:pPr>
        <w:pStyle w:val="Odsekzoznamu"/>
        <w:numPr>
          <w:ilvl w:val="0"/>
          <w:numId w:val="327"/>
        </w:numPr>
        <w:spacing w:before="120" w:after="120"/>
        <w:ind w:left="426" w:hanging="426"/>
        <w:contextualSpacing w:val="0"/>
        <w:jc w:val="both"/>
        <w:rPr>
          <w:lang w:eastAsia="en-US"/>
        </w:rPr>
      </w:pPr>
      <w:r>
        <w:rPr>
          <w:lang w:eastAsia="en-US"/>
        </w:rPr>
        <w:t>CO vykonáva úlohy v súlade s ustanovením § 9 zákona o príspevku z EŠIF. Bližšia úprava postavenia a úloh CO je upravená v Systéme finančného riadenia.</w:t>
      </w:r>
    </w:p>
    <w:p w14:paraId="44645807" w14:textId="77777777" w:rsidR="00B650E5" w:rsidRDefault="00B650E5" w:rsidP="0045286B">
      <w:pPr>
        <w:pStyle w:val="SRK4"/>
      </w:pPr>
      <w:bookmarkStart w:id="44" w:name="_Toc453233945"/>
      <w:bookmarkStart w:id="45" w:name="_Toc501629996"/>
      <w:r>
        <w:t>1.3.1.5 Gestori horizontálnych princípov</w:t>
      </w:r>
      <w:bookmarkEnd w:id="44"/>
      <w:bookmarkEnd w:id="45"/>
    </w:p>
    <w:p w14:paraId="5891CE46"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 xml:space="preserve">S cieľom zabezpečiť dodržiavanie efektívneho systému uplatňovania horizontálnych princípov (ďalej len ,,HP“) v rámci EŠIF v podmienkach Systému riadenia EŠIF zabezpečujú túto úlohu </w:t>
      </w:r>
      <w:r>
        <w:rPr>
          <w:lang w:eastAsia="en-US"/>
        </w:rPr>
        <w:lastRenderedPageBreak/>
        <w:t>gestori HP. Úlohy gestora HP udržateľný rozvoj plní ÚPPVII, úlohy gestora HP rovnosť medzi mužmi a ženami a nediskriminácia plní Ministerstvo práce, sociálnych vecí a rodiny SR.</w:t>
      </w:r>
    </w:p>
    <w:p w14:paraId="6CA32E8A" w14:textId="77777777" w:rsidR="00B650E5" w:rsidRDefault="00B650E5">
      <w:pPr>
        <w:pStyle w:val="Odsekzoznamu"/>
        <w:numPr>
          <w:ilvl w:val="0"/>
          <w:numId w:val="326"/>
        </w:numPr>
        <w:spacing w:before="120" w:after="120"/>
        <w:ind w:left="426" w:hanging="426"/>
        <w:contextualSpacing w:val="0"/>
        <w:jc w:val="both"/>
        <w:rPr>
          <w:lang w:eastAsia="en-US"/>
        </w:rPr>
      </w:pPr>
      <w:r>
        <w:rPr>
          <w:lang w:eastAsia="en-US"/>
        </w:rPr>
        <w:t>Gestor HP v rámci Systému riadenia EŠIF najmä:</w:t>
      </w:r>
    </w:p>
    <w:p w14:paraId="4B3D5F8A"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vypracúva a aktualizuje systém implementácie HP (ďalej len ,,SI HP“), ktorý upravuje spôsob implementácie HP v  PO 2014 – 2020 a predkladá ho na schválenie RO a CKO v rámci pracovnej skupiny zriadenej gestorom HP; </w:t>
      </w:r>
    </w:p>
    <w:p w14:paraId="0C871145" w14:textId="77777777" w:rsidR="00B650E5" w:rsidRPr="009078F6" w:rsidRDefault="00B650E5">
      <w:pPr>
        <w:widowControl w:val="0"/>
        <w:numPr>
          <w:ilvl w:val="1"/>
          <w:numId w:val="55"/>
        </w:numPr>
        <w:tabs>
          <w:tab w:val="clear" w:pos="720"/>
        </w:tabs>
        <w:spacing w:before="120" w:after="120"/>
        <w:ind w:left="851" w:hanging="425"/>
        <w:jc w:val="both"/>
        <w:rPr>
          <w:lang w:eastAsia="en-US"/>
        </w:rPr>
      </w:pPr>
      <w:r>
        <w:rPr>
          <w:lang w:eastAsia="en-US"/>
        </w:rPr>
        <w:t xml:space="preserve">zriaďuje pracovnú skupinu HP v súlade s princípmi partnerstva; jej zloženie a ďalšie podrobnosti upraví štatút, zástupca CO má v rámci pracovnej skupiny štatút pozorovateľa. Pri schvaľovaní SI HP je tento schvaľovaný nadpolovičnou väčšinou hlasov prítomných členov s hlasovacím právom, pričom hlasovacie právo má iba zástupca CKO a zástupcovia </w:t>
      </w:r>
      <w:r w:rsidRPr="009078F6">
        <w:rPr>
          <w:lang w:eastAsia="en-US"/>
        </w:rPr>
        <w:t>RO</w:t>
      </w:r>
      <w:r w:rsidRPr="009078F6">
        <w:rPr>
          <w:rStyle w:val="Odkaznapoznmkupodiarou"/>
          <w:lang w:eastAsia="en-US"/>
        </w:rPr>
        <w:footnoteReference w:id="12"/>
      </w:r>
      <w:r w:rsidRPr="009078F6">
        <w:rPr>
          <w:lang w:eastAsia="en-US"/>
        </w:rPr>
        <w:t>;</w:t>
      </w:r>
    </w:p>
    <w:p w14:paraId="34AE394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zverejňuje SI HP na webovom sídle gestora HP a zasiela informáciu o zverejnení SI HP do 5 pracovných dní od jeho schválenia na e-mailovú adresu</w:t>
      </w:r>
      <w:r w:rsidR="00C74A64">
        <w:rPr>
          <w:lang w:eastAsia="en-US"/>
        </w:rPr>
        <w:t xml:space="preserve"> </w:t>
      </w:r>
      <w:hyperlink r:id="rId14" w:history="1">
        <w:r w:rsidRPr="00673252">
          <w:rPr>
            <w:rStyle w:val="Hypertextovprepojenie"/>
            <w:lang w:eastAsia="en-US"/>
          </w:rPr>
          <w:t>monitorovanie.cko@vicepremier.gov.sk</w:t>
        </w:r>
      </w:hyperlink>
      <w:r>
        <w:rPr>
          <w:lang w:eastAsia="en-US"/>
        </w:rPr>
        <w:t xml:space="preserve">, CO na e-mailovú adresu </w:t>
      </w:r>
      <w:hyperlink r:id="rId15" w:history="1">
        <w:r>
          <w:rPr>
            <w:rStyle w:val="Hypertextovprepojenie"/>
          </w:rPr>
          <w:t>CO_manual@mfsr.sk</w:t>
        </w:r>
      </w:hyperlink>
      <w:r>
        <w:rPr>
          <w:lang w:eastAsia="en-US"/>
        </w:rPr>
        <w:t xml:space="preserve">, OA na e-mailovú adresu </w:t>
      </w:r>
      <w:hyperlink r:id="rId16" w:history="1">
        <w:r>
          <w:rPr>
            <w:rStyle w:val="Hypertextovprepojenie"/>
            <w:lang w:eastAsia="en-US"/>
          </w:rPr>
          <w:t>manualy@mfsr.sk</w:t>
        </w:r>
      </w:hyperlink>
      <w:r>
        <w:rPr>
          <w:lang w:eastAsia="en-US"/>
        </w:rPr>
        <w:t xml:space="preserve"> a relevantným RO;</w:t>
      </w:r>
    </w:p>
    <w:p w14:paraId="1AD7BE32"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 xml:space="preserve">vypracováva manuál procedúr HP, ktorý je záväzný pre postupy zamestnancov gestora HP a predkladá ho vrátane jeho akýchkoľvek zmien s označením čísla verzie a dátumu platnosti CKO na e-mailovú adresu </w:t>
      </w:r>
      <w:hyperlink r:id="rId17" w:history="1">
        <w:r w:rsidRPr="00673252">
          <w:rPr>
            <w:rStyle w:val="Hypertextovprepojenie"/>
            <w:lang w:eastAsia="en-US"/>
          </w:rPr>
          <w:t>monitorovanie.cko@vicepremier.gov.sk</w:t>
        </w:r>
      </w:hyperlink>
      <w:r>
        <w:t xml:space="preserve"> </w:t>
      </w:r>
      <w:r>
        <w:rPr>
          <w:lang w:eastAsia="en-US"/>
        </w:rPr>
        <w:t xml:space="preserve">a OA na e-mailovú adresu </w:t>
      </w:r>
      <w:hyperlink r:id="rId18" w:history="1">
        <w:r>
          <w:rPr>
            <w:rStyle w:val="Hypertextovprepojenie"/>
            <w:lang w:eastAsia="en-US"/>
          </w:rPr>
          <w:t>manualy@mfsr.sk</w:t>
        </w:r>
      </w:hyperlink>
      <w:r>
        <w:t xml:space="preserve"> </w:t>
      </w:r>
      <w:r>
        <w:rPr>
          <w:lang w:eastAsia="en-US"/>
        </w:rPr>
        <w:t>v elektronickej forme s naskenovanou stranou obsahujúcou podpis zodpovednej osoby, a to najneskôr do</w:t>
      </w:r>
      <w:r>
        <w:rPr>
          <w:rFonts w:cs="Arial"/>
          <w:szCs w:val="16"/>
        </w:rPr>
        <w:t> 10 pracovných dní od schválenia zodpovedným vedúcim.</w:t>
      </w:r>
      <w:r>
        <w:t xml:space="preserve"> Maximálna veľkosť odosielaných dokumentov je 5 MB. Ak odosielaný manuál procedúr je rozsiahlejší, je potrebné ho rozdeliť a zaslať po častiach;</w:t>
      </w:r>
    </w:p>
    <w:p w14:paraId="61A84B7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definuje podmienku poskytnutia príspevku súvisiacu so zabezpečením uplatňovania HP a spôsob jej overovania, ktoré sú pre RO záväzné; pri tejto úlohe spolupracuje s RO;</w:t>
      </w:r>
    </w:p>
    <w:p w14:paraId="10651DFB"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RO pri príprave všetkých dokumentov na programovej a projektovej úrovni s cieľom zabezpečiť správne a včasné zapracovanie potrebných aspektov implementácie HP na úrovni OP;</w:t>
      </w:r>
    </w:p>
    <w:p w14:paraId="123BEDAB"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ak po dohode s RO nie je HP overované v rámci administratívneho overovania, v spolupráci s RO navrhuje hodnotiace kritériá na vyhodnotenie súladu s HP, vrátane vypracovania relevantnej inštrukcie k ich aplikovaniu;</w:t>
      </w:r>
    </w:p>
    <w:p w14:paraId="2019778A"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 prípade požiadavky a dohody s RO zabezpečuje administratívne kapacity na vyhodnotenie hodnotiacich kritérií HP, ktoré sa zúčastňujú procesu odborného hodnotenia ŽoNFP;</w:t>
      </w:r>
    </w:p>
    <w:p w14:paraId="0C0BA860"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poskytuje metodickú podporu, poradenstvo a konzultácie v oblasti uplatňovania HP;</w:t>
      </w:r>
    </w:p>
    <w:p w14:paraId="36472A0A"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školiace a vzdelávacie aktivity pre RO a relevantných sociálno-ekonomických partnerov v rámci vzdelávacieho plánu ÚV SR;</w:t>
      </w:r>
    </w:p>
    <w:p w14:paraId="6324A031" w14:textId="77777777" w:rsidR="00B650E5" w:rsidRDefault="00B650E5" w:rsidP="006D4930">
      <w:pPr>
        <w:widowControl w:val="0"/>
        <w:numPr>
          <w:ilvl w:val="1"/>
          <w:numId w:val="55"/>
        </w:numPr>
        <w:tabs>
          <w:tab w:val="clear" w:pos="720"/>
          <w:tab w:val="num" w:pos="851"/>
        </w:tabs>
        <w:spacing w:before="120" w:after="120"/>
        <w:ind w:left="851" w:hanging="425"/>
        <w:jc w:val="both"/>
        <w:rPr>
          <w:lang w:eastAsia="en-US"/>
        </w:rPr>
      </w:pPr>
      <w:r w:rsidRPr="006D4930">
        <w:t xml:space="preserve">poskytuje súčinnosť </w:t>
      </w:r>
      <w:r>
        <w:t>ÚV SR</w:t>
      </w:r>
      <w:r w:rsidRPr="006D4930">
        <w:t xml:space="preserve"> pri koordinácii komunikačných</w:t>
      </w:r>
      <w:r>
        <w:t xml:space="preserve"> aktivít, školiacich a vzdelávacích aktivít pre AK EŠIF</w:t>
      </w:r>
      <w:r w:rsidRPr="006D4930">
        <w:t xml:space="preserve"> v rámci procesu programovania, implementácie, monitorovania a hodnotenia HP</w:t>
      </w:r>
      <w:r>
        <w:t>;</w:t>
      </w:r>
    </w:p>
    <w:p w14:paraId="0F225A7C" w14:textId="77777777" w:rsidR="00B650E5" w:rsidRPr="00B441A9" w:rsidRDefault="0083546A">
      <w:pPr>
        <w:widowControl w:val="0"/>
        <w:numPr>
          <w:ilvl w:val="1"/>
          <w:numId w:val="55"/>
        </w:numPr>
        <w:tabs>
          <w:tab w:val="clear" w:pos="720"/>
        </w:tabs>
        <w:spacing w:before="120" w:after="120"/>
        <w:ind w:left="851" w:hanging="425"/>
        <w:jc w:val="both"/>
        <w:rPr>
          <w:lang w:eastAsia="en-US"/>
        </w:rPr>
      </w:pPr>
      <w:r>
        <w:rPr>
          <w:lang w:eastAsia="en-US"/>
        </w:rPr>
        <w:t xml:space="preserve">navrhuje/posudzuje relevanciu HP k merateľným ukazovateľom a iným údajom a </w:t>
      </w:r>
      <w:r w:rsidR="00B650E5" w:rsidRPr="00B441A9">
        <w:rPr>
          <w:lang w:eastAsia="en-US"/>
        </w:rPr>
        <w:t>spolupracuje s RO pri definovaní merateľných ukazovateľov</w:t>
      </w:r>
      <w:r>
        <w:rPr>
          <w:lang w:eastAsia="en-US"/>
        </w:rPr>
        <w:t xml:space="preserve">, gestor HP môže </w:t>
      </w:r>
      <w:r w:rsidRPr="006D194C">
        <w:t xml:space="preserve">RO navrhovať iné údaje, ktoré sú sledované </w:t>
      </w:r>
      <w:r>
        <w:t>za účelom sledovania napĺňania</w:t>
      </w:r>
      <w:r w:rsidR="00B650E5" w:rsidRPr="00B441A9">
        <w:rPr>
          <w:lang w:eastAsia="en-US"/>
        </w:rPr>
        <w:t xml:space="preserve"> HP;</w:t>
      </w:r>
    </w:p>
    <w:p w14:paraId="33F602FE"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lastRenderedPageBreak/>
        <w:t>vopred definuje rozsah údajov, ktoré sú potrebné na monitorovanie HP a ktoré je RO povinný získavať v rámci údajov z podporených projektov;</w:t>
      </w:r>
    </w:p>
    <w:p w14:paraId="7FDD89BC"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CKO pri vývoji a úprave ITMS</w:t>
      </w:r>
      <w:r w:rsidR="00341477">
        <w:rPr>
          <w:lang w:eastAsia="en-US"/>
        </w:rPr>
        <w:t xml:space="preserve"> </w:t>
      </w:r>
      <w:r>
        <w:rPr>
          <w:lang w:eastAsia="en-US"/>
        </w:rPr>
        <w:t>2014+ za účelom uplatňovania HP;</w:t>
      </w:r>
    </w:p>
    <w:p w14:paraId="70F9EBBA"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spolupracuje s CKO pri vypracovaní a aktualizácii Systému riadenia EŠIF a vydávaní relevantných metodických dokumentov v rozsahu potrebnom pre korektné zohľadnenie HP v ustanoveniach týchto dokumentov;</w:t>
      </w:r>
    </w:p>
    <w:p w14:paraId="3ED53748"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vypracováva správy/informácie o stave uplatňovania HP pre potreby CKO, EK, vlády SR, NMV a ďalších subjektov zapojených do implementácie EŠIF;</w:t>
      </w:r>
    </w:p>
    <w:p w14:paraId="14B6909D"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na základe svojich zistení z posudzovania procesov implementácie HP v OP vypracováva odporúčania pre RO, ktoré navrhujú konkrétne opatrenia za účelom správnej implementácie HP;</w:t>
      </w:r>
    </w:p>
    <w:p w14:paraId="3AD68724"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14:paraId="530B3B15" w14:textId="77777777" w:rsidR="00B650E5" w:rsidRDefault="00B650E5">
      <w:pPr>
        <w:widowControl w:val="0"/>
        <w:numPr>
          <w:ilvl w:val="1"/>
          <w:numId w:val="55"/>
        </w:numPr>
        <w:tabs>
          <w:tab w:val="clear" w:pos="720"/>
        </w:tabs>
        <w:spacing w:before="120" w:after="120"/>
        <w:ind w:left="851" w:hanging="425"/>
        <w:jc w:val="both"/>
        <w:rPr>
          <w:lang w:eastAsia="en-US"/>
        </w:rPr>
      </w:pPr>
      <w:bookmarkStart w:id="46" w:name="kapitola_1315_ods_2s"/>
      <w:r>
        <w:rPr>
          <w:lang w:eastAsia="en-US"/>
        </w:rPr>
        <w:t xml:space="preserve">spolupracuje s RO pri príprave výziev/vyzvaní v otázkach týkajúcich sa informácií potrebných k aplikácii HP a overuje ich súlad s HP, pričom výsledky overenia poskytuje ako záväzné substanovisko pre CKO pri posudzovaní výziev podľa </w:t>
      </w:r>
      <w:hyperlink w:anchor="kapitola_311_ods_4_d" w:tooltip="kapitoly 3.1.1 ods. 4, písm. d)" w:history="1">
        <w:r w:rsidRPr="00303A2D">
          <w:rPr>
            <w:rStyle w:val="Hypertextovprepojenie"/>
            <w:lang w:eastAsia="en-US"/>
          </w:rPr>
          <w:t>kapitoly 3.1.1 ods. 4, písm. d)</w:t>
        </w:r>
      </w:hyperlink>
      <w:r>
        <w:rPr>
          <w:lang w:eastAsia="en-US"/>
        </w:rPr>
        <w:t>;</w:t>
      </w:r>
    </w:p>
    <w:bookmarkEnd w:id="46"/>
    <w:p w14:paraId="70E667A6" w14:textId="77777777" w:rsidR="00B650E5" w:rsidRDefault="00B650E5">
      <w:pPr>
        <w:widowControl w:val="0"/>
        <w:numPr>
          <w:ilvl w:val="1"/>
          <w:numId w:val="55"/>
        </w:numPr>
        <w:tabs>
          <w:tab w:val="clear" w:pos="720"/>
        </w:tabs>
        <w:spacing w:before="120" w:after="120"/>
        <w:ind w:left="851" w:hanging="425"/>
        <w:jc w:val="both"/>
        <w:rPr>
          <w:lang w:eastAsia="en-US"/>
        </w:rPr>
      </w:pPr>
      <w:r>
        <w:rPr>
          <w:lang w:eastAsia="en-US"/>
        </w:rPr>
        <w:t>zabezpečuje a vykonáva hodnotenie príspevku EŠIF k uplatňovaniu a plneniu cieľov HP;</w:t>
      </w:r>
    </w:p>
    <w:p w14:paraId="52232F09" w14:textId="3E2D7B72" w:rsidR="00B650E5" w:rsidRDefault="00B650E5">
      <w:pPr>
        <w:widowControl w:val="0"/>
        <w:numPr>
          <w:ilvl w:val="1"/>
          <w:numId w:val="55"/>
        </w:numPr>
        <w:tabs>
          <w:tab w:val="clear" w:pos="720"/>
        </w:tabs>
        <w:spacing w:before="120" w:after="120"/>
        <w:ind w:left="851" w:hanging="425"/>
        <w:jc w:val="both"/>
        <w:rPr>
          <w:lang w:eastAsia="en-US"/>
        </w:rPr>
      </w:pPr>
      <w:r>
        <w:rPr>
          <w:lang w:eastAsia="en-US"/>
        </w:rPr>
        <w:t>plní ďalšie úlohy v súlade s platnou právnou úpravou</w:t>
      </w:r>
      <w:r w:rsidR="00DB1591">
        <w:rPr>
          <w:lang w:eastAsia="en-US"/>
        </w:rPr>
        <w:t xml:space="preserve"> EÚ a SR</w:t>
      </w:r>
      <w:r>
        <w:rPr>
          <w:lang w:eastAsia="en-US"/>
        </w:rPr>
        <w:t xml:space="preserve"> a SI HP;</w:t>
      </w:r>
    </w:p>
    <w:p w14:paraId="2AD03D1E" w14:textId="77777777" w:rsidR="00B650E5" w:rsidRPr="00DE72DC" w:rsidRDefault="00B650E5" w:rsidP="00DE5D89">
      <w:pPr>
        <w:pStyle w:val="Odsekzoznamu"/>
        <w:numPr>
          <w:ilvl w:val="1"/>
          <w:numId w:val="55"/>
        </w:numPr>
        <w:tabs>
          <w:tab w:val="clear" w:pos="720"/>
          <w:tab w:val="num" w:pos="851"/>
        </w:tabs>
        <w:ind w:left="851" w:hanging="425"/>
        <w:jc w:val="both"/>
        <w:rPr>
          <w:lang w:eastAsia="en-US"/>
        </w:rPr>
      </w:pPr>
      <w:r w:rsidRPr="00DE72DC">
        <w:rPr>
          <w:lang w:eastAsia="en-US"/>
        </w:rPr>
        <w:t>je povinný nastaviť postupy na zabezpečenie vykonávania riadenia rizika primerane v</w:t>
      </w:r>
      <w:r w:rsidR="00C74A64">
        <w:rPr>
          <w:lang w:eastAsia="en-US"/>
        </w:rPr>
        <w:t> </w:t>
      </w:r>
      <w:r w:rsidRPr="00DE72DC">
        <w:rPr>
          <w:lang w:eastAsia="en-US"/>
        </w:rPr>
        <w:t xml:space="preserve">zmysle </w:t>
      </w:r>
      <w:hyperlink w:anchor="kapitola_1321_ods_3_n" w:tooltip="kapitoly 1.3.2.1, ods. 3, písm. n)" w:history="1">
        <w:r w:rsidRPr="00C91B32">
          <w:rPr>
            <w:rStyle w:val="Hypertextovprepojenie"/>
            <w:lang w:eastAsia="en-US"/>
          </w:rPr>
          <w:t xml:space="preserve">kapitoly 1.3.2.1, ods. 3, písm. </w:t>
        </w:r>
        <w:r w:rsidR="00F94DD3">
          <w:rPr>
            <w:rStyle w:val="Hypertextovprepojenie"/>
            <w:lang w:eastAsia="en-US"/>
          </w:rPr>
          <w:t>o</w:t>
        </w:r>
        <w:r w:rsidRPr="00C91B32">
          <w:rPr>
            <w:rStyle w:val="Hypertextovprepojenie"/>
            <w:lang w:eastAsia="en-US"/>
          </w:rPr>
          <w:t>)</w:t>
        </w:r>
      </w:hyperlink>
      <w:r w:rsidRPr="00DE72DC">
        <w:rPr>
          <w:lang w:eastAsia="en-US"/>
        </w:rPr>
        <w:t>.</w:t>
      </w:r>
    </w:p>
    <w:p w14:paraId="11C5815E" w14:textId="77777777" w:rsidR="00B650E5" w:rsidRDefault="00B650E5" w:rsidP="0045286B">
      <w:pPr>
        <w:pStyle w:val="SRK4"/>
      </w:pPr>
      <w:bookmarkStart w:id="47" w:name="_Toc453233946"/>
      <w:bookmarkStart w:id="48" w:name="_Toc501629997"/>
      <w:r>
        <w:t>1.3.1.6 Orgán zabezpečujúci ochranu finančných záujmov</w:t>
      </w:r>
      <w:bookmarkEnd w:id="47"/>
      <w:bookmarkEnd w:id="48"/>
    </w:p>
    <w:p w14:paraId="6100A1FA" w14:textId="77777777" w:rsidR="00B650E5" w:rsidRDefault="00B650E5">
      <w:pPr>
        <w:pStyle w:val="Odsekzoznamu"/>
        <w:numPr>
          <w:ilvl w:val="0"/>
          <w:numId w:val="64"/>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14:paraId="7052E1D0"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14:paraId="36ADDB47" w14:textId="77777777" w:rsidR="00B650E5" w:rsidRDefault="00B650E5">
      <w:pPr>
        <w:numPr>
          <w:ilvl w:val="0"/>
          <w:numId w:val="57"/>
        </w:numPr>
        <w:spacing w:before="120" w:after="120"/>
        <w:ind w:left="851" w:hanging="425"/>
        <w:jc w:val="both"/>
      </w:pPr>
      <w:r>
        <w:t>koordinuje a usmerňuje činnosti subjektov verejnej správy,</w:t>
      </w:r>
    </w:p>
    <w:p w14:paraId="46C2103A" w14:textId="77777777" w:rsidR="00B650E5" w:rsidRDefault="00B650E5">
      <w:pPr>
        <w:numPr>
          <w:ilvl w:val="0"/>
          <w:numId w:val="57"/>
        </w:numPr>
        <w:spacing w:before="120" w:after="120"/>
        <w:ind w:left="851" w:hanging="425"/>
        <w:jc w:val="both"/>
      </w:pPr>
      <w:r>
        <w:t>zhromažďuje údaje o nezrovnalostiach od subjektov verejnej správy,</w:t>
      </w:r>
    </w:p>
    <w:p w14:paraId="1DF56E51" w14:textId="77777777" w:rsidR="00B650E5" w:rsidRDefault="00B650E5">
      <w:pPr>
        <w:numPr>
          <w:ilvl w:val="0"/>
          <w:numId w:val="57"/>
        </w:numPr>
        <w:spacing w:before="120" w:after="120"/>
        <w:ind w:left="851" w:hanging="425"/>
        <w:jc w:val="both"/>
      </w:pPr>
      <w:r>
        <w:t>plní ďalšie úlohy v oblasti ochrany finančných záujmov v súlade s platnou právnou úpravou EÚ a SR.</w:t>
      </w:r>
      <w:r>
        <w:rPr>
          <w:vertAlign w:val="superscript"/>
        </w:rPr>
        <w:t xml:space="preserve"> </w:t>
      </w:r>
    </w:p>
    <w:p w14:paraId="6B95ECD2"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je koordinačným útvarom pre boj proti podvodom podľa čl. 3 ods. 4 nariadenia č. 883/2013, ktorý</w:t>
      </w:r>
    </w:p>
    <w:p w14:paraId="71AB147F" w14:textId="77777777" w:rsidR="00B650E5" w:rsidRDefault="00B650E5">
      <w:pPr>
        <w:numPr>
          <w:ilvl w:val="0"/>
          <w:numId w:val="210"/>
        </w:numPr>
        <w:spacing w:before="120" w:after="120"/>
        <w:ind w:left="851" w:hanging="425"/>
        <w:jc w:val="both"/>
      </w:pPr>
      <w:r>
        <w:t>poskytuje súčinnosť pri administratívnom vyšetrovaní,</w:t>
      </w:r>
    </w:p>
    <w:p w14:paraId="4B3E2EAB" w14:textId="77777777" w:rsidR="00B650E5" w:rsidRDefault="00B650E5">
      <w:pPr>
        <w:numPr>
          <w:ilvl w:val="0"/>
          <w:numId w:val="210"/>
        </w:numPr>
        <w:spacing w:before="120" w:after="120"/>
        <w:ind w:left="851" w:hanging="425"/>
        <w:jc w:val="both"/>
      </w:pPr>
      <w:r>
        <w:t>oznamuje nezrovnalosti EK podľa osobitných predpisov,</w:t>
      </w:r>
    </w:p>
    <w:p w14:paraId="2B912A91" w14:textId="77777777" w:rsidR="00B650E5" w:rsidRDefault="00B650E5">
      <w:pPr>
        <w:numPr>
          <w:ilvl w:val="0"/>
          <w:numId w:val="210"/>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14:paraId="7B1ACB59"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plní úlohy styčného miesta podľa čl. 7 nariadenia č. 1302/2008.</w:t>
      </w:r>
    </w:p>
    <w:p w14:paraId="4DF80AE5" w14:textId="77777777" w:rsidR="00B650E5" w:rsidRDefault="00B650E5">
      <w:pPr>
        <w:pStyle w:val="Odsekzoznamu"/>
        <w:numPr>
          <w:ilvl w:val="0"/>
          <w:numId w:val="64"/>
        </w:numPr>
        <w:spacing w:before="120" w:after="120"/>
        <w:ind w:left="426" w:hanging="426"/>
        <w:contextualSpacing w:val="0"/>
        <w:jc w:val="both"/>
      </w:pPr>
      <w:r>
        <w:lastRenderedPageBreak/>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14:paraId="3FC6CCE2" w14:textId="77777777" w:rsidR="00B650E5" w:rsidRDefault="00B650E5">
      <w:pPr>
        <w:pStyle w:val="Odsekzoznamu"/>
        <w:numPr>
          <w:ilvl w:val="0"/>
          <w:numId w:val="64"/>
        </w:numPr>
        <w:spacing w:before="120" w:after="120"/>
        <w:ind w:left="426" w:hanging="426"/>
        <w:contextualSpacing w:val="0"/>
        <w:jc w:val="both"/>
      </w:pPr>
      <w:r>
        <w:t>Orgán zabezpečujúci ochranu finančných záujmov informuje CKO o podozreniach z podvodov a ďalších protiprávnych konaní pri poskytovaní príspevku (</w:t>
      </w:r>
      <w:hyperlink r:id="rId19" w:history="1">
        <w:r>
          <w:rPr>
            <w:rStyle w:val="Hypertextovprepojenie"/>
            <w:lang w:eastAsia="en-US"/>
          </w:rPr>
          <w:t>nms</w:t>
        </w:r>
        <w:r w:rsidRPr="00673252">
          <w:rPr>
            <w:rStyle w:val="Hypertextovprepojenie"/>
            <w:lang w:eastAsia="en-US"/>
          </w:rPr>
          <w:t>@vicepremier.gov.sk</w:t>
        </w:r>
      </w:hyperlink>
      <w:r>
        <w:t>).</w:t>
      </w:r>
    </w:p>
    <w:p w14:paraId="48AEBDD6" w14:textId="77777777" w:rsidR="00B650E5" w:rsidRDefault="00B650E5" w:rsidP="0045286B">
      <w:pPr>
        <w:pStyle w:val="SRK4"/>
      </w:pPr>
      <w:bookmarkStart w:id="49" w:name="_Toc453233947"/>
      <w:bookmarkStart w:id="50" w:name="_Toc501629998"/>
      <w:r>
        <w:t>1.3.1.7 Ministerstvo zahraničných vecí a európskych záležitostí SR</w:t>
      </w:r>
      <w:bookmarkEnd w:id="49"/>
      <w:bookmarkEnd w:id="50"/>
    </w:p>
    <w:p w14:paraId="72B59C5F" w14:textId="77777777" w:rsidR="00B650E5" w:rsidRDefault="00B650E5">
      <w:pPr>
        <w:pStyle w:val="Odsekzoznamu"/>
        <w:numPr>
          <w:ilvl w:val="0"/>
          <w:numId w:val="359"/>
        </w:numPr>
        <w:spacing w:before="120" w:after="120"/>
        <w:contextualSpacing w:val="0"/>
        <w:jc w:val="both"/>
      </w:pPr>
      <w:r>
        <w:t xml:space="preserve">Ministerstvo zahraničných vecí a európskych záležitostí SR (ďalej len „MZVaEZ SR“) je v súlade s kompetenčným zákonom ústredným orgánom štátnej správy SR pre oblasť koordinácie realizácie politík EÚ. </w:t>
      </w:r>
    </w:p>
    <w:p w14:paraId="3C3CDC5A" w14:textId="77777777" w:rsidR="00B650E5" w:rsidRDefault="00B650E5">
      <w:pPr>
        <w:pStyle w:val="Odsekzoznamu"/>
        <w:numPr>
          <w:ilvl w:val="0"/>
          <w:numId w:val="359"/>
        </w:numPr>
        <w:spacing w:before="120" w:after="120"/>
        <w:contextualSpacing w:val="0"/>
        <w:jc w:val="both"/>
      </w:pPr>
      <w:r>
        <w:t>MZVaEZ SR plní vo vzťahu k realizácii politiky súdržnosti EÚ v SR najmä tieto úlohy:</w:t>
      </w:r>
    </w:p>
    <w:p w14:paraId="05DE3BA5" w14:textId="77777777" w:rsidR="00B650E5" w:rsidRDefault="00B650E5">
      <w:pPr>
        <w:numPr>
          <w:ilvl w:val="0"/>
          <w:numId w:val="360"/>
        </w:numPr>
        <w:spacing w:before="120" w:after="120"/>
        <w:jc w:val="both"/>
      </w:pPr>
      <w:r>
        <w:t>koordinuje postup a podieľa sa na obhajobe a presadzovaní zahranično-politických zámerov SR v oblasti politiky súdržnosti v pracovných skupinách a výboroch Rady EÚ a EK pri tvorbe legislatívnych a nelegislatívnych právnych aktov EÚ (Pracovná skupina Rady pre</w:t>
      </w:r>
      <w:r w:rsidR="00C22FD5">
        <w:t> </w:t>
      </w:r>
      <w:r>
        <w:t>štrukturálne opatrenia, Výbor Komisie pre koordináciu EŠIF, Expertná skupina pre EŠIF, ad hoc pracovné skupiny priateľov Predsedníctva Rady k makro regionálnym stratégiám, Výbor Stálych predstaviteľov COREPER II, Rada pre všeobecné záležitosti),</w:t>
      </w:r>
    </w:p>
    <w:p w14:paraId="39A2DF57" w14:textId="77777777" w:rsidR="00B650E5" w:rsidRDefault="00B650E5">
      <w:pPr>
        <w:numPr>
          <w:ilvl w:val="0"/>
          <w:numId w:val="360"/>
        </w:numPr>
        <w:spacing w:before="120" w:after="120"/>
        <w:jc w:val="both"/>
      </w:pPr>
      <w:r>
        <w:t>spolupracuje s ministerstvami a ostatnými ústrednými orgánmi štátnej správy pri</w:t>
      </w:r>
      <w:r w:rsidR="00C22FD5">
        <w:t> </w:t>
      </w:r>
      <w:r>
        <w:t xml:space="preserve">formulovaní, tvorbe a presadzovaní záujmov a pozícií SR v oblasti politiky súdržnosti a informuje ministerstvá a ostatné štátne orgány SR o činnosti EÚ v oblasti realizácie politiky súdržnosti,  </w:t>
      </w:r>
    </w:p>
    <w:p w14:paraId="385EE180" w14:textId="77777777" w:rsidR="00B650E5" w:rsidRDefault="00B650E5">
      <w:pPr>
        <w:numPr>
          <w:ilvl w:val="0"/>
          <w:numId w:val="360"/>
        </w:numPr>
        <w:spacing w:before="120" w:after="120"/>
        <w:jc w:val="both"/>
      </w:pPr>
      <w:r>
        <w:t>spolupodieľa sa na príprave rokovaní predstaviteľov SR v inštitúciách a orgánoch EÚ so</w:t>
      </w:r>
      <w:r w:rsidR="00C22FD5">
        <w:t> </w:t>
      </w:r>
      <w:r>
        <w:t>zástupcami iných členských štátov EÚ vo vzťahu k politike súdržnosti, </w:t>
      </w:r>
    </w:p>
    <w:p w14:paraId="2AFDBD9F" w14:textId="77777777" w:rsidR="00B650E5" w:rsidRDefault="00B650E5">
      <w:pPr>
        <w:numPr>
          <w:ilvl w:val="0"/>
          <w:numId w:val="360"/>
        </w:numPr>
        <w:spacing w:before="120" w:after="120"/>
        <w:jc w:val="both"/>
      </w:pPr>
      <w:r>
        <w:t>spolupodieľa sa na výmene skúseností a informácií s ostatnými členskými štátmi EÚ a regiónmi EÚ vo vzťahu k realizácii politiky súdržnosti EÚ (najmä koordinácia aktivít krajín V4),</w:t>
      </w:r>
    </w:p>
    <w:p w14:paraId="63605999" w14:textId="77777777" w:rsidR="00B650E5" w:rsidRDefault="00B650E5">
      <w:pPr>
        <w:numPr>
          <w:ilvl w:val="0"/>
          <w:numId w:val="360"/>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14:paraId="025A1E73" w14:textId="77777777" w:rsidR="00B650E5" w:rsidRDefault="00B650E5">
      <w:pPr>
        <w:numPr>
          <w:ilvl w:val="0"/>
          <w:numId w:val="360"/>
        </w:numPr>
        <w:spacing w:before="120" w:after="120"/>
        <w:jc w:val="both"/>
      </w:pPr>
      <w:r>
        <w:t xml:space="preserve">prostredníctvom poradných orgánov vlády SR sa podieľa na riešení hlavných otázok týkajúcich sa  cieľov, priorít, ako aj implementácie politiky súdržnosti v SR.  </w:t>
      </w:r>
    </w:p>
    <w:p w14:paraId="564EC96A" w14:textId="77777777" w:rsidR="00B650E5" w:rsidRDefault="00B650E5">
      <w:pPr>
        <w:pStyle w:val="Odsekzoznamu"/>
        <w:numPr>
          <w:ilvl w:val="0"/>
          <w:numId w:val="359"/>
        </w:numPr>
        <w:spacing w:before="120" w:after="120"/>
        <w:contextualSpacing w:val="0"/>
        <w:jc w:val="both"/>
      </w:pPr>
      <w:r>
        <w:t xml:space="preserve">Úlohy MZVaEZ SR vo vzťahu k využívaniu EŠIF vykonávajú aj zamestnanci MZVaEZ SR pôsobiaci na Stálom zastúpení SR pri EÚ v Bruseli na úseku regionálnej politiky EÚ, ktorí sú zároveň súčasťou koordinačných mechanizmov CKO, CO a OA. </w:t>
      </w:r>
    </w:p>
    <w:p w14:paraId="2791C4B9" w14:textId="77777777" w:rsidR="00B650E5" w:rsidRDefault="00B650E5">
      <w:pPr>
        <w:pStyle w:val="Odsekzoznamu"/>
        <w:numPr>
          <w:ilvl w:val="0"/>
          <w:numId w:val="359"/>
        </w:numPr>
        <w:spacing w:before="120" w:after="120"/>
        <w:contextualSpacing w:val="0"/>
        <w:jc w:val="both"/>
      </w:pPr>
      <w:r>
        <w:t>Cieľom činností vykonávaných MZVaEZ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14:paraId="1E34B631" w14:textId="77777777" w:rsidR="00B650E5" w:rsidRDefault="00B650E5" w:rsidP="0045286B">
      <w:pPr>
        <w:pStyle w:val="SRK4"/>
      </w:pPr>
      <w:bookmarkStart w:id="51" w:name="_Toc453233948"/>
      <w:bookmarkStart w:id="52" w:name="_Toc501629999"/>
      <w:bookmarkStart w:id="53" w:name="kapitola_1318"/>
      <w:r>
        <w:t>1.3.1.8 Národný monitorovací výbor</w:t>
      </w:r>
      <w:bookmarkEnd w:id="51"/>
      <w:bookmarkEnd w:id="52"/>
      <w:r>
        <w:t xml:space="preserve"> </w:t>
      </w:r>
    </w:p>
    <w:bookmarkEnd w:id="53"/>
    <w:p w14:paraId="673E2621" w14:textId="77777777" w:rsidR="00B650E5" w:rsidRDefault="00B650E5">
      <w:pPr>
        <w:pStyle w:val="Odsekzoznamu"/>
        <w:numPr>
          <w:ilvl w:val="0"/>
          <w:numId w:val="65"/>
        </w:numPr>
        <w:spacing w:before="120" w:after="120"/>
        <w:ind w:left="426" w:hanging="426"/>
        <w:contextualSpacing w:val="0"/>
        <w:jc w:val="both"/>
      </w:pPr>
      <w:r>
        <w:t>NMV je orgán zriadený CKO.</w:t>
      </w:r>
    </w:p>
    <w:p w14:paraId="56499FE5" w14:textId="77777777" w:rsidR="00B650E5" w:rsidRDefault="00B650E5">
      <w:pPr>
        <w:pStyle w:val="Odsekzoznamu"/>
        <w:numPr>
          <w:ilvl w:val="0"/>
          <w:numId w:val="65"/>
        </w:numPr>
        <w:spacing w:before="120" w:after="120"/>
        <w:ind w:left="426" w:hanging="426"/>
        <w:contextualSpacing w:val="0"/>
        <w:jc w:val="both"/>
      </w:pPr>
      <w:r>
        <w:t>Hlavnou úlohou NMV je pravidelné sledovanie a vyhodnocovanie realizácie cieľov politiky súdržnosti v programovom období 2014 - 2020 a vyhodnocovanie účinnosti vykonávania činností spojených s poskytovaním príspevku z EŠIF.</w:t>
      </w:r>
    </w:p>
    <w:p w14:paraId="61880136" w14:textId="77777777" w:rsidR="00B650E5" w:rsidRDefault="00B650E5" w:rsidP="00625864">
      <w:pPr>
        <w:pStyle w:val="Odsekzoznamu"/>
        <w:numPr>
          <w:ilvl w:val="0"/>
          <w:numId w:val="65"/>
        </w:numPr>
        <w:spacing w:before="120" w:after="120"/>
        <w:contextualSpacing w:val="0"/>
        <w:jc w:val="both"/>
      </w:pPr>
      <w:r w:rsidRPr="00625864">
        <w:lastRenderedPageBreak/>
        <w:t>NMV pozostáva z predsedu, podpredsedu, ostatných členov NMV a pozorovateľov NMV. Predsedom NMV je člen vlády SR zodpovedný za plnenie úloh v rámci spolupráce pri využívaní finančných prostriedkov z Európskej únie v  programovom období 2014 – 2020. Predseda NMV menuje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p>
    <w:p w14:paraId="39A35979" w14:textId="77777777" w:rsidR="00B650E5" w:rsidRDefault="00B650E5">
      <w:pPr>
        <w:pStyle w:val="Odsekzoznamu"/>
        <w:numPr>
          <w:ilvl w:val="0"/>
          <w:numId w:val="65"/>
        </w:numPr>
        <w:spacing w:before="120" w:after="120"/>
        <w:ind w:left="426" w:hanging="426"/>
        <w:contextualSpacing w:val="0"/>
        <w:jc w:val="both"/>
      </w:pPr>
      <w:r>
        <w:t>Okrem členov uvedených v odseku 3 sú v rámci NMV v súlade s čl. 5 všeobecného nariadenia a uplatňovaní Etického kódexu správania pre partnerstvo zastúpení aj zástupcovia regionálnej a miestnej samosprávy, resp. združení samospráv, hospodárski a sociálni partneri, mimovládne organizácie zastupujúce občiansku spoločnosť.</w:t>
      </w:r>
    </w:p>
    <w:p w14:paraId="4AAC3D2A" w14:textId="77777777" w:rsidR="00B650E5" w:rsidRDefault="00B650E5">
      <w:pPr>
        <w:pStyle w:val="Odsekzoznamu"/>
        <w:numPr>
          <w:ilvl w:val="0"/>
          <w:numId w:val="65"/>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14:paraId="4CB355AA" w14:textId="261097DE" w:rsidR="00B650E5" w:rsidRDefault="00B650E5">
      <w:pPr>
        <w:pStyle w:val="Odsekzoznamu"/>
        <w:numPr>
          <w:ilvl w:val="0"/>
          <w:numId w:val="65"/>
        </w:numPr>
        <w:spacing w:before="120" w:after="120"/>
        <w:ind w:left="426" w:hanging="426"/>
        <w:contextualSpacing w:val="0"/>
        <w:jc w:val="both"/>
      </w:pPr>
      <w:r>
        <w:t xml:space="preserve">Postavenie, pôsobnosť a zloženie NMV určuje jeho štatút. Štatút a </w:t>
      </w:r>
      <w:r w:rsidR="00DB1591">
        <w:t>r</w:t>
      </w:r>
      <w:r>
        <w:t>okovací poriadok schvaľuje NMV na svojom prvom zasadnutí. Pravidlá činnosti NMV sú uvedené v rokovacom poriadku.</w:t>
      </w:r>
    </w:p>
    <w:p w14:paraId="16EA39B2" w14:textId="77777777" w:rsidR="00B650E5" w:rsidRDefault="00B650E5">
      <w:pPr>
        <w:pStyle w:val="Odsekzoznamu"/>
        <w:numPr>
          <w:ilvl w:val="0"/>
          <w:numId w:val="65"/>
        </w:numPr>
        <w:spacing w:before="120" w:after="120"/>
        <w:ind w:left="426" w:hanging="426"/>
        <w:contextualSpacing w:val="0"/>
        <w:jc w:val="both"/>
      </w:pPr>
      <w:r>
        <w:t>NMV zasadá podľa potreby, minimálne však jedenkrát ročne.</w:t>
      </w:r>
    </w:p>
    <w:p w14:paraId="32B41A76" w14:textId="77777777" w:rsidR="00B650E5" w:rsidRDefault="00B650E5">
      <w:pPr>
        <w:pStyle w:val="Odsekzoznamu"/>
        <w:numPr>
          <w:ilvl w:val="0"/>
          <w:numId w:val="65"/>
        </w:numPr>
        <w:spacing w:before="120" w:after="120"/>
        <w:ind w:left="426" w:hanging="426"/>
        <w:contextualSpacing w:val="0"/>
        <w:jc w:val="both"/>
      </w:pPr>
      <w:r>
        <w:t>NMV plní najmä nasledovné úlohy:</w:t>
      </w:r>
    </w:p>
    <w:p w14:paraId="4267EE91" w14:textId="77777777" w:rsidR="00B650E5" w:rsidRPr="00B66F49" w:rsidRDefault="00B650E5" w:rsidP="00DE5D89">
      <w:pPr>
        <w:numPr>
          <w:ilvl w:val="0"/>
          <w:numId w:val="318"/>
        </w:numPr>
        <w:spacing w:before="120" w:after="120"/>
        <w:ind w:left="851" w:hanging="425"/>
        <w:jc w:val="both"/>
        <w:rPr>
          <w:lang w:eastAsia="cs-CZ"/>
        </w:rPr>
      </w:pPr>
      <w:r>
        <w:t xml:space="preserve">monitoruje stav v dosahovaní cieľových hodnôt merateľných ukazovateľov, vrátane čiastkových cieľov určených v rámci výkonnostného rámca k 31.12.2018 a navrhuje </w:t>
      </w:r>
      <w:r w:rsidRPr="00B66F49">
        <w:t>opatrenia na zvýšenie efektívnosti a účinnosti implementácie EŠIF;</w:t>
      </w:r>
    </w:p>
    <w:p w14:paraId="28381861" w14:textId="77777777" w:rsidR="00B650E5" w:rsidRPr="00B66F49" w:rsidRDefault="00B650E5" w:rsidP="00DE5D89">
      <w:pPr>
        <w:numPr>
          <w:ilvl w:val="0"/>
          <w:numId w:val="318"/>
        </w:numPr>
        <w:spacing w:before="120" w:after="120"/>
        <w:ind w:left="851" w:hanging="425"/>
        <w:jc w:val="both"/>
        <w:rPr>
          <w:lang w:eastAsia="cs-CZ"/>
        </w:rPr>
      </w:pPr>
      <w:r w:rsidRPr="001B709E">
        <w:rPr>
          <w:lang w:eastAsia="cs-CZ"/>
        </w:rPr>
        <w:t xml:space="preserve">monitoruje stav </w:t>
      </w:r>
      <w:r w:rsidRPr="00B66F49">
        <w:rPr>
          <w:lang w:eastAsia="cs-CZ"/>
        </w:rPr>
        <w:t>implementácie EŠIF</w:t>
      </w:r>
      <w:r w:rsidR="00C22FD5">
        <w:rPr>
          <w:lang w:eastAsia="cs-CZ"/>
        </w:rPr>
        <w:t>;</w:t>
      </w:r>
      <w:r w:rsidRPr="00B66F49">
        <w:rPr>
          <w:lang w:eastAsia="cs-CZ"/>
        </w:rPr>
        <w:t xml:space="preserve"> </w:t>
      </w:r>
    </w:p>
    <w:p w14:paraId="0B0C03B4" w14:textId="77777777" w:rsidR="00B650E5" w:rsidRDefault="00B650E5">
      <w:pPr>
        <w:numPr>
          <w:ilvl w:val="0"/>
          <w:numId w:val="318"/>
        </w:numPr>
        <w:spacing w:before="120" w:after="120"/>
        <w:ind w:left="851" w:hanging="425"/>
        <w:jc w:val="both"/>
      </w:pPr>
      <w:r>
        <w:t>schvaľuje</w:t>
      </w:r>
      <w:r w:rsidDel="009B0A5A">
        <w:t xml:space="preserve"> </w:t>
      </w:r>
      <w:r>
        <w:t>Správu o pokroku pri vykonávaní PD k 31. decembru 2016, ktorú CKO predloží EK do 31. augusta 2017 a správu o pokroku pri vykonávaní PD k 31. decembru 2018, ktorú CKO predloží EK do 31. augusta 2019;</w:t>
      </w:r>
    </w:p>
    <w:p w14:paraId="66F6C849" w14:textId="77777777" w:rsidR="00B650E5" w:rsidRDefault="00B650E5" w:rsidP="00DE5D89">
      <w:pPr>
        <w:numPr>
          <w:ilvl w:val="0"/>
          <w:numId w:val="318"/>
        </w:numPr>
        <w:autoSpaceDE w:val="0"/>
        <w:autoSpaceDN w:val="0"/>
        <w:adjustRightInd w:val="0"/>
        <w:spacing w:before="120" w:after="120"/>
        <w:ind w:left="851" w:hanging="425"/>
        <w:jc w:val="both"/>
      </w:pPr>
      <w:r>
        <w:t xml:space="preserve">schvaľuje Plán hodnotení EŠIF na  programové obdobie 2014 – 2020, </w:t>
      </w:r>
      <w:r w:rsidRPr="00D23823">
        <w:t>vypracovaný CKO  a každú jeho aktualizovanú verziu</w:t>
      </w:r>
      <w:r>
        <w:t>;</w:t>
      </w:r>
    </w:p>
    <w:p w14:paraId="246E85B1" w14:textId="77777777" w:rsidR="00B650E5" w:rsidRDefault="00B650E5">
      <w:pPr>
        <w:numPr>
          <w:ilvl w:val="0"/>
          <w:numId w:val="318"/>
        </w:numPr>
        <w:spacing w:before="120" w:after="120"/>
        <w:ind w:left="851" w:hanging="425"/>
        <w:jc w:val="both"/>
      </w:pPr>
      <w:r w:rsidRPr="00BE42CF">
        <w:t>berie na vedomie Súhrnnú správu o aktivitách hodnotenia a výsledkoch hodnotení EŠIF za</w:t>
      </w:r>
      <w:r w:rsidR="00C22FD5">
        <w:t> </w:t>
      </w:r>
      <w:r w:rsidRPr="00BE42CF">
        <w:t>predchádzajúci kalendárny rok vypracovanú CKO v termíne do 31. mája kalendárneho roka</w:t>
      </w:r>
      <w:r>
        <w:t>;</w:t>
      </w:r>
    </w:p>
    <w:p w14:paraId="3F0BA3BA" w14:textId="77777777" w:rsidR="00B650E5" w:rsidRDefault="00B650E5">
      <w:pPr>
        <w:numPr>
          <w:ilvl w:val="0"/>
          <w:numId w:val="318"/>
        </w:numPr>
        <w:spacing w:before="120" w:after="120"/>
        <w:ind w:left="851" w:hanging="425"/>
        <w:jc w:val="both"/>
      </w:pPr>
      <w:r>
        <w:t>berie na vedomie navrhnuté realokácie finančných prostriedkov a následnú revíziu PD a príslušných OP;</w:t>
      </w:r>
    </w:p>
    <w:p w14:paraId="3C94FAE6" w14:textId="77777777" w:rsidR="00B650E5" w:rsidRDefault="00B650E5">
      <w:pPr>
        <w:numPr>
          <w:ilvl w:val="0"/>
          <w:numId w:val="318"/>
        </w:numPr>
        <w:spacing w:before="120" w:after="120"/>
        <w:ind w:left="851" w:hanging="425"/>
        <w:jc w:val="both"/>
      </w:pPr>
      <w:r>
        <w:t>berie na vedomie správu o činnosti Koordinačného výboru pre spoluprácu pri kontrole verejného obstarávania.</w:t>
      </w:r>
    </w:p>
    <w:p w14:paraId="3A6A2BB6" w14:textId="77777777" w:rsidR="00B650E5" w:rsidRDefault="00B650E5">
      <w:pPr>
        <w:pStyle w:val="Odsekzoznamu"/>
        <w:numPr>
          <w:ilvl w:val="0"/>
          <w:numId w:val="65"/>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14:paraId="161BBD03" w14:textId="77777777" w:rsidR="00B650E5" w:rsidRPr="00F30094" w:rsidRDefault="00B650E5" w:rsidP="0045286B">
      <w:pPr>
        <w:pStyle w:val="SRK4"/>
      </w:pPr>
      <w:bookmarkStart w:id="54" w:name="_Toc453233949"/>
      <w:bookmarkStart w:id="55" w:name="_Toc501630000"/>
      <w:bookmarkStart w:id="56" w:name="kapitola_1319"/>
      <w:r w:rsidRPr="00F30094">
        <w:t>1.3.1.9 Koordinačný výbor pre spoluprácu pri kontrole verejného obstarávania</w:t>
      </w:r>
      <w:bookmarkEnd w:id="54"/>
      <w:bookmarkEnd w:id="55"/>
    </w:p>
    <w:bookmarkEnd w:id="56"/>
    <w:p w14:paraId="412ED20A" w14:textId="77777777" w:rsidR="00B650E5" w:rsidRDefault="00B650E5">
      <w:pPr>
        <w:numPr>
          <w:ilvl w:val="0"/>
          <w:numId w:val="75"/>
        </w:numPr>
        <w:spacing w:before="120" w:after="120"/>
        <w:ind w:left="426" w:hanging="426"/>
        <w:jc w:val="both"/>
        <w:rPr>
          <w:bCs/>
          <w:iCs/>
        </w:rPr>
      </w:pPr>
      <w:r>
        <w:rPr>
          <w:bCs/>
          <w:iCs/>
        </w:rPr>
        <w:t xml:space="preserve">Koordinačný výbor pre spoluprácu pri kontrole verejného obstarávania (ďalej len „výbor“) je odborným fórom zriadeným pre účely koordinácie spolupráce a výmeny skúseností v oblasti VO. Zriaďovateľom výboru je ÚVO, pričom jeho členmi sú zástupcovia RO, SO, CKO. Zástupcovia OA, CO sa zúčastňujú zasadnutia výboru ako nezávislí pozorovatelia </w:t>
      </w:r>
      <w:r>
        <w:rPr>
          <w:bCs/>
          <w:iCs/>
        </w:rPr>
        <w:lastRenderedPageBreak/>
        <w:t>bez</w:t>
      </w:r>
      <w:r w:rsidR="00C22FD5">
        <w:rPr>
          <w:bCs/>
          <w:iCs/>
        </w:rPr>
        <w:t> </w:t>
      </w:r>
      <w:r>
        <w:rPr>
          <w:bCs/>
          <w:iCs/>
        </w:rPr>
        <w:t xml:space="preserve">hlasovacieho práva. V prípade potreby je výbor oprávnený prizvať k spolupráci aj iné orgány štátnej správy. </w:t>
      </w:r>
    </w:p>
    <w:p w14:paraId="3C3C9B15" w14:textId="77777777" w:rsidR="00B650E5" w:rsidRDefault="00B650E5">
      <w:pPr>
        <w:numPr>
          <w:ilvl w:val="0"/>
          <w:numId w:val="75"/>
        </w:numPr>
        <w:spacing w:before="120" w:after="120"/>
        <w:ind w:left="426" w:hanging="426"/>
        <w:jc w:val="both"/>
        <w:rPr>
          <w:bCs/>
          <w:iCs/>
        </w:rPr>
      </w:pPr>
      <w:r>
        <w:rPr>
          <w:bCs/>
          <w:iCs/>
        </w:rPr>
        <w:t>Podrobnosti o zložení, pôsobnosti a organizácii výboru upraví štatút, za ktorého vypracovanie a následné aktualizácie zodpovedá ÚVO.</w:t>
      </w:r>
    </w:p>
    <w:p w14:paraId="7C16391C" w14:textId="77777777" w:rsidR="00B650E5" w:rsidRDefault="00B650E5">
      <w:pPr>
        <w:numPr>
          <w:ilvl w:val="0"/>
          <w:numId w:val="75"/>
        </w:numPr>
        <w:spacing w:before="120" w:after="120"/>
        <w:ind w:left="426" w:hanging="426"/>
        <w:jc w:val="both"/>
        <w:rPr>
          <w:bCs/>
          <w:iCs/>
        </w:rPr>
      </w:pPr>
      <w:r>
        <w:rPr>
          <w:bCs/>
          <w:iCs/>
        </w:rPr>
        <w:t>Zasadnutia výboru sa uskutočňujú v dvojmesačných intervaloch. V prípade potreby je ÚVO na</w:t>
      </w:r>
      <w:r w:rsidR="00C22FD5">
        <w:rPr>
          <w:bCs/>
          <w:iCs/>
        </w:rPr>
        <w:t> </w:t>
      </w:r>
      <w:r>
        <w:rPr>
          <w:bCs/>
          <w:iCs/>
        </w:rPr>
        <w:t xml:space="preserve">základe vlastného podnetu alebo podnetu niektorého z členov, oprávnené zvolať zasadnutie výboru aj mimo tohto intervalu. </w:t>
      </w:r>
    </w:p>
    <w:p w14:paraId="7B99E81F" w14:textId="77777777" w:rsidR="00B650E5" w:rsidRDefault="00B650E5">
      <w:pPr>
        <w:numPr>
          <w:ilvl w:val="0"/>
          <w:numId w:val="75"/>
        </w:numPr>
        <w:spacing w:before="120" w:after="120"/>
        <w:ind w:left="426" w:hanging="426"/>
        <w:jc w:val="both"/>
        <w:rPr>
          <w:bCs/>
          <w:iCs/>
        </w:rPr>
      </w:pPr>
      <w:r>
        <w:rPr>
          <w:bCs/>
          <w:iCs/>
        </w:rPr>
        <w:t>Úlohou výboru je najmä:</w:t>
      </w:r>
    </w:p>
    <w:p w14:paraId="5A6ADE54" w14:textId="77777777" w:rsidR="00B650E5" w:rsidRDefault="00B650E5">
      <w:pPr>
        <w:pStyle w:val="Odsekzoznamu"/>
        <w:numPr>
          <w:ilvl w:val="0"/>
          <w:numId w:val="67"/>
        </w:numPr>
        <w:spacing w:before="120" w:after="120"/>
        <w:ind w:left="851" w:hanging="425"/>
        <w:contextualSpacing w:val="0"/>
        <w:jc w:val="both"/>
      </w:pPr>
      <w:r>
        <w:t>spolupráca pri tvorbe jednotných systémových a metodických materiálov na úrovni Systému riadenia EŠIF v oblasti VO,</w:t>
      </w:r>
    </w:p>
    <w:p w14:paraId="50E01A1A" w14:textId="77777777" w:rsidR="00B650E5" w:rsidRDefault="00B650E5">
      <w:pPr>
        <w:pStyle w:val="Odsekzoznamu"/>
        <w:numPr>
          <w:ilvl w:val="0"/>
          <w:numId w:val="67"/>
        </w:numPr>
        <w:spacing w:before="120" w:after="120"/>
        <w:ind w:left="851" w:hanging="425"/>
        <w:contextualSpacing w:val="0"/>
        <w:jc w:val="both"/>
      </w:pPr>
      <w:r>
        <w:t>informovanie o závažných nedostatkoch zistených pri auditoch a kontrolách, ktoré môžu byť systémového charakteru,</w:t>
      </w:r>
    </w:p>
    <w:p w14:paraId="40562C44" w14:textId="77777777" w:rsidR="00B650E5" w:rsidRDefault="00B650E5">
      <w:pPr>
        <w:pStyle w:val="Odsekzoznamu"/>
        <w:numPr>
          <w:ilvl w:val="0"/>
          <w:numId w:val="67"/>
        </w:numPr>
        <w:spacing w:before="120" w:after="120"/>
        <w:ind w:left="851" w:hanging="425"/>
        <w:contextualSpacing w:val="0"/>
        <w:jc w:val="both"/>
      </w:pPr>
      <w:r>
        <w:t>identifikácia a hľadanie riešenia pre problematické oblasti procesov VO a jeho kontroly,</w:t>
      </w:r>
    </w:p>
    <w:p w14:paraId="44ECF7DB" w14:textId="77777777" w:rsidR="00B650E5" w:rsidRDefault="00B650E5">
      <w:pPr>
        <w:pStyle w:val="Odsekzoznamu"/>
        <w:numPr>
          <w:ilvl w:val="0"/>
          <w:numId w:val="67"/>
        </w:numPr>
        <w:spacing w:before="120" w:after="120"/>
        <w:ind w:left="851" w:hanging="425"/>
        <w:contextualSpacing w:val="0"/>
        <w:jc w:val="both"/>
      </w:pPr>
      <w:r>
        <w:t>určovanie ad-hoc úloh pre pracovné skupiny a následné vyhodnocovanie ich činností,</w:t>
      </w:r>
    </w:p>
    <w:p w14:paraId="51ED6D84" w14:textId="77777777" w:rsidR="00B650E5" w:rsidRDefault="00B650E5">
      <w:pPr>
        <w:pStyle w:val="Odsekzoznamu"/>
        <w:numPr>
          <w:ilvl w:val="0"/>
          <w:numId w:val="67"/>
        </w:numPr>
        <w:spacing w:before="120" w:after="120"/>
        <w:ind w:left="851" w:hanging="425"/>
        <w:contextualSpacing w:val="0"/>
        <w:jc w:val="both"/>
      </w:pPr>
      <w:r>
        <w:t>jedenkrát do roka vypracovanie súhrnnej správy o činnosti výboru, vrátane odpočtu prijatých opatrení a návrhu úloh pre ďalší rok; správy o činnosti sú predkladané NMV,</w:t>
      </w:r>
    </w:p>
    <w:p w14:paraId="1C8F3C71" w14:textId="77777777" w:rsidR="00B650E5" w:rsidRDefault="00B650E5">
      <w:pPr>
        <w:pStyle w:val="Odsekzoznamu"/>
        <w:numPr>
          <w:ilvl w:val="0"/>
          <w:numId w:val="67"/>
        </w:numPr>
        <w:spacing w:before="120" w:after="120"/>
        <w:ind w:left="851" w:hanging="425"/>
        <w:contextualSpacing w:val="0"/>
        <w:jc w:val="both"/>
      </w:pPr>
      <w:r>
        <w:t xml:space="preserve">vypracúvať odporúčania a návrhy opatrení na riešenie systémových nedostatkov, ktoré majú prijať zodpovedné subjekty. </w:t>
      </w:r>
    </w:p>
    <w:p w14:paraId="3E0E8C93" w14:textId="77777777" w:rsidR="00B650E5" w:rsidRDefault="00B650E5">
      <w:pPr>
        <w:numPr>
          <w:ilvl w:val="0"/>
          <w:numId w:val="75"/>
        </w:numPr>
        <w:spacing w:before="120" w:after="120"/>
        <w:ind w:left="426" w:hanging="426"/>
        <w:jc w:val="both"/>
        <w:rPr>
          <w:bCs/>
          <w:iCs/>
        </w:rPr>
      </w:pPr>
      <w:r>
        <w:rPr>
          <w:bCs/>
          <w:iCs/>
        </w:rPr>
        <w:t>V prípade, že riešená oblasť VO potrebuje bližšie odborné rozpracovanie, výbor môže zriadiť ad-hoc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14:paraId="4F33AEDB" w14:textId="77777777" w:rsidR="00B650E5" w:rsidRDefault="00B650E5" w:rsidP="0045286B">
      <w:pPr>
        <w:pStyle w:val="SRK4"/>
      </w:pPr>
      <w:bookmarkStart w:id="57" w:name="_Toc453233950"/>
      <w:bookmarkStart w:id="58" w:name="_Toc501630001"/>
      <w:bookmarkStart w:id="59" w:name="_Toc389595958"/>
      <w:bookmarkStart w:id="60" w:name="kapitola_13110"/>
      <w:bookmarkStart w:id="61" w:name="_Toc378947502"/>
      <w:r>
        <w:t>1.3.1.10 Pracovná komisia pre koordináciu a zabezpečenie synergických účinkov medzi EŠIF a ostatnými nástrojmi podpory Únie a SR</w:t>
      </w:r>
      <w:bookmarkEnd w:id="57"/>
      <w:bookmarkEnd w:id="58"/>
    </w:p>
    <w:bookmarkEnd w:id="59"/>
    <w:bookmarkEnd w:id="60"/>
    <w:p w14:paraId="0CC7DE07" w14:textId="77777777" w:rsidR="00B650E5" w:rsidRPr="00682D0A" w:rsidRDefault="00B650E5" w:rsidP="00682D0A">
      <w:pPr>
        <w:numPr>
          <w:ilvl w:val="0"/>
          <w:numId w:val="74"/>
        </w:numPr>
        <w:spacing w:before="120" w:after="120"/>
        <w:ind w:left="426" w:hanging="426"/>
        <w:jc w:val="both"/>
        <w:rPr>
          <w:bCs/>
          <w:iCs/>
        </w:rPr>
      </w:pPr>
      <w:r w:rsidRPr="00682D0A">
        <w:rPr>
          <w:bCs/>
          <w:iCs/>
        </w:rPr>
        <w:t>V súlade s čl. 4 ods. 6 všeobecného nariadenia sa na národnej úrovni zabezpečí koordinácia medzi EŠIF navzájom a medzi EŠIF a ostatnými príslušnými nástrojmi podpory EÚ a SR tak, ako sú zadefinované v PD a programoch, aby účinne prispievali k cieľom stratégie Únie na</w:t>
      </w:r>
      <w:r w:rsidR="00C22FD5">
        <w:rPr>
          <w:bCs/>
          <w:iCs/>
        </w:rPr>
        <w:t> </w:t>
      </w:r>
      <w:r w:rsidRPr="00682D0A">
        <w:rPr>
          <w:bCs/>
          <w:iCs/>
        </w:rPr>
        <w:t>zabezpečenie inteligentného, udržateľného a inkluzívneho rastu.</w:t>
      </w:r>
    </w:p>
    <w:p w14:paraId="6A9D7D8B" w14:textId="77777777" w:rsidR="00B650E5" w:rsidRPr="00682D0A" w:rsidRDefault="00B650E5" w:rsidP="00682D0A">
      <w:pPr>
        <w:numPr>
          <w:ilvl w:val="0"/>
          <w:numId w:val="74"/>
        </w:numPr>
        <w:spacing w:before="120" w:after="120"/>
        <w:ind w:left="426" w:hanging="426"/>
        <w:jc w:val="both"/>
        <w:rPr>
          <w:bCs/>
          <w:iCs/>
        </w:rPr>
      </w:pPr>
      <w:r>
        <w:rPr>
          <w:bCs/>
          <w:iCs/>
        </w:rPr>
        <w:t>Úrad p</w:t>
      </w:r>
      <w:r w:rsidRPr="00682D0A">
        <w:rPr>
          <w:bCs/>
          <w:iCs/>
        </w:rPr>
        <w:t>odpredsed</w:t>
      </w:r>
      <w:r>
        <w:rPr>
          <w:bCs/>
          <w:iCs/>
        </w:rPr>
        <w:t>u</w:t>
      </w:r>
      <w:r w:rsidRPr="00682D0A">
        <w:rPr>
          <w:bCs/>
          <w:iCs/>
        </w:rPr>
        <w:t xml:space="preserve"> vlády SR pre investície</w:t>
      </w:r>
      <w:r>
        <w:rPr>
          <w:bCs/>
          <w:iCs/>
        </w:rPr>
        <w:t xml:space="preserve"> a informatizáciu</w:t>
      </w:r>
      <w:r w:rsidRPr="00682D0A">
        <w:rPr>
          <w:bCs/>
          <w:iCs/>
        </w:rPr>
        <w:t xml:space="preserve"> zriadi pracovnú komisiu </w:t>
      </w:r>
      <w:r w:rsidRPr="00682D0A">
        <w:t>pre</w:t>
      </w:r>
      <w:r w:rsidR="00C22FD5">
        <w:t> </w:t>
      </w:r>
      <w:r w:rsidRPr="00682D0A">
        <w:t>koordináciu a zabezpečenie synergických účinkov medzi EŠIF a ostatnými nástrojmi podpory Únie a SR (ďalej len ,,pracovná komisia“)</w:t>
      </w:r>
      <w:r w:rsidRPr="00682D0A">
        <w:rPr>
          <w:bCs/>
          <w:iCs/>
        </w:rPr>
        <w:t>, ktorá s cieľom spoločného plánovania investícií z EŠIF, zabezpečí koordináciu synergických účinkov a komplementarít medzi EŠIF navzájom a medzi EŠIF a ostatnými nástrojmi podpory EÚ a SR.</w:t>
      </w:r>
    </w:p>
    <w:p w14:paraId="36E636E1" w14:textId="77777777"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je zložená z predsedu, podpredsedu a ostatných členov. Predseda pracovnej komisie menuje a odvoláva podpredsedu pracovnej komisie. Ostatnými členmi pracovnej komisie sú expertní zástupcovia RO, </w:t>
      </w:r>
      <w:r w:rsidRPr="00E41876">
        <w:t>zástupcovia SR zodpovední za implementáciu programov európskej územnej spolupráce</w:t>
      </w:r>
      <w:r w:rsidRPr="00E41876">
        <w:rPr>
          <w:bCs/>
          <w:iCs/>
        </w:rPr>
        <w:t xml:space="preserve">, CKO a gestorov HP. Každý člen pracovnej komisie má hlasovacie právo. Postavenie, pôsobnosť, zloženie a pravidlá činnosti pracovnej komisie sú upravené v štatúte a rokovacom poriadku. Aktuálny zoznam členov pracovnej komisie je zverejnený na webovom sídle </w:t>
      </w:r>
      <w:hyperlink r:id="rId20" w:history="1">
        <w:r w:rsidRPr="00E41876">
          <w:rPr>
            <w:rStyle w:val="Hypertextovprepojenie"/>
          </w:rPr>
          <w:t>www.partnerskadohoda.gov.sk</w:t>
        </w:r>
      </w:hyperlink>
      <w:r w:rsidRPr="00E41876">
        <w:rPr>
          <w:bCs/>
          <w:iCs/>
        </w:rPr>
        <w:t>.</w:t>
      </w:r>
    </w:p>
    <w:p w14:paraId="38D43978" w14:textId="2429A101" w:rsidR="00B650E5" w:rsidRPr="00E41876" w:rsidRDefault="00B650E5" w:rsidP="00682D0A">
      <w:pPr>
        <w:numPr>
          <w:ilvl w:val="0"/>
          <w:numId w:val="74"/>
        </w:numPr>
        <w:spacing w:before="120" w:after="120"/>
        <w:ind w:left="426" w:hanging="426"/>
        <w:jc w:val="both"/>
        <w:rPr>
          <w:bCs/>
          <w:iCs/>
        </w:rPr>
      </w:pPr>
      <w:r w:rsidRPr="00E41876">
        <w:rPr>
          <w:bCs/>
          <w:iCs/>
        </w:rPr>
        <w:t xml:space="preserve">Pracovná komisia zasadá podľa potreby, a to najmä v nadväznosti na zostavenie </w:t>
      </w:r>
      <w:r w:rsidR="00C17D05">
        <w:rPr>
          <w:bCs/>
          <w:iCs/>
        </w:rPr>
        <w:t>plánu vyhlasovania</w:t>
      </w:r>
      <w:r w:rsidRPr="00E41876">
        <w:rPr>
          <w:bCs/>
          <w:iCs/>
        </w:rPr>
        <w:t xml:space="preserve"> výziev, vyzvaní národných projektov, vyzvaní veľkých projektov a vyzvaní </w:t>
      </w:r>
      <w:r w:rsidRPr="00E41876">
        <w:rPr>
          <w:bCs/>
          <w:iCs/>
        </w:rPr>
        <w:lastRenderedPageBreak/>
        <w:t>projektov technickej pomoci</w:t>
      </w:r>
      <w:r w:rsidR="00C17D05" w:rsidRPr="00C17D05">
        <w:rPr>
          <w:bCs/>
          <w:iCs/>
        </w:rPr>
        <w:t xml:space="preserve"> </w:t>
      </w:r>
      <w:r w:rsidR="00C17D05">
        <w:rPr>
          <w:bCs/>
          <w:iCs/>
        </w:rPr>
        <w:t>s identifikovanými synergiami a komplementaritami (ďalej aj „plán vyhlasovania výziev a vyzvaní“)</w:t>
      </w:r>
      <w:r w:rsidRPr="00E41876">
        <w:rPr>
          <w:bCs/>
          <w:iCs/>
        </w:rPr>
        <w:t>. Medzi hlavné činnosti pracovnej komisie patrí najmä:</w:t>
      </w:r>
    </w:p>
    <w:p w14:paraId="40AD815E" w14:textId="0F08E6F2" w:rsidR="00B650E5" w:rsidRPr="00E41876" w:rsidRDefault="00B650E5" w:rsidP="00682D0A">
      <w:pPr>
        <w:numPr>
          <w:ilvl w:val="0"/>
          <w:numId w:val="73"/>
        </w:numPr>
        <w:spacing w:before="120" w:after="120"/>
        <w:ind w:left="851" w:hanging="425"/>
        <w:jc w:val="both"/>
        <w:rPr>
          <w:bCs/>
          <w:iCs/>
        </w:rPr>
      </w:pPr>
      <w:r w:rsidRPr="00E41876">
        <w:rPr>
          <w:bCs/>
          <w:iCs/>
        </w:rPr>
        <w:t xml:space="preserve">preskúmať </w:t>
      </w:r>
      <w:r w:rsidR="00C17D05">
        <w:rPr>
          <w:bCs/>
          <w:iCs/>
        </w:rPr>
        <w:t xml:space="preserve">synergie a komplementarity </w:t>
      </w:r>
      <w:r w:rsidRPr="00E41876">
        <w:rPr>
          <w:bCs/>
          <w:iCs/>
        </w:rPr>
        <w:t>výziev, vyzvaní národných projektov, vyzvaní veľkých projektov a vyzvaní projektov technickej pomoci</w:t>
      </w:r>
      <w:r w:rsidR="006F3B93" w:rsidRPr="00E41876">
        <w:rPr>
          <w:bCs/>
          <w:iCs/>
        </w:rPr>
        <w:t>,</w:t>
      </w:r>
      <w:r w:rsidRPr="00E41876">
        <w:rPr>
          <w:bCs/>
          <w:iCs/>
        </w:rPr>
        <w:t xml:space="preserve"> ako aj ich zmeny a v prípade potreby navrhnúť ich úpravy;</w:t>
      </w:r>
    </w:p>
    <w:p w14:paraId="5B48C5A5" w14:textId="63908DC8" w:rsidR="00B650E5" w:rsidRPr="00682D0A" w:rsidRDefault="00B650E5" w:rsidP="00682D0A">
      <w:pPr>
        <w:numPr>
          <w:ilvl w:val="0"/>
          <w:numId w:val="73"/>
        </w:numPr>
        <w:spacing w:before="120" w:after="120"/>
        <w:ind w:left="851" w:hanging="425"/>
        <w:jc w:val="both"/>
        <w:rPr>
          <w:bCs/>
          <w:iCs/>
        </w:rPr>
      </w:pPr>
      <w:r>
        <w:rPr>
          <w:bCs/>
          <w:iCs/>
        </w:rPr>
        <w:t>posúdiť</w:t>
      </w:r>
      <w:r w:rsidRPr="00682D0A">
        <w:rPr>
          <w:bCs/>
          <w:iCs/>
        </w:rPr>
        <w:t xml:space="preserve"> synergie a komplementarity, ktoré RO identifikoval pre jednotlivé výzvy a vyzvania uvedené v </w:t>
      </w:r>
      <w:r w:rsidR="00C17D05">
        <w:rPr>
          <w:bCs/>
          <w:iCs/>
        </w:rPr>
        <w:t>plánoch vyhlasovania</w:t>
      </w:r>
      <w:r w:rsidR="00C17D05" w:rsidRPr="00682D0A">
        <w:rPr>
          <w:bCs/>
          <w:iCs/>
        </w:rPr>
        <w:t xml:space="preserve"> </w:t>
      </w:r>
      <w:r w:rsidR="00C17D05">
        <w:rPr>
          <w:bCs/>
          <w:iCs/>
        </w:rPr>
        <w:t xml:space="preserve">výziev a vyzvaní </w:t>
      </w:r>
      <w:r w:rsidRPr="00682D0A">
        <w:rPr>
          <w:bCs/>
          <w:iCs/>
        </w:rPr>
        <w:t>a v prípade potreby navrhnúť ich úpravy alebo doplnenie;</w:t>
      </w:r>
    </w:p>
    <w:p w14:paraId="11D32442" w14:textId="77777777" w:rsidR="00B650E5" w:rsidRPr="00682D0A" w:rsidRDefault="00B650E5" w:rsidP="00682D0A">
      <w:pPr>
        <w:numPr>
          <w:ilvl w:val="0"/>
          <w:numId w:val="73"/>
        </w:numPr>
        <w:spacing w:before="120" w:after="120"/>
        <w:ind w:left="851" w:hanging="425"/>
        <w:jc w:val="both"/>
        <w:rPr>
          <w:bCs/>
          <w:iCs/>
        </w:rPr>
      </w:pPr>
      <w:r w:rsidRPr="00682D0A">
        <w:rPr>
          <w:bCs/>
          <w:iCs/>
        </w:rPr>
        <w:t>skúmať konzistentnosť jednotlivých intervencií medzi EŠIF navzájom a EŠIF a ostatnými príslušnými nástrojmi podpory EÚ a</w:t>
      </w:r>
      <w:r w:rsidR="00E41876">
        <w:rPr>
          <w:bCs/>
          <w:iCs/>
        </w:rPr>
        <w:t> </w:t>
      </w:r>
      <w:r w:rsidRPr="00682D0A">
        <w:rPr>
          <w:bCs/>
          <w:iCs/>
        </w:rPr>
        <w:t>SR</w:t>
      </w:r>
      <w:r w:rsidR="00E41876">
        <w:rPr>
          <w:bCs/>
          <w:iCs/>
        </w:rPr>
        <w:t>.</w:t>
      </w:r>
    </w:p>
    <w:p w14:paraId="6C22BF3B" w14:textId="77777777" w:rsidR="00B650E5" w:rsidRPr="00682D0A" w:rsidRDefault="00B650E5" w:rsidP="00682D0A">
      <w:pPr>
        <w:numPr>
          <w:ilvl w:val="0"/>
          <w:numId w:val="74"/>
        </w:numPr>
        <w:spacing w:before="120" w:after="120"/>
        <w:ind w:left="426" w:hanging="426"/>
        <w:jc w:val="both"/>
        <w:rPr>
          <w:bCs/>
          <w:iCs/>
        </w:rPr>
      </w:pPr>
      <w:r w:rsidRPr="00682D0A">
        <w:rPr>
          <w:bCs/>
          <w:iCs/>
        </w:rPr>
        <w:t xml:space="preserve">Za účelom zabezpečenia synergií a komplementarít sú RO </w:t>
      </w:r>
      <w:r>
        <w:rPr>
          <w:bCs/>
          <w:iCs/>
        </w:rPr>
        <w:t>povinné</w:t>
      </w:r>
      <w:r w:rsidRPr="00682D0A">
        <w:rPr>
          <w:bCs/>
          <w:iCs/>
        </w:rPr>
        <w:t>:</w:t>
      </w:r>
    </w:p>
    <w:p w14:paraId="0C0F30AD" w14:textId="27596050" w:rsidR="00B650E5" w:rsidRPr="00682D0A" w:rsidRDefault="00B650E5" w:rsidP="00682D0A">
      <w:pPr>
        <w:numPr>
          <w:ilvl w:val="0"/>
          <w:numId w:val="386"/>
        </w:numPr>
        <w:spacing w:before="120" w:after="120"/>
        <w:ind w:left="851" w:hanging="425"/>
        <w:jc w:val="both"/>
        <w:rPr>
          <w:bCs/>
          <w:iCs/>
        </w:rPr>
      </w:pPr>
      <w:r w:rsidRPr="00682D0A">
        <w:rPr>
          <w:bCs/>
          <w:iCs/>
        </w:rPr>
        <w:t>každoročne v termíne do 30. septembra</w:t>
      </w:r>
      <w:r w:rsidRPr="00682D0A" w:rsidDel="00077804">
        <w:rPr>
          <w:bCs/>
          <w:iCs/>
        </w:rPr>
        <w:t xml:space="preserve"> </w:t>
      </w:r>
      <w:r w:rsidRPr="00682D0A">
        <w:rPr>
          <w:bCs/>
          <w:iCs/>
        </w:rPr>
        <w:t>za</w:t>
      </w:r>
      <w:r w:rsidR="005D01F4">
        <w:rPr>
          <w:bCs/>
          <w:iCs/>
        </w:rPr>
        <w:t>slať pracovnej komisii elektronicky</w:t>
      </w:r>
      <w:r w:rsidRPr="00682D0A">
        <w:rPr>
          <w:bCs/>
          <w:iCs/>
        </w:rPr>
        <w:t xml:space="preserve"> </w:t>
      </w:r>
      <w:r w:rsidR="00C17D05">
        <w:rPr>
          <w:bCs/>
          <w:iCs/>
        </w:rPr>
        <w:t xml:space="preserve">plán vyhlasovania </w:t>
      </w:r>
      <w:r w:rsidRPr="00682D0A">
        <w:rPr>
          <w:bCs/>
          <w:iCs/>
        </w:rPr>
        <w:t>výziev, vyzvaní národných projektov, vyzvaní veľkých projektov a vyzvaní projektov technickej pomoci na</w:t>
      </w:r>
      <w:r w:rsidR="00E41876">
        <w:rPr>
          <w:bCs/>
          <w:iCs/>
        </w:rPr>
        <w:t> </w:t>
      </w:r>
      <w:r w:rsidRPr="00682D0A">
        <w:rPr>
          <w:bCs/>
          <w:iCs/>
        </w:rPr>
        <w:t xml:space="preserve">nasledujúci kalendárny rok. Štruktúru údajov potrebných k zostaveniu </w:t>
      </w:r>
      <w:r w:rsidR="00C17D05">
        <w:rPr>
          <w:bCs/>
          <w:iCs/>
        </w:rPr>
        <w:t>plánov vyhlasovania výziev a vyzvaní</w:t>
      </w:r>
      <w:r w:rsidRPr="00682D0A">
        <w:rPr>
          <w:bCs/>
          <w:iCs/>
        </w:rPr>
        <w:t xml:space="preserve"> stanovuje metodický pokyn vydaný CKO</w:t>
      </w:r>
      <w:r>
        <w:rPr>
          <w:rStyle w:val="Odkaznapoznmkupodiarou"/>
          <w:bCs/>
          <w:iCs/>
        </w:rPr>
        <w:footnoteReference w:id="13"/>
      </w:r>
      <w:r w:rsidRPr="00682D0A">
        <w:rPr>
          <w:bCs/>
          <w:iCs/>
        </w:rPr>
        <w:t>;</w:t>
      </w:r>
    </w:p>
    <w:p w14:paraId="3DCB023D" w14:textId="7E4DA919" w:rsidR="00B650E5" w:rsidRPr="00682D0A" w:rsidRDefault="00B650E5" w:rsidP="00682D0A">
      <w:pPr>
        <w:numPr>
          <w:ilvl w:val="0"/>
          <w:numId w:val="386"/>
        </w:numPr>
        <w:spacing w:before="120" w:after="120"/>
        <w:ind w:left="851" w:hanging="425"/>
        <w:jc w:val="both"/>
        <w:rPr>
          <w:bCs/>
          <w:iCs/>
        </w:rPr>
      </w:pPr>
      <w:r w:rsidRPr="00682D0A">
        <w:rPr>
          <w:bCs/>
          <w:iCs/>
        </w:rPr>
        <w:t xml:space="preserve">predkladať pracovnej komisii aktualizáciu </w:t>
      </w:r>
      <w:r w:rsidR="00C17D05">
        <w:rPr>
          <w:bCs/>
          <w:iCs/>
        </w:rPr>
        <w:t>plánu vyhlasovania výziev a vyzvaní</w:t>
      </w:r>
      <w:r w:rsidRPr="00682D0A">
        <w:rPr>
          <w:bCs/>
          <w:iCs/>
        </w:rPr>
        <w:t xml:space="preserve">. Aktualizácii podlieha </w:t>
      </w:r>
      <w:r w:rsidR="00C17D05">
        <w:rPr>
          <w:bCs/>
          <w:iCs/>
        </w:rPr>
        <w:t>plán vyhlasovania</w:t>
      </w:r>
      <w:r w:rsidRPr="00682D0A">
        <w:rPr>
          <w:bCs/>
          <w:iCs/>
        </w:rPr>
        <w:t xml:space="preserve"> </w:t>
      </w:r>
      <w:r>
        <w:rPr>
          <w:bCs/>
          <w:iCs/>
        </w:rPr>
        <w:t>výziev</w:t>
      </w:r>
      <w:r w:rsidR="00C17D05">
        <w:rPr>
          <w:bCs/>
          <w:iCs/>
        </w:rPr>
        <w:t xml:space="preserve"> a</w:t>
      </w:r>
      <w:r>
        <w:rPr>
          <w:bCs/>
          <w:iCs/>
        </w:rPr>
        <w:t xml:space="preserve"> </w:t>
      </w:r>
      <w:r w:rsidRPr="00682D0A">
        <w:rPr>
          <w:bCs/>
          <w:iCs/>
        </w:rPr>
        <w:t xml:space="preserve">vyzvaní v prípade vecných zmien, ktoré sa týkajú </w:t>
      </w:r>
      <w:r w:rsidR="004F75A4">
        <w:rPr>
          <w:bCs/>
          <w:iCs/>
        </w:rPr>
        <w:t>synergií a komplementarít</w:t>
      </w:r>
      <w:r w:rsidRPr="00682D0A">
        <w:rPr>
          <w:bCs/>
          <w:iCs/>
        </w:rPr>
        <w:t xml:space="preserve"> a tiež v prípade, ak dôjde k posunu plánovaného vyhlásenia </w:t>
      </w:r>
      <w:r>
        <w:rPr>
          <w:bCs/>
          <w:iCs/>
        </w:rPr>
        <w:t xml:space="preserve">výzvy alebo </w:t>
      </w:r>
      <w:r w:rsidRPr="00682D0A">
        <w:rPr>
          <w:bCs/>
          <w:iCs/>
        </w:rPr>
        <w:t xml:space="preserve">vyzvania o viac ako </w:t>
      </w:r>
      <w:r>
        <w:rPr>
          <w:bCs/>
          <w:iCs/>
        </w:rPr>
        <w:t>12</w:t>
      </w:r>
      <w:r w:rsidRPr="00682D0A">
        <w:rPr>
          <w:bCs/>
          <w:iCs/>
        </w:rPr>
        <w:t xml:space="preserve"> mesiacov. </w:t>
      </w:r>
      <w:r w:rsidRPr="001B709E">
        <w:t xml:space="preserve">RO predkladá aktualizáciu </w:t>
      </w:r>
      <w:r w:rsidR="004F75A4">
        <w:t>plánu vyhlasovania výziev a vyzvaní</w:t>
      </w:r>
      <w:r w:rsidRPr="001B709E">
        <w:t xml:space="preserve"> v priebehu kalendárneho mesiaca.</w:t>
      </w:r>
      <w:r w:rsidRPr="00F12951">
        <w:t> </w:t>
      </w:r>
      <w:r w:rsidRPr="001B709E">
        <w:t xml:space="preserve"> Sekretariát pracovnej komisie požiadavky na aktualizáciu </w:t>
      </w:r>
      <w:r w:rsidR="004F75A4">
        <w:t>plánov vyhlasovania výziev a vyzvaní</w:t>
      </w:r>
      <w:r w:rsidRPr="001B709E">
        <w:t xml:space="preserve"> jednotlivých OP zosumarizuje podľa stavu k</w:t>
      </w:r>
      <w:r w:rsidRPr="00F12951">
        <w:t> </w:t>
      </w:r>
      <w:r w:rsidRPr="001B709E">
        <w:t>poslednému dňu príslušného kalendárneho mesiaca</w:t>
      </w:r>
      <w:r w:rsidRPr="00EA504D">
        <w:t xml:space="preserve"> a predloží na</w:t>
      </w:r>
      <w:r w:rsidR="00E41876">
        <w:t> </w:t>
      </w:r>
      <w:r>
        <w:t>prerokovanie „per rollam“ pracovnej komisii;</w:t>
      </w:r>
    </w:p>
    <w:p w14:paraId="3021AA24" w14:textId="54DDB4BB" w:rsidR="00B650E5" w:rsidRPr="00682D0A" w:rsidRDefault="00B650E5" w:rsidP="00682D0A">
      <w:pPr>
        <w:numPr>
          <w:ilvl w:val="0"/>
          <w:numId w:val="386"/>
        </w:numPr>
        <w:spacing w:before="120" w:after="120"/>
        <w:ind w:left="851" w:hanging="425"/>
        <w:jc w:val="both"/>
        <w:rPr>
          <w:bCs/>
          <w:iCs/>
        </w:rPr>
      </w:pPr>
      <w:r w:rsidRPr="00682D0A">
        <w:rPr>
          <w:bCs/>
          <w:iCs/>
        </w:rPr>
        <w:t xml:space="preserve">spolupracovať s inými RO, so zástupcami inštitúcií zodpovednými za implementáciu tematicky príslušných ostatných nástrojov podpory EÚ a SR </w:t>
      </w:r>
      <w:r w:rsidRPr="00682D0A">
        <w:t xml:space="preserve">pri príprave </w:t>
      </w:r>
      <w:r w:rsidR="004F75A4">
        <w:t>plánu vyhlasovania</w:t>
      </w:r>
      <w:r w:rsidR="004F75A4" w:rsidRPr="00682D0A" w:rsidDel="004F75A4">
        <w:t xml:space="preserve"> </w:t>
      </w:r>
      <w:r w:rsidRPr="00682D0A">
        <w:t>výziev</w:t>
      </w:r>
      <w:r w:rsidR="004F75A4">
        <w:t xml:space="preserve"> a</w:t>
      </w:r>
      <w:r w:rsidRPr="00682D0A">
        <w:t xml:space="preserve"> vyzvaní</w:t>
      </w:r>
      <w:r w:rsidRPr="00682D0A" w:rsidDel="00363CFA">
        <w:t xml:space="preserve"> </w:t>
      </w:r>
      <w:r>
        <w:rPr>
          <w:bCs/>
          <w:iCs/>
        </w:rPr>
        <w:t>a ich zmien</w:t>
      </w:r>
      <w:r w:rsidRPr="00682D0A">
        <w:t xml:space="preserve">, ako aj </w:t>
      </w:r>
      <w:r w:rsidRPr="00682D0A">
        <w:rPr>
          <w:bCs/>
          <w:iCs/>
        </w:rPr>
        <w:t>pri</w:t>
      </w:r>
      <w:r w:rsidR="00E41876">
        <w:rPr>
          <w:bCs/>
          <w:iCs/>
        </w:rPr>
        <w:t> </w:t>
      </w:r>
      <w:r w:rsidRPr="00682D0A">
        <w:rPr>
          <w:bCs/>
          <w:iCs/>
        </w:rPr>
        <w:t>identifikácii synergií a komplementarít nielen v procese prípravy výzvy/vyzvania, ale aj ďalších súvisiacich procesoch, vrátane prijímania nápravných opatrení CKO;</w:t>
      </w:r>
    </w:p>
    <w:p w14:paraId="1688E19A" w14:textId="2FE31582" w:rsidR="00B650E5" w:rsidRPr="00922ACA" w:rsidRDefault="00B650E5" w:rsidP="00682D0A">
      <w:pPr>
        <w:numPr>
          <w:ilvl w:val="0"/>
          <w:numId w:val="386"/>
        </w:numPr>
        <w:spacing w:before="120" w:after="120"/>
        <w:ind w:left="851" w:hanging="425"/>
        <w:jc w:val="both"/>
      </w:pPr>
      <w:r w:rsidRPr="003919EE">
        <w:rPr>
          <w:bCs/>
          <w:iCs/>
        </w:rPr>
        <w:t xml:space="preserve">každoročne v termíne do 30. </w:t>
      </w:r>
      <w:r w:rsidR="004F75A4">
        <w:rPr>
          <w:bCs/>
          <w:iCs/>
        </w:rPr>
        <w:t>septembra</w:t>
      </w:r>
      <w:r w:rsidRPr="003919EE">
        <w:rPr>
          <w:bCs/>
          <w:iCs/>
        </w:rPr>
        <w:t xml:space="preserve"> predkladať pracovnej komisi</w:t>
      </w:r>
      <w:r w:rsidR="004F75A4">
        <w:rPr>
          <w:bCs/>
          <w:iCs/>
        </w:rPr>
        <w:t>i</w:t>
      </w:r>
      <w:r w:rsidRPr="003919EE">
        <w:rPr>
          <w:bCs/>
          <w:iCs/>
        </w:rPr>
        <w:t xml:space="preserve"> informáciu o plánovaných vyzvaniach pre finančné nástroje a identifikovaných </w:t>
      </w:r>
      <w:r w:rsidRPr="00922ACA">
        <w:rPr>
          <w:bCs/>
          <w:iCs/>
        </w:rPr>
        <w:t>synergiách a komplementaritách k plánovaným vyzvaniam pre finančné nástroje. Štruktúru informácie o plánovaných vyzvaniach pre finančné nástroje upravuje metodický pokyn vydaný CKO</w:t>
      </w:r>
      <w:r w:rsidRPr="00922ACA">
        <w:rPr>
          <w:rStyle w:val="Odkaznapoznmkupodiarou"/>
        </w:rPr>
        <w:footnoteReference w:id="14"/>
      </w:r>
      <w:r w:rsidRPr="00922ACA">
        <w:t>;</w:t>
      </w:r>
    </w:p>
    <w:p w14:paraId="1C437F1B" w14:textId="77777777" w:rsidR="00B650E5" w:rsidRPr="00F85F61" w:rsidRDefault="00B650E5" w:rsidP="00682D0A">
      <w:pPr>
        <w:numPr>
          <w:ilvl w:val="0"/>
          <w:numId w:val="386"/>
        </w:numPr>
        <w:spacing w:before="120" w:after="120"/>
        <w:ind w:left="851" w:hanging="425"/>
        <w:jc w:val="both"/>
        <w:rPr>
          <w:bCs/>
          <w:iCs/>
        </w:rPr>
      </w:pPr>
      <w:r w:rsidRPr="00682D0A">
        <w:t>po zaslaní stanoviska pracovnej komisie zverejniť informáciu o </w:t>
      </w:r>
      <w:r>
        <w:t>posúdených</w:t>
      </w:r>
      <w:r w:rsidRPr="00682D0A">
        <w:t xml:space="preserve"> identifikovaných </w:t>
      </w:r>
      <w:r>
        <w:t>synergiách</w:t>
      </w:r>
      <w:r w:rsidRPr="00682D0A">
        <w:t xml:space="preserve"> a komplementaritách k plánovaným výzvam alebo vyzvaniam na svojom webovom sídle.</w:t>
      </w:r>
    </w:p>
    <w:p w14:paraId="646FDE16" w14:textId="77777777" w:rsidR="00B650E5" w:rsidRDefault="00B650E5" w:rsidP="0045286B">
      <w:pPr>
        <w:pStyle w:val="SRK4"/>
      </w:pPr>
      <w:bookmarkStart w:id="62" w:name="_Toc453233951"/>
      <w:bookmarkStart w:id="63" w:name="_Toc501630002"/>
      <w:r>
        <w:t>1.3.1.11 Rada CKO</w:t>
      </w:r>
      <w:bookmarkEnd w:id="61"/>
      <w:bookmarkEnd w:id="62"/>
      <w:bookmarkEnd w:id="63"/>
    </w:p>
    <w:p w14:paraId="32A7E36F" w14:textId="77777777" w:rsidR="00B650E5" w:rsidRDefault="00B650E5">
      <w:pPr>
        <w:numPr>
          <w:ilvl w:val="0"/>
          <w:numId w:val="314"/>
        </w:numPr>
        <w:spacing w:before="120" w:after="120"/>
        <w:ind w:left="426" w:hanging="426"/>
        <w:jc w:val="both"/>
        <w:rPr>
          <w:szCs w:val="22"/>
        </w:rPr>
      </w:pPr>
      <w:r>
        <w:rPr>
          <w:szCs w:val="22"/>
        </w:rPr>
        <w:t>Cieľom zriadenia Rady CKO je posilnenie aspektu transparentnosti, objektívnosti a nediskriminácie v procese implementácie fondov EÚ a zabezpečenie odbornej podpory RO najmä v schvaľovacom procese ŽoNFP.</w:t>
      </w:r>
    </w:p>
    <w:p w14:paraId="6DCCF350" w14:textId="77777777" w:rsidR="00B650E5" w:rsidRDefault="00B650E5">
      <w:pPr>
        <w:numPr>
          <w:ilvl w:val="0"/>
          <w:numId w:val="314"/>
        </w:numPr>
        <w:spacing w:before="120" w:after="120"/>
        <w:ind w:left="426" w:hanging="426"/>
        <w:jc w:val="both"/>
        <w:rPr>
          <w:szCs w:val="22"/>
        </w:rPr>
      </w:pPr>
      <w:r>
        <w:rPr>
          <w:szCs w:val="22"/>
        </w:rPr>
        <w:lastRenderedPageBreak/>
        <w:t>Rada CKO je nezávislý poradný orgán CKO zriadený za účelom vydávania odporúčaní a stanovísk v prípadoch určených v štatúte a rokovacom poriadku. Cieľom Rady CKO je podpora RO pri problémoch spojených so schvaľovacím procesom, najmä formou vydávania stanovísk na</w:t>
      </w:r>
      <w:r w:rsidR="00E41876">
        <w:rPr>
          <w:szCs w:val="22"/>
        </w:rPr>
        <w:t> </w:t>
      </w:r>
      <w:r>
        <w:rPr>
          <w:szCs w:val="22"/>
        </w:rPr>
        <w:t>základe požiadavky RO v rámci rozhodovania o mimoriadnych opravných prostriedkoch, vydávania odporúčaní a stanovísk v rámci predbežných otázok položených zo strany RO a plnením ďalších úloh v súlade so štatútom.</w:t>
      </w:r>
    </w:p>
    <w:p w14:paraId="6A9F23AB" w14:textId="77777777" w:rsidR="00B650E5" w:rsidRDefault="00B650E5">
      <w:pPr>
        <w:numPr>
          <w:ilvl w:val="0"/>
          <w:numId w:val="314"/>
        </w:numPr>
        <w:spacing w:before="120" w:after="120"/>
        <w:ind w:left="426" w:hanging="426"/>
        <w:jc w:val="both"/>
        <w:rPr>
          <w:szCs w:val="22"/>
        </w:rPr>
      </w:pPr>
      <w:r>
        <w:rPr>
          <w:szCs w:val="22"/>
        </w:rPr>
        <w:t>Závery prijaté Radou CKO nemajú vplyv na rozhodovaciu právomoc RO a jeho zodpovednosť za</w:t>
      </w:r>
      <w:r w:rsidR="00E41876">
        <w:rPr>
          <w:szCs w:val="22"/>
        </w:rPr>
        <w:t> </w:t>
      </w:r>
      <w:r>
        <w:rPr>
          <w:szCs w:val="22"/>
        </w:rPr>
        <w:t>implementáciu OP v súlade s platnou legislatívou EÚ. Stanovisko Rady CKO je pre RO odporúčacím stanoviskom, pričom rozhodnutie vo veci ostáva vo výlučnej kompetencii RO.</w:t>
      </w:r>
    </w:p>
    <w:p w14:paraId="76284EA1" w14:textId="77777777" w:rsidR="00B650E5" w:rsidRDefault="00B650E5">
      <w:pPr>
        <w:numPr>
          <w:ilvl w:val="0"/>
          <w:numId w:val="314"/>
        </w:numPr>
        <w:spacing w:before="120" w:after="120"/>
        <w:ind w:left="426" w:hanging="426"/>
        <w:jc w:val="both"/>
        <w:rPr>
          <w:szCs w:val="22"/>
        </w:rPr>
      </w:pPr>
      <w:r>
        <w:rPr>
          <w:szCs w:val="22"/>
        </w:rPr>
        <w:t>Zloženie, bližší popis kompetencií a ďalšie aspekty spojené s prijímaním stanovísk Rady CKO upraví štatút a rokovací poriadok, ktorý vydá</w:t>
      </w:r>
      <w:r w:rsidR="000141F4">
        <w:rPr>
          <w:szCs w:val="22"/>
        </w:rPr>
        <w:t>va</w:t>
      </w:r>
      <w:r>
        <w:rPr>
          <w:szCs w:val="22"/>
        </w:rPr>
        <w:t xml:space="preserve"> CKO.</w:t>
      </w:r>
    </w:p>
    <w:p w14:paraId="035D6BD4" w14:textId="77777777" w:rsidR="00B650E5" w:rsidRDefault="00B650E5">
      <w:pPr>
        <w:numPr>
          <w:ilvl w:val="0"/>
          <w:numId w:val="314"/>
        </w:numPr>
        <w:spacing w:before="120" w:after="120"/>
        <w:ind w:left="426" w:hanging="426"/>
        <w:jc w:val="both"/>
        <w:rPr>
          <w:szCs w:val="22"/>
        </w:rPr>
      </w:pPr>
      <w:r>
        <w:rPr>
          <w:szCs w:val="22"/>
        </w:rPr>
        <w:t>Sekretariát Rady CKO zodpovedný za zvolávanie, technicko-organizačné zabezpečenie fungovania, vyhotovovania záznamov a výstupov z rokovaní zabezpečuje CKO.</w:t>
      </w:r>
    </w:p>
    <w:p w14:paraId="31FE68E0" w14:textId="77777777" w:rsidR="00B650E5" w:rsidRDefault="00B650E5" w:rsidP="0045286B">
      <w:pPr>
        <w:pStyle w:val="SRK4"/>
      </w:pPr>
      <w:bookmarkStart w:id="64" w:name="_Toc453233952"/>
      <w:bookmarkStart w:id="65" w:name="_Toc501630003"/>
      <w:bookmarkStart w:id="66" w:name="_Toc378947476"/>
      <w:r>
        <w:t>1.3.1.12 Úrad vlády Slovenskej republiky</w:t>
      </w:r>
      <w:bookmarkEnd w:id="64"/>
      <w:bookmarkEnd w:id="65"/>
    </w:p>
    <w:p w14:paraId="080A3072" w14:textId="77777777" w:rsidR="00B650E5" w:rsidRDefault="00B650E5" w:rsidP="000E286B">
      <w:pPr>
        <w:numPr>
          <w:ilvl w:val="0"/>
          <w:numId w:val="395"/>
        </w:numPr>
        <w:spacing w:before="120" w:after="120"/>
        <w:jc w:val="both"/>
        <w:rPr>
          <w:szCs w:val="22"/>
        </w:rPr>
      </w:pPr>
      <w:bookmarkStart w:id="67" w:name="kapitola_13112_ods_1"/>
      <w:r>
        <w:rPr>
          <w:szCs w:val="22"/>
        </w:rPr>
        <w:t>Zamestnanec ÚV SR plní v súlade s čl. 117 všeobecného nariadenia rolu úradníka pre informovanie a komunikáciu. V súvislosti s uvedenou úlohou najmä:</w:t>
      </w:r>
    </w:p>
    <w:p w14:paraId="09F13B71" w14:textId="77777777" w:rsidR="00B650E5" w:rsidRDefault="00B650E5" w:rsidP="000E286B">
      <w:pPr>
        <w:pStyle w:val="Odsekzoznamu"/>
        <w:numPr>
          <w:ilvl w:val="0"/>
          <w:numId w:val="394"/>
        </w:numPr>
        <w:spacing w:before="120" w:after="120"/>
        <w:ind w:left="426" w:firstLine="0"/>
        <w:contextualSpacing w:val="0"/>
        <w:jc w:val="both"/>
      </w:pPr>
      <w:r>
        <w:t>koordinuje Pracovnú skupinu pre informovanie a komunikáciu;</w:t>
      </w:r>
    </w:p>
    <w:p w14:paraId="0682101B" w14:textId="77777777" w:rsidR="00B650E5" w:rsidRDefault="00B650E5" w:rsidP="000E286B">
      <w:pPr>
        <w:pStyle w:val="Odsekzoznamu"/>
        <w:numPr>
          <w:ilvl w:val="0"/>
          <w:numId w:val="394"/>
        </w:numPr>
        <w:spacing w:before="120" w:after="120"/>
        <w:ind w:left="426" w:firstLine="0"/>
        <w:contextualSpacing w:val="0"/>
        <w:jc w:val="both"/>
      </w:pPr>
      <w:r>
        <w:t xml:space="preserve">zriadi a prevádzkuje jednotné webové sídlo </w:t>
      </w:r>
      <w:hyperlink r:id="rId21" w:history="1">
        <w:r w:rsidRPr="00FA1E63">
          <w:rPr>
            <w:rStyle w:val="Hypertextovprepojenie"/>
          </w:rPr>
          <w:t>www.partnerskadohoda.gov.sk</w:t>
        </w:r>
      </w:hyperlink>
      <w:r>
        <w:t>;</w:t>
      </w:r>
    </w:p>
    <w:p w14:paraId="46B09C2C" w14:textId="77777777" w:rsidR="00B650E5" w:rsidRPr="00FA5206" w:rsidRDefault="00B650E5" w:rsidP="000E286B">
      <w:pPr>
        <w:pStyle w:val="Odsekzoznamu"/>
        <w:numPr>
          <w:ilvl w:val="0"/>
          <w:numId w:val="394"/>
        </w:numPr>
        <w:spacing w:before="120" w:after="120"/>
        <w:ind w:left="426" w:firstLine="0"/>
        <w:contextualSpacing w:val="0"/>
        <w:jc w:val="both"/>
      </w:pPr>
      <w:r>
        <w:t xml:space="preserve">vykonáva </w:t>
      </w:r>
      <w:r w:rsidRPr="00FA5206">
        <w:t xml:space="preserve">informačné a komunikačné aktivity na </w:t>
      </w:r>
      <w:r>
        <w:t>horizont</w:t>
      </w:r>
      <w:r w:rsidRPr="00FA5206">
        <w:t>álnej úrovni;</w:t>
      </w:r>
    </w:p>
    <w:p w14:paraId="00641EF4" w14:textId="77777777" w:rsidR="00B650E5" w:rsidRPr="00FA5206" w:rsidRDefault="00B650E5" w:rsidP="000E286B">
      <w:pPr>
        <w:pStyle w:val="Odsekzoznamu"/>
        <w:numPr>
          <w:ilvl w:val="0"/>
          <w:numId w:val="394"/>
        </w:numPr>
        <w:spacing w:before="120" w:after="120"/>
        <w:ind w:left="709" w:hanging="283"/>
        <w:contextualSpacing w:val="0"/>
        <w:jc w:val="both"/>
      </w:pPr>
      <w:r w:rsidRPr="00FA5206">
        <w:t>zabezpečuje vypracovanie vzoru</w:t>
      </w:r>
      <w:r w:rsidRPr="00FA5206">
        <w:rPr>
          <w:rStyle w:val="Odkaznapoznmkupodiarou"/>
        </w:rPr>
        <w:footnoteReference w:id="15"/>
      </w:r>
      <w:r w:rsidRPr="00FA5206">
        <w:t xml:space="preserve"> komunikačnej stratégie pre OP a informovanie o OP na</w:t>
      </w:r>
      <w:r>
        <w:t> </w:t>
      </w:r>
      <w:r w:rsidRPr="00FA5206">
        <w:t>úrovni PD;</w:t>
      </w:r>
    </w:p>
    <w:p w14:paraId="1C041763" w14:textId="77777777" w:rsidR="00B650E5" w:rsidRPr="00FA5206" w:rsidRDefault="00B650E5" w:rsidP="000E286B">
      <w:pPr>
        <w:pStyle w:val="Odsekzoznamu"/>
        <w:numPr>
          <w:ilvl w:val="0"/>
          <w:numId w:val="394"/>
        </w:numPr>
        <w:spacing w:before="120" w:after="120"/>
        <w:ind w:left="426" w:firstLine="0"/>
        <w:contextualSpacing w:val="0"/>
        <w:jc w:val="both"/>
      </w:pPr>
      <w:r w:rsidRPr="00FA5206">
        <w:t>usmerňuje riadiace orgány v oblasti informovania a komunikácie.</w:t>
      </w:r>
    </w:p>
    <w:p w14:paraId="6401F2E7" w14:textId="77777777" w:rsidR="00B650E5" w:rsidRPr="000E286B" w:rsidRDefault="00B650E5" w:rsidP="000E286B">
      <w:pPr>
        <w:numPr>
          <w:ilvl w:val="0"/>
          <w:numId w:val="395"/>
        </w:numPr>
        <w:spacing w:before="120" w:after="120"/>
        <w:jc w:val="both"/>
      </w:pPr>
      <w:r w:rsidRPr="00FA5206">
        <w:rPr>
          <w:szCs w:val="22"/>
        </w:rPr>
        <w:t>Ú</w:t>
      </w:r>
      <w:r>
        <w:rPr>
          <w:szCs w:val="22"/>
        </w:rPr>
        <w:t>V</w:t>
      </w:r>
      <w:r w:rsidRPr="00FA5206">
        <w:rPr>
          <w:szCs w:val="22"/>
        </w:rPr>
        <w:t xml:space="preserve"> SR je ústredným orgánom štátnej správy pre štátnozamestnanecké vzťahy a právne vzťahy pri</w:t>
      </w:r>
      <w:r w:rsidR="00E91202">
        <w:rPr>
          <w:szCs w:val="22"/>
        </w:rPr>
        <w:t> </w:t>
      </w:r>
      <w:r w:rsidRPr="00FA5206">
        <w:rPr>
          <w:szCs w:val="22"/>
        </w:rPr>
        <w:t>výkone práce vo verejnom záujme v súlade s § 24, písm. a) kompetenčného zákona. ÚV SR v tejto oblasti najmä:</w:t>
      </w:r>
    </w:p>
    <w:p w14:paraId="39D06A26"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vytvára systémový rámec pre podporu inštitucionálneho rozvoja a budovania administratívnych kapacít orgánov zapojených do procesu implementácie;</w:t>
      </w:r>
    </w:p>
    <w:p w14:paraId="0B8512AB"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vyprac</w:t>
      </w:r>
      <w:r>
        <w:t>úva</w:t>
      </w:r>
      <w:r w:rsidRPr="00FA5206">
        <w:t xml:space="preserve"> komplexný vzdelávací systém administratívnych kapacít pre PO 2014 - 2020 a zabezpečí realizáciu z neho vyplývajúcich vzdelávacích aktivít pre subjekty zapojené do</w:t>
      </w:r>
      <w:r>
        <w:t> </w:t>
      </w:r>
      <w:r w:rsidRPr="00FA5206">
        <w:t>procesu implementácie</w:t>
      </w:r>
      <w:r>
        <w:t xml:space="preserve"> s výnimkou vzdelávania vládnych audítorov v zmysle </w:t>
      </w:r>
      <w:r w:rsidRPr="000E286B">
        <w:t>zákon</w:t>
      </w:r>
      <w:r>
        <w:t>a</w:t>
      </w:r>
      <w:r w:rsidRPr="000E286B">
        <w:t xml:space="preserve"> o</w:t>
      </w:r>
      <w:r w:rsidR="00E91202">
        <w:t> </w:t>
      </w:r>
      <w:r w:rsidRPr="000E286B">
        <w:t>finančnej kontrole</w:t>
      </w:r>
      <w:r w:rsidRPr="00FA5206">
        <w:t xml:space="preserve">; </w:t>
      </w:r>
    </w:p>
    <w:p w14:paraId="0B29DBF4" w14:textId="77777777" w:rsidR="00B650E5" w:rsidRPr="00FA5206" w:rsidRDefault="00B650E5" w:rsidP="000E286B">
      <w:pPr>
        <w:pStyle w:val="Odsekzoznamu"/>
        <w:numPr>
          <w:ilvl w:val="0"/>
          <w:numId w:val="396"/>
        </w:numPr>
        <w:spacing w:before="120" w:after="120"/>
        <w:ind w:left="709" w:hanging="283"/>
        <w:contextualSpacing w:val="0"/>
        <w:jc w:val="both"/>
      </w:pPr>
      <w:r w:rsidRPr="00FA5206">
        <w:t>zodpovedá za vytvorenie a realizáciu aktivít v oblasti komplexného systému vzdelávania administratívnych kapacít;</w:t>
      </w:r>
    </w:p>
    <w:p w14:paraId="5FE7CB19" w14:textId="77777777" w:rsidR="00B650E5" w:rsidRPr="000E286B" w:rsidRDefault="00B650E5" w:rsidP="000E286B">
      <w:pPr>
        <w:pStyle w:val="Odsekzoznamu"/>
        <w:numPr>
          <w:ilvl w:val="0"/>
          <w:numId w:val="396"/>
        </w:numPr>
        <w:spacing w:before="120" w:after="120"/>
        <w:ind w:left="709" w:hanging="283"/>
        <w:contextualSpacing w:val="0"/>
        <w:jc w:val="both"/>
      </w:pPr>
      <w:r w:rsidRPr="00FA5206">
        <w:rPr>
          <w:lang w:eastAsia="en-US"/>
        </w:rPr>
        <w:t>vypracúva Informáciu o stave administratívnych kapacít subjektov zapojených do</w:t>
      </w:r>
      <w:r>
        <w:rPr>
          <w:lang w:eastAsia="en-US"/>
        </w:rPr>
        <w:t> </w:t>
      </w:r>
      <w:r w:rsidRPr="00FA5206">
        <w:rPr>
          <w:lang w:eastAsia="en-US"/>
        </w:rPr>
        <w:t>implementácie, riadenia a kontroly EŠIF.</w:t>
      </w:r>
    </w:p>
    <w:p w14:paraId="5A676568" w14:textId="77777777" w:rsidR="00B650E5" w:rsidRPr="00FA5206" w:rsidRDefault="00B650E5" w:rsidP="000E286B">
      <w:pPr>
        <w:numPr>
          <w:ilvl w:val="0"/>
          <w:numId w:val="395"/>
        </w:numPr>
        <w:spacing w:before="120" w:after="120"/>
        <w:jc w:val="both"/>
      </w:pPr>
      <w:bookmarkStart w:id="68" w:name="kapitola_13112_ods_3"/>
      <w:bookmarkEnd w:id="67"/>
      <w:bookmarkEnd w:id="68"/>
      <w:r w:rsidRPr="00FA5206">
        <w:rPr>
          <w:szCs w:val="22"/>
        </w:rPr>
        <w:t>Ú</w:t>
      </w:r>
      <w:r>
        <w:rPr>
          <w:szCs w:val="22"/>
        </w:rPr>
        <w:t>V</w:t>
      </w:r>
      <w:r w:rsidRPr="00FA5206">
        <w:rPr>
          <w:szCs w:val="22"/>
        </w:rPr>
        <w:t xml:space="preserve"> SR vypracúva a aktualizuje za účelom plnenia úloh, uvedených vyššie </w:t>
      </w:r>
      <w:r w:rsidRPr="000E286B">
        <w:t xml:space="preserve">vzory </w:t>
      </w:r>
      <w:r>
        <w:t xml:space="preserve">relevantných </w:t>
      </w:r>
      <w:r w:rsidRPr="000E286B">
        <w:t>formulárov, metodické pokyny, metodické výklady a výnimky</w:t>
      </w:r>
      <w:r w:rsidRPr="00FA5206">
        <w:t>.</w:t>
      </w:r>
    </w:p>
    <w:p w14:paraId="4BAA3321" w14:textId="596E5FE6" w:rsidR="00B650E5" w:rsidRDefault="00B650E5" w:rsidP="00AA4DE1">
      <w:pPr>
        <w:pStyle w:val="Odsekzoznamu"/>
        <w:numPr>
          <w:ilvl w:val="0"/>
          <w:numId w:val="395"/>
        </w:numPr>
        <w:spacing w:before="120" w:after="120"/>
        <w:contextualSpacing w:val="0"/>
        <w:jc w:val="both"/>
      </w:pPr>
      <w:r w:rsidRPr="00FA5206">
        <w:t xml:space="preserve">ÚV SR je v súvislosti s plnením kompetencie podľa </w:t>
      </w:r>
      <w:hyperlink w:anchor="kapitola_13112_ods_3" w:history="1">
        <w:r w:rsidRPr="00DE063A">
          <w:rPr>
            <w:rStyle w:val="Hypertextovprepojenie"/>
          </w:rPr>
          <w:t>ods. 3 tejto kapitoly</w:t>
        </w:r>
      </w:hyperlink>
      <w:r>
        <w:t xml:space="preserve"> povinný</w:t>
      </w:r>
      <w:r w:rsidRPr="00FA5206">
        <w:t xml:space="preserve"> vy</w:t>
      </w:r>
      <w:r w:rsidR="006510AD">
        <w:t>dať výklad k </w:t>
      </w:r>
      <w:r w:rsidRPr="00FA5206">
        <w:t>dokumento</w:t>
      </w:r>
      <w:r w:rsidR="006510AD">
        <w:t>m</w:t>
      </w:r>
      <w:r w:rsidRPr="00FA5206">
        <w:t xml:space="preserve"> najneskôr do 30 pracovných dní odo dňa nadobudnutia účinnosti všeobecne záväzného právneho predpisu, ktorý upravuje právne vzťahy v oblasti podľa </w:t>
      </w:r>
      <w:hyperlink w:anchor="kapitola_13112_ods_1" w:tooltip="ods. 1 a 2 tejto kapitoly" w:history="1">
        <w:r w:rsidRPr="00C91B32">
          <w:rPr>
            <w:rStyle w:val="Hypertextovprepojenie"/>
          </w:rPr>
          <w:t xml:space="preserve">ods. 1 a 2 tejto </w:t>
        </w:r>
        <w:r w:rsidRPr="00C91B32">
          <w:rPr>
            <w:rStyle w:val="Hypertextovprepojenie"/>
          </w:rPr>
          <w:lastRenderedPageBreak/>
          <w:t>kapitoly</w:t>
        </w:r>
      </w:hyperlink>
      <w:r w:rsidRPr="00FA5206">
        <w:t xml:space="preserve">, a ktorý mení alebo iným spôsobom upravuje výkon práv a povinností subjektov zapojených do tohto procesu. </w:t>
      </w:r>
      <w:r>
        <w:t>Ú</w:t>
      </w:r>
      <w:r w:rsidRPr="00FA5206">
        <w:t xml:space="preserve">V SR </w:t>
      </w:r>
      <w:r w:rsidR="006510AD">
        <w:t>vykoná aktualizáciu vydaných vzorov formulárov, metodických výkladov a metodických pokynov</w:t>
      </w:r>
      <w:r w:rsidRPr="00FA5206">
        <w:t xml:space="preserve"> </w:t>
      </w:r>
      <w:r w:rsidR="006510AD">
        <w:t xml:space="preserve">v súlade s </w:t>
      </w:r>
      <w:hyperlink w:anchor="kapitola_12_ods_5" w:history="1">
        <w:r w:rsidR="006510AD" w:rsidRPr="00D86276">
          <w:rPr>
            <w:rStyle w:val="Hypertextovprepojenie"/>
          </w:rPr>
          <w:t>kapitolou 1.2, odsek 5</w:t>
        </w:r>
      </w:hyperlink>
      <w:r w:rsidR="006510AD">
        <w:t xml:space="preserve"> Systému riadenia EŠIF</w:t>
      </w:r>
      <w:r w:rsidR="006510AD" w:rsidRPr="00FA5206">
        <w:t xml:space="preserve"> </w:t>
      </w:r>
      <w:r w:rsidRPr="00FA5206">
        <w:t>v</w:t>
      </w:r>
      <w:r w:rsidR="00E91202">
        <w:t> </w:t>
      </w:r>
      <w:r w:rsidRPr="00FA5206">
        <w:t>prípade, ak dôjde k zmene Systému finančného riadenia, alebo zmene podzákonného právneho predpisu, s priamym vplyvom na ustanovenia dokumentov, uvedených v </w:t>
      </w:r>
      <w:hyperlink w:anchor="kapitola_13112_ods_3" w:history="1">
        <w:r w:rsidRPr="00DE063A">
          <w:rPr>
            <w:rStyle w:val="Hypertextovprepojenie"/>
          </w:rPr>
          <w:t>ods. 3 tejto kapitoly</w:t>
        </w:r>
      </w:hyperlink>
      <w:r w:rsidRPr="00FA5206">
        <w:t>. ÚV</w:t>
      </w:r>
      <w:r w:rsidR="00E91202">
        <w:t> </w:t>
      </w:r>
      <w:r w:rsidRPr="00FA5206">
        <w:t>SR vykoná aktualizáciu za</w:t>
      </w:r>
      <w:r>
        <w:t> </w:t>
      </w:r>
      <w:r w:rsidRPr="00FA5206">
        <w:t>účelom odstránenia potenciálnych rozporov medzi úpravou obsiahnutou v týchto dokumentoch a úpravou v zmenenom podzákonnom</w:t>
      </w:r>
      <w:r>
        <w:t xml:space="preserve"> právnom predpise. ÚV</w:t>
      </w:r>
      <w:r w:rsidR="00E91202">
        <w:t> </w:t>
      </w:r>
      <w:r>
        <w:t>SR zabezpečuje aktualizáciu dokumentov, uvedených v </w:t>
      </w:r>
      <w:hyperlink w:anchor="kapitola_13112_ods_3" w:history="1">
        <w:r w:rsidRPr="00DE063A">
          <w:rPr>
            <w:rStyle w:val="Hypertextovprepojenie"/>
          </w:rPr>
          <w:t>ods. 3 tejto kapitoly</w:t>
        </w:r>
      </w:hyperlink>
      <w:r>
        <w:t xml:space="preserve"> aj v prípade odôvodnenej potreby vyplývajúcej z implementácie OP. ÚV SR predkladá aktualizovanú verziu dokumentov podľa </w:t>
      </w:r>
      <w:hyperlink w:anchor="kapitola_13112_ods_3" w:history="1">
        <w:r w:rsidRPr="00DE063A">
          <w:rPr>
            <w:rStyle w:val="Hypertextovprepojenie"/>
          </w:rPr>
          <w:t>ods. 3 tejto kapitoly</w:t>
        </w:r>
      </w:hyperlink>
      <w:r>
        <w:t xml:space="preserve"> na pripomienkovanie subjektom zapojeným do riadenia a kontroly EŠIF. ÚV SR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w:t>
      </w:r>
      <w:r w:rsidRPr="009078F6">
        <w:t>. Uvedené oprávnenie sa vzťahuje</w:t>
      </w:r>
      <w:r>
        <w:t xml:space="preserve"> výlučne na zmeny, ktoré vychádzajú z potreby transpozície vyššie citovaných dokumentov do dokumentov podľa </w:t>
      </w:r>
      <w:hyperlink w:anchor="kapitola_13112_ods_3" w:history="1">
        <w:r w:rsidRPr="00DE063A">
          <w:rPr>
            <w:rStyle w:val="Hypertextovprepojenie"/>
          </w:rPr>
          <w:t>ods. 3 tejto kapitoly</w:t>
        </w:r>
      </w:hyperlink>
      <w:r>
        <w:t xml:space="preserve"> a ktoré nevyžadujú podrobnejšiu úpravu (bližšiu špecifikáciu práv a povinností subjektov zapojených do implementácie EŠIF nad rámec ich vymedzenia v predmetných dokumentoch) zo strany ÚV SR. ÚV SR v súvislosti s každou aktualizáciou dokumentov podľa </w:t>
      </w:r>
      <w:hyperlink w:anchor="kapitola_13112_ods_3" w:history="1">
        <w:r w:rsidRPr="00DE063A">
          <w:rPr>
            <w:rStyle w:val="Hypertextovprepojenie"/>
          </w:rPr>
          <w:t>ods. 3 tejto kapitoly</w:t>
        </w:r>
      </w:hyperlink>
      <w:r>
        <w:t xml:space="preserve"> informuje subjekty zapojené do procesu riadenia a kontroly o vykonaných zmenách</w:t>
      </w:r>
      <w:r w:rsidR="006F3B93">
        <w:t>,</w:t>
      </w:r>
      <w:r>
        <w:t xml:space="preserve"> a to buď formou sledovania zmien v dokumente alebo formou samostatného zoznamu vykonaných podstatných zmien.</w:t>
      </w:r>
    </w:p>
    <w:p w14:paraId="5B78457D" w14:textId="77777777" w:rsidR="00B650E5" w:rsidRDefault="00B650E5" w:rsidP="00AA4DE1">
      <w:pPr>
        <w:pStyle w:val="Odsekzoznamu"/>
        <w:numPr>
          <w:ilvl w:val="0"/>
          <w:numId w:val="395"/>
        </w:numPr>
        <w:spacing w:before="120" w:after="120"/>
        <w:contextualSpacing w:val="0"/>
        <w:jc w:val="both"/>
      </w:pPr>
      <w:r>
        <w:t xml:space="preserve">ÚV SR zverejní dokumenty podľa </w:t>
      </w:r>
      <w:hyperlink w:anchor="kapitola_13112_ods_3" w:history="1">
        <w:r w:rsidRPr="00DE063A">
          <w:rPr>
            <w:rStyle w:val="Hypertextovprepojenie"/>
          </w:rPr>
          <w:t>ods. 3 tejto kapitoly</w:t>
        </w:r>
      </w:hyperlink>
      <w:r>
        <w:t xml:space="preserve"> na webovom sídle </w:t>
      </w:r>
      <w:hyperlink r:id="rId22" w:history="1">
        <w:r w:rsidRPr="00FA1E63">
          <w:rPr>
            <w:rStyle w:val="Hypertextovprepojenie"/>
          </w:rPr>
          <w:t>www.partnerskadohoda.gov.sk</w:t>
        </w:r>
      </w:hyperlink>
      <w:r>
        <w:t>.</w:t>
      </w:r>
    </w:p>
    <w:p w14:paraId="300EB7B5" w14:textId="77777777" w:rsidR="00B650E5" w:rsidRDefault="00B650E5" w:rsidP="000E286B">
      <w:pPr>
        <w:numPr>
          <w:ilvl w:val="0"/>
          <w:numId w:val="395"/>
        </w:numPr>
        <w:spacing w:before="120" w:after="120"/>
        <w:jc w:val="both"/>
      </w:pPr>
      <w:r>
        <w:t>ÚV SR v nadväznosti na § 38 kompetenčného zákona spolupracuje pri plnení úloh podľa tejto kapitoly s ostatnými subjektmi, ktoré mu za účelom riadneho plnenia úloh poskytujú spoluprácu v požadovanom rozsahu.</w:t>
      </w:r>
      <w:r w:rsidDel="00EE229D">
        <w:t xml:space="preserve"> </w:t>
      </w:r>
    </w:p>
    <w:p w14:paraId="3FAA78CA" w14:textId="77777777" w:rsidR="00B650E5" w:rsidRPr="0045286B" w:rsidRDefault="00B650E5" w:rsidP="0045286B">
      <w:pPr>
        <w:pStyle w:val="SRK4"/>
      </w:pPr>
      <w:bookmarkStart w:id="69" w:name="_Toc501630004"/>
      <w:r w:rsidRPr="001B709E">
        <w:t>1.3.1.13 Nezávislý monitorovací subjekt</w:t>
      </w:r>
      <w:bookmarkEnd w:id="69"/>
    </w:p>
    <w:p w14:paraId="09E8B5A7" w14:textId="77777777" w:rsidR="00B650E5" w:rsidRPr="00FC5F1B" w:rsidRDefault="00B650E5" w:rsidP="000E286B">
      <w:pPr>
        <w:pStyle w:val="Odsekzoznamu"/>
        <w:numPr>
          <w:ilvl w:val="0"/>
          <w:numId w:val="403"/>
        </w:numPr>
        <w:spacing w:before="120" w:after="120"/>
        <w:ind w:left="426" w:hanging="426"/>
        <w:contextualSpacing w:val="0"/>
        <w:jc w:val="both"/>
      </w:pPr>
      <w:r w:rsidRPr="00FC5F1B">
        <w:t xml:space="preserve">Nezávislý monitorovací subjekt </w:t>
      </w:r>
      <w:r>
        <w:t xml:space="preserve">(ďalej len „NMS“) je zriadený na zabezpečenie úloh v oblasti monitorovania plnenia kritérií určenia RO/CO podľa Prílohy XIII a podľa čl. 124 ods. 5 a 6 všeobecného nariadenia a čl. 21 nariadenia EP a Rady (EP) </w:t>
      </w:r>
      <w:r w:rsidRPr="00FC5F1B">
        <w:t>č. 1299/2013</w:t>
      </w:r>
      <w:r>
        <w:t xml:space="preserve">. </w:t>
      </w:r>
    </w:p>
    <w:p w14:paraId="3F8D7A18" w14:textId="77777777" w:rsidR="00B650E5" w:rsidRPr="003C15FE" w:rsidRDefault="00B650E5" w:rsidP="000E286B">
      <w:pPr>
        <w:pStyle w:val="Odsekzoznamu"/>
        <w:numPr>
          <w:ilvl w:val="0"/>
          <w:numId w:val="403"/>
        </w:numPr>
        <w:spacing w:before="120" w:after="120"/>
        <w:ind w:left="426" w:hanging="426"/>
        <w:contextualSpacing w:val="0"/>
        <w:jc w:val="both"/>
        <w:rPr>
          <w:u w:val="single"/>
        </w:rPr>
      </w:pPr>
      <w:r w:rsidRPr="000203B7">
        <w:t xml:space="preserve">Úlohy </w:t>
      </w:r>
      <w:r>
        <w:t xml:space="preserve">NMS </w:t>
      </w:r>
      <w:r w:rsidRPr="000203B7">
        <w:t xml:space="preserve">plní </w:t>
      </w:r>
      <w:r>
        <w:t>v súlade s uznesením vlády SR č. 519/2014 ÚPPVII.</w:t>
      </w:r>
    </w:p>
    <w:p w14:paraId="3191CDED" w14:textId="77777777" w:rsidR="00B650E5" w:rsidRPr="00AE6DC0" w:rsidRDefault="00B650E5" w:rsidP="000E286B">
      <w:pPr>
        <w:pStyle w:val="Odsekzoznamu"/>
        <w:numPr>
          <w:ilvl w:val="0"/>
          <w:numId w:val="403"/>
        </w:numPr>
        <w:spacing w:before="120" w:after="120"/>
        <w:ind w:left="426" w:hanging="426"/>
        <w:contextualSpacing w:val="0"/>
        <w:jc w:val="both"/>
      </w:pPr>
      <w:r w:rsidRPr="00AE6DC0">
        <w:t>NMS v súvislosti s plnením úloh v oblasti monitorovania dodržiavania kritérií určenia dezignovaných RO/CO je zodpovedný najmä za:</w:t>
      </w:r>
    </w:p>
    <w:p w14:paraId="4195C375" w14:textId="77777777" w:rsidR="00B650E5" w:rsidRPr="00AE6DC0" w:rsidRDefault="00B650E5" w:rsidP="00227685">
      <w:pPr>
        <w:pStyle w:val="Odsekzoznamu"/>
        <w:numPr>
          <w:ilvl w:val="0"/>
          <w:numId w:val="402"/>
        </w:numPr>
        <w:spacing w:before="120" w:after="120" w:line="276" w:lineRule="auto"/>
        <w:ind w:left="851" w:hanging="425"/>
        <w:contextualSpacing w:val="0"/>
        <w:jc w:val="both"/>
      </w:pPr>
      <w:r w:rsidRPr="00AE6DC0">
        <w:t>monitorovanie plnenia kritérií určenia RO/CO, najmä na základe výsledkov auditov a</w:t>
      </w:r>
      <w:r w:rsidR="00AE0137">
        <w:t> </w:t>
      </w:r>
      <w:r w:rsidRPr="00AE6DC0">
        <w:t>kontrol</w:t>
      </w:r>
      <w:r w:rsidR="00AE0137">
        <w:t xml:space="preserve"> </w:t>
      </w:r>
      <w:r w:rsidR="00AE0137" w:rsidRPr="00AE0137">
        <w:t>z hľadiska dopadu na kritériá určenia</w:t>
      </w:r>
      <w:r w:rsidRPr="00AE6DC0">
        <w:t>;</w:t>
      </w:r>
    </w:p>
    <w:p w14:paraId="2978287C"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určenie primeranej skúšobnej doby, v ktorej RO/CO prijme a vykoná potrebné nápravné opatrenia, ak monitorovacia činnosť NMS vyhodnotila nesúlad s kritériami určenia;</w:t>
      </w:r>
    </w:p>
    <w:p w14:paraId="01B5F3BE"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ukončenie skúšobnej doby, ak určený RO/CO v stanovenej skúšobnej dobe prijal a vykonal potrebné nápravné opatrenia;</w:t>
      </w:r>
    </w:p>
    <w:p w14:paraId="3C547992"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podanie návrhu na ukončenie určenia RO/CO, ak RO/CO neprijal v stanovenej skúšobnej dobe potrebné nápravné opatrenia;</w:t>
      </w:r>
    </w:p>
    <w:p w14:paraId="0FC89CB4" w14:textId="77777777" w:rsidR="00B650E5" w:rsidRPr="00AE6DC0" w:rsidRDefault="00B650E5" w:rsidP="000E286B">
      <w:pPr>
        <w:pStyle w:val="Odsekzoznamu"/>
        <w:numPr>
          <w:ilvl w:val="0"/>
          <w:numId w:val="402"/>
        </w:numPr>
        <w:spacing w:before="120" w:after="120" w:line="276" w:lineRule="auto"/>
        <w:ind w:left="851" w:hanging="425"/>
        <w:contextualSpacing w:val="0"/>
        <w:jc w:val="both"/>
      </w:pPr>
      <w:r w:rsidRPr="00AE6DC0">
        <w:t xml:space="preserve">komunikáciu s EK prostredníctvom SFC2014 a oznámenie dátumu, od ktorého začína plynúť skúšobná doba, informácie o skúšobnej dobe, </w:t>
      </w:r>
      <w:r>
        <w:t xml:space="preserve">o </w:t>
      </w:r>
      <w:r w:rsidRPr="00AE6DC0">
        <w:t>kritériá</w:t>
      </w:r>
      <w:r>
        <w:t>ch</w:t>
      </w:r>
      <w:r w:rsidRPr="00AE6DC0">
        <w:t xml:space="preserve"> určenia, ktoré neboli splnené, </w:t>
      </w:r>
      <w:r w:rsidRPr="00AE6DC0">
        <w:lastRenderedPageBreak/>
        <w:t>dátum, ku ktorému sa po vykonaní nápravných opatrení skúšobná doba skončí a dátum ukončenia určenia orgánu;</w:t>
      </w:r>
    </w:p>
    <w:p w14:paraId="1E305486" w14:textId="77777777" w:rsidR="00B650E5" w:rsidRPr="00AE6DC0" w:rsidRDefault="00B650E5" w:rsidP="000E286B">
      <w:pPr>
        <w:pStyle w:val="Odsekzoznamu"/>
        <w:numPr>
          <w:ilvl w:val="0"/>
          <w:numId w:val="402"/>
        </w:numPr>
        <w:spacing w:before="120" w:after="120"/>
        <w:ind w:left="851" w:hanging="425"/>
        <w:contextualSpacing w:val="0"/>
        <w:jc w:val="both"/>
      </w:pPr>
      <w:r w:rsidRPr="00AE6DC0">
        <w:t>zabezpečenie súčinnosti subjektov zapojených do procesu monitorovania určenia RO/CO.</w:t>
      </w:r>
    </w:p>
    <w:p w14:paraId="3F2755D2" w14:textId="77777777" w:rsidR="00B650E5" w:rsidRPr="00AE6DC0" w:rsidRDefault="00B650E5" w:rsidP="000E286B">
      <w:pPr>
        <w:pStyle w:val="Odsekzoznamu"/>
        <w:numPr>
          <w:ilvl w:val="0"/>
          <w:numId w:val="403"/>
        </w:numPr>
        <w:spacing w:before="120" w:after="120"/>
        <w:ind w:left="284" w:hanging="284"/>
        <w:contextualSpacing w:val="0"/>
        <w:jc w:val="both"/>
      </w:pPr>
      <w:r w:rsidRPr="00AE6DC0">
        <w:t xml:space="preserve">Podrobnú špecifikáciu činností NMS upravuje </w:t>
      </w:r>
      <w:r>
        <w:t>m</w:t>
      </w:r>
      <w:r w:rsidRPr="00AE6DC0">
        <w:t>etodický pokyn</w:t>
      </w:r>
      <w:r>
        <w:t xml:space="preserve"> vydaný CKO</w:t>
      </w:r>
      <w:r>
        <w:rPr>
          <w:rStyle w:val="Odkaznapoznmkupodiarou"/>
        </w:rPr>
        <w:footnoteReference w:id="16"/>
      </w:r>
      <w:r>
        <w:t>.</w:t>
      </w:r>
    </w:p>
    <w:p w14:paraId="63143B85" w14:textId="77777777" w:rsidR="00B650E5" w:rsidRDefault="00B650E5">
      <w:pPr>
        <w:pStyle w:val="SRK3"/>
      </w:pPr>
      <w:bookmarkStart w:id="70" w:name="_Toc453233953"/>
      <w:bookmarkStart w:id="71" w:name="_Toc501630005"/>
      <w:r>
        <w:t>1.3.2 Subjekty zapojené do riadenia a kontroly na programovej úrovni</w:t>
      </w:r>
      <w:bookmarkEnd w:id="66"/>
      <w:bookmarkEnd w:id="70"/>
      <w:bookmarkEnd w:id="71"/>
    </w:p>
    <w:p w14:paraId="1A3C3C2E" w14:textId="77777777" w:rsidR="00B650E5" w:rsidRDefault="00B650E5" w:rsidP="001B709E">
      <w:pPr>
        <w:pStyle w:val="SRK4"/>
        <w:tabs>
          <w:tab w:val="left" w:pos="5860"/>
        </w:tabs>
      </w:pPr>
      <w:bookmarkStart w:id="72" w:name="_Toc453233954"/>
      <w:bookmarkStart w:id="73" w:name="_Toc501630006"/>
      <w:bookmarkStart w:id="74" w:name="kapitola_1321"/>
      <w:r>
        <w:t>1.3.2.1 Riadiaci orgán</w:t>
      </w:r>
      <w:bookmarkEnd w:id="72"/>
      <w:bookmarkEnd w:id="73"/>
      <w:r w:rsidR="00E17A30">
        <w:tab/>
      </w:r>
    </w:p>
    <w:bookmarkEnd w:id="74"/>
    <w:p w14:paraId="13DD628B" w14:textId="77777777" w:rsidR="00B650E5" w:rsidRDefault="00B650E5">
      <w:pPr>
        <w:numPr>
          <w:ilvl w:val="0"/>
          <w:numId w:val="68"/>
        </w:numPr>
        <w:spacing w:before="120" w:after="120"/>
        <w:ind w:left="426" w:hanging="426"/>
        <w:jc w:val="both"/>
        <w:rPr>
          <w:szCs w:val="22"/>
        </w:rPr>
      </w:pPr>
      <w:r>
        <w:rPr>
          <w:szCs w:val="22"/>
        </w:rPr>
        <w:t>RO je v súlade s ustanovením čl. 124 a § 7 ods. 1 zákona o príspevku z EŠIF orgán štátnej správy alebo orgán územnej samosprávy určený vládou SR na realizáciu OP. RO zodpovedá za riadenie OP v súlade so zásadou riadneho finančného hospodárenia.</w:t>
      </w:r>
    </w:p>
    <w:p w14:paraId="2F1A19F5" w14:textId="77777777" w:rsidR="00B650E5" w:rsidRDefault="00B650E5">
      <w:pPr>
        <w:numPr>
          <w:ilvl w:val="0"/>
          <w:numId w:val="68"/>
        </w:numPr>
        <w:spacing w:before="120" w:after="120"/>
        <w:ind w:left="426" w:hanging="426"/>
        <w:jc w:val="both"/>
        <w:rPr>
          <w:szCs w:val="22"/>
        </w:rPr>
      </w:pPr>
      <w:r>
        <w:rPr>
          <w:szCs w:val="22"/>
        </w:rPr>
        <w:t>RO určuje v súlade s článkom 123 všeobecného nariadenia a § 4 písm. a) zákona o príspevku z</w:t>
      </w:r>
      <w:r w:rsidR="00E91202">
        <w:rPr>
          <w:szCs w:val="22"/>
        </w:rPr>
        <w:t> </w:t>
      </w:r>
      <w:r>
        <w:rPr>
          <w:szCs w:val="22"/>
        </w:rPr>
        <w:t>EŠIF vláda SR, okrem RO ustanoveného podľa § 3 ods. 1 a § 4 ods. 1 zákona č. 543/2007 Z. z. o pôsobnosti orgánov v štátnej správe pri poskytovaní podpory v pôdohospodárstve a rozvoji vidieka v znení neskorších predpisov</w:t>
      </w:r>
    </w:p>
    <w:p w14:paraId="17628CF8" w14:textId="77777777" w:rsidR="00B650E5" w:rsidRDefault="00B650E5">
      <w:pPr>
        <w:numPr>
          <w:ilvl w:val="0"/>
          <w:numId w:val="68"/>
        </w:numPr>
        <w:spacing w:before="120" w:after="120"/>
        <w:ind w:left="426" w:hanging="426"/>
        <w:jc w:val="both"/>
        <w:rPr>
          <w:szCs w:val="22"/>
        </w:rPr>
      </w:pPr>
      <w:r>
        <w:rPr>
          <w:szCs w:val="22"/>
        </w:rPr>
        <w:t>RO za účelom realizácie OP najmä:</w:t>
      </w:r>
    </w:p>
    <w:p w14:paraId="3AC6CC14" w14:textId="77777777" w:rsidR="00B650E5" w:rsidRDefault="00B650E5">
      <w:pPr>
        <w:numPr>
          <w:ilvl w:val="0"/>
          <w:numId w:val="20"/>
        </w:numPr>
        <w:spacing w:before="120" w:after="120"/>
        <w:ind w:left="851" w:hanging="425"/>
        <w:jc w:val="both"/>
        <w:rPr>
          <w:bCs/>
          <w:iCs/>
        </w:rPr>
      </w:pPr>
      <w:r>
        <w:rPr>
          <w:bCs/>
          <w:iCs/>
        </w:rPr>
        <w:t>zabezpečuje vypracovanie dokumentácie a jej prípadných revízií na programovej a projektovej úrovni v súlade s ustanoveniami Systému riadenia EŠIF a s dôrazom na</w:t>
      </w:r>
      <w:r w:rsidR="00E91202">
        <w:rPr>
          <w:bCs/>
          <w:iCs/>
        </w:rPr>
        <w:t> </w:t>
      </w:r>
      <w:r>
        <w:rPr>
          <w:bCs/>
          <w:iCs/>
        </w:rPr>
        <w:t xml:space="preserve">správnosť, aktuálnosť a jednoznačnosť informácií, ktoré sú určené pre žiadateľov a prijímateľov; </w:t>
      </w:r>
    </w:p>
    <w:p w14:paraId="778FE7C4" w14:textId="77777777" w:rsidR="00B650E5" w:rsidRDefault="00B650E5" w:rsidP="00F57A5F">
      <w:pPr>
        <w:numPr>
          <w:ilvl w:val="0"/>
          <w:numId w:val="20"/>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 s označením čísla verzie a dátumu platnosti, v elektronickej forme s naskenovanou stranou obsahujúcou podpis zodpovednej osoby CKO (</w:t>
      </w:r>
      <w:hyperlink r:id="rId23" w:history="1"/>
      <w:hyperlink r:id="rId24" w:history="1">
        <w:r w:rsidRPr="00D447AE">
          <w:rPr>
            <w:rStyle w:val="Hypertextovprepojenie"/>
            <w:lang w:eastAsia="en-US"/>
          </w:rPr>
          <w:t>monitorovanie.cko@vicepremier.gov.sk</w:t>
        </w:r>
      </w:hyperlink>
      <w:r>
        <w:t>), CO (</w:t>
      </w:r>
      <w:hyperlink r:id="rId25" w:history="1">
        <w:r>
          <w:rPr>
            <w:rStyle w:val="Hypertextovprepojenie"/>
          </w:rPr>
          <w:t>CO_manual@mfsr.sk</w:t>
        </w:r>
      </w:hyperlink>
      <w:r>
        <w:t>), ÚV</w:t>
      </w:r>
      <w:r w:rsidR="00E91202">
        <w:t> </w:t>
      </w:r>
      <w:r>
        <w:t>SR(</w:t>
      </w:r>
      <w:hyperlink r:id="rId26" w:history="1">
        <w:r w:rsidRPr="00D447AE">
          <w:rPr>
            <w:rStyle w:val="Hypertextovprepojenie"/>
          </w:rPr>
          <w:t>vzdelavanieakesif@vlada.gov.sk</w:t>
        </w:r>
      </w:hyperlink>
      <w:r>
        <w:t>) a OA (</w:t>
      </w:r>
      <w:hyperlink r:id="rId27" w:history="1">
        <w:r>
          <w:rPr>
            <w:rStyle w:val="Hypertextovprepojenie"/>
          </w:rPr>
          <w:t>manualy@mfsr.sk</w:t>
        </w:r>
      </w:hyperlink>
      <w:r>
        <w:t>), a to najneskôr do 10 pracovných dní od schválenia zodpovednou osobou. Maximálna veľkosť odosielaných dokumentov je 5 MB. Ak je odosielaný dokument rozsiahlejší, je potrebné ho rozdeliť a zaslať po častiach</w:t>
      </w:r>
      <w:r>
        <w:rPr>
          <w:bCs/>
          <w:iCs/>
        </w:rPr>
        <w:t>;</w:t>
      </w:r>
    </w:p>
    <w:p w14:paraId="66BB3580" w14:textId="7A61E074" w:rsidR="00B650E5" w:rsidRDefault="00B650E5" w:rsidP="00650BA9">
      <w:pPr>
        <w:numPr>
          <w:ilvl w:val="0"/>
          <w:numId w:val="20"/>
        </w:numPr>
        <w:spacing w:before="120" w:after="120"/>
        <w:ind w:left="851" w:hanging="425"/>
        <w:jc w:val="both"/>
        <w:rPr>
          <w:rFonts w:cs="Arial"/>
          <w:szCs w:val="16"/>
        </w:rPr>
      </w:pPr>
      <w:r>
        <w:t>predkladá interné pokyny (postupy, príručk</w:t>
      </w:r>
      <w:r w:rsidR="008C36CB">
        <w:t>y</w:t>
      </w:r>
      <w:r>
        <w:t xml:space="preserve"> a pod</w:t>
      </w:r>
      <w:r>
        <w:rPr>
          <w:bCs/>
          <w:iCs/>
        </w:rPr>
        <w:t xml:space="preserve">.), ktoré všeobecne dopĺňajú postupy RO elektronicky s naskenovanou prvou stranou obsahujúcou popis zodpovednej osoby </w:t>
      </w:r>
      <w:r>
        <w:rPr>
          <w:rFonts w:cs="Arial"/>
          <w:szCs w:val="16"/>
        </w:rPr>
        <w:t xml:space="preserve">na e-mailovú adresu </w:t>
      </w:r>
      <w:hyperlink r:id="rId28" w:history="1">
        <w:r>
          <w:rPr>
            <w:rStyle w:val="Hypertextovprepojenie"/>
            <w:rFonts w:cs="Arial"/>
          </w:rPr>
          <w:t>CO_manual@mfsr.sk</w:t>
        </w:r>
      </w:hyperlink>
      <w:r>
        <w:rPr>
          <w:rFonts w:cs="Arial"/>
          <w:szCs w:val="16"/>
        </w:rPr>
        <w:t xml:space="preserve">, OA na e-mailovú adresu </w:t>
      </w:r>
      <w:hyperlink r:id="rId29" w:history="1">
        <w:r>
          <w:rPr>
            <w:rStyle w:val="Hypertextovprepojenie"/>
            <w:rFonts w:cs="Arial"/>
          </w:rPr>
          <w:t>manualy@mfsr.sk</w:t>
        </w:r>
      </w:hyperlink>
      <w:r>
        <w:rPr>
          <w:rFonts w:cs="Arial"/>
          <w:szCs w:val="16"/>
        </w:rPr>
        <w:t xml:space="preserve"> a CKO na</w:t>
      </w:r>
      <w:r w:rsidR="00E91202">
        <w:rPr>
          <w:rFonts w:cs="Arial"/>
          <w:szCs w:val="16"/>
        </w:rPr>
        <w:t> </w:t>
      </w:r>
      <w:r>
        <w:rPr>
          <w:rFonts w:cs="Arial"/>
          <w:szCs w:val="16"/>
        </w:rPr>
        <w:t>e-mailovú adresu</w:t>
      </w:r>
      <w:r w:rsidRPr="0024551C">
        <w:rPr>
          <w:lang w:eastAsia="en-US"/>
        </w:rPr>
        <w:t xml:space="preserve"> </w:t>
      </w:r>
      <w:hyperlink r:id="rId30" w:history="1">
        <w:r w:rsidRPr="00D447AE">
          <w:rPr>
            <w:rStyle w:val="Hypertextovprepojenie"/>
            <w:lang w:eastAsia="en-US"/>
          </w:rPr>
          <w:t>monitorovanie.cko@vicepremier.gov.sk</w:t>
        </w:r>
      </w:hyperlink>
      <w:r>
        <w:rPr>
          <w:rFonts w:cs="Arial"/>
          <w:szCs w:val="16"/>
        </w:rPr>
        <w:t>, a to najneskôr do 10 pracovných dní od schválenia zodpovedným vedúcim. Maximálna veľkosť odosielaných dokumentov je 5 MB. Ak sú odosielané interné pokyny rozsiahlejšie, je potrebné ich rozdeliť a zaslať po častiach;</w:t>
      </w:r>
    </w:p>
    <w:p w14:paraId="37004D89" w14:textId="77777777" w:rsidR="00B650E5" w:rsidRDefault="00B650E5" w:rsidP="00227685">
      <w:pPr>
        <w:numPr>
          <w:ilvl w:val="0"/>
          <w:numId w:val="20"/>
        </w:numPr>
        <w:spacing w:before="120" w:after="120"/>
        <w:ind w:left="851" w:hanging="425"/>
        <w:jc w:val="both"/>
        <w:rPr>
          <w:rFonts w:cs="Arial"/>
          <w:szCs w:val="16"/>
        </w:rPr>
      </w:pPr>
      <w:r>
        <w:rPr>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31" w:history="1">
        <w:r>
          <w:rPr>
            <w:rStyle w:val="Hypertextovprepojenie"/>
            <w:rFonts w:cs="Arial"/>
          </w:rPr>
          <w:t>organauditu@mfsr.sk</w:t>
        </w:r>
      </w:hyperlink>
      <w:r w:rsidRPr="000E286B">
        <w:rPr>
          <w:rStyle w:val="Hypertextovprepojenie"/>
        </w:rPr>
        <w:t xml:space="preserve"> </w:t>
      </w:r>
      <w:r>
        <w:rPr>
          <w:rFonts w:cs="Arial"/>
          <w:szCs w:val="16"/>
        </w:rPr>
        <w:t>a CKO na e-mailovú adresu</w:t>
      </w:r>
      <w:r w:rsidRPr="0024551C">
        <w:rPr>
          <w:lang w:eastAsia="en-US"/>
        </w:rPr>
        <w:t xml:space="preserve"> </w:t>
      </w:r>
      <w:hyperlink r:id="rId32" w:history="1">
        <w:r w:rsidRPr="00D447AE">
          <w:rPr>
            <w:rStyle w:val="Hypertextovprepojenie"/>
            <w:lang w:eastAsia="en-US"/>
          </w:rPr>
          <w:t>monitorovanie.cko@vicepremier.gov.sk</w:t>
        </w:r>
      </w:hyperlink>
      <w:r>
        <w:rPr>
          <w:rFonts w:cs="Arial"/>
          <w:szCs w:val="16"/>
        </w:rPr>
        <w:t>, a to najneskôr do 10 pracovných dní odo dňa uverejnenia v centrálnom registri zmlúv;</w:t>
      </w:r>
    </w:p>
    <w:p w14:paraId="21AB590A" w14:textId="77777777" w:rsidR="00B650E5" w:rsidRDefault="00B650E5" w:rsidP="00227685">
      <w:pPr>
        <w:numPr>
          <w:ilvl w:val="0"/>
          <w:numId w:val="20"/>
        </w:numPr>
        <w:spacing w:before="120" w:after="120"/>
        <w:ind w:left="851" w:hanging="425"/>
        <w:jc w:val="both"/>
        <w:rPr>
          <w:bCs/>
          <w:iCs/>
        </w:rPr>
      </w:pPr>
      <w:r>
        <w:rPr>
          <w:szCs w:val="22"/>
        </w:rPr>
        <w:lastRenderedPageBreak/>
        <w:t>je oprávnený písomnou zmluvou poveriť SO riadením časti OP podľa čl. 123 ods. 7 všeobecného nariadenia 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na e-mailovú adresu</w:t>
      </w:r>
      <w:r w:rsidR="008452CB" w:rsidRPr="008452CB">
        <w:t xml:space="preserve"> </w:t>
      </w:r>
      <w:r w:rsidR="008452CB" w:rsidRPr="008452CB">
        <w:rPr>
          <w:rStyle w:val="Hypertextovprepojenie"/>
          <w:rFonts w:cs="Arial"/>
          <w:u w:val="none"/>
        </w:rPr>
        <w:t>co_certifikacia@mfsr.sk</w:t>
      </w:r>
      <w:r>
        <w:rPr>
          <w:rFonts w:cs="Arial"/>
          <w:szCs w:val="16"/>
        </w:rPr>
        <w:t xml:space="preserve">, OA na e-mailovú adresu </w:t>
      </w:r>
      <w:hyperlink r:id="rId33" w:history="1">
        <w:r>
          <w:rPr>
            <w:rStyle w:val="Hypertextovprepojenie"/>
            <w:rFonts w:cs="Arial"/>
          </w:rPr>
          <w:t>organauditu@mfsr.sk</w:t>
        </w:r>
      </w:hyperlink>
      <w:r>
        <w:rPr>
          <w:rStyle w:val="Hypertextovprepojenie"/>
          <w:rFonts w:cs="Arial"/>
        </w:rPr>
        <w:t xml:space="preserve">, </w:t>
      </w:r>
      <w:r>
        <w:rPr>
          <w:rFonts w:cs="Arial"/>
          <w:szCs w:val="16"/>
        </w:rPr>
        <w:t>a CKO na e-mailovú adresu</w:t>
      </w:r>
      <w:r w:rsidR="008452CB">
        <w:rPr>
          <w:lang w:eastAsia="en-US"/>
        </w:rPr>
        <w:t xml:space="preserve"> </w:t>
      </w:r>
      <w:hyperlink r:id="rId34" w:history="1">
        <w:r w:rsidRPr="00D447AE">
          <w:rPr>
            <w:rStyle w:val="Hypertextovprepojenie"/>
            <w:lang w:eastAsia="en-US"/>
          </w:rPr>
          <w:t>monitorovanie.cko@vicepremier.gov.sk</w:t>
        </w:r>
      </w:hyperlink>
      <w:r>
        <w:rPr>
          <w:rFonts w:cs="Arial"/>
          <w:szCs w:val="16"/>
        </w:rPr>
        <w:t>, a to najneskôr do 10 pracovných dní odo dňa uverejnenia v centrálnom registri zmlúv, ak relevantné;</w:t>
      </w:r>
    </w:p>
    <w:p w14:paraId="4583870F" w14:textId="77777777" w:rsidR="00B650E5" w:rsidRDefault="00B650E5" w:rsidP="00227685">
      <w:pPr>
        <w:numPr>
          <w:ilvl w:val="0"/>
          <w:numId w:val="20"/>
        </w:numPr>
        <w:spacing w:before="120" w:after="120"/>
        <w:ind w:left="851" w:hanging="425"/>
        <w:jc w:val="both"/>
        <w:rPr>
          <w:bCs/>
          <w:iCs/>
        </w:rPr>
      </w:pPr>
      <w:r>
        <w:rPr>
          <w:bCs/>
          <w:iCs/>
        </w:rPr>
        <w:t>zodpovedá za zavedenie a udržiavanie vhodného systému riadenia a kontroly OP v súlade s</w:t>
      </w:r>
      <w:r w:rsidR="00E91202">
        <w:rPr>
          <w:bCs/>
          <w:iCs/>
        </w:rPr>
        <w:t> </w:t>
      </w:r>
      <w:r>
        <w:rPr>
          <w:bCs/>
          <w:iCs/>
        </w:rPr>
        <w:t xml:space="preserve">požiadavkami EK, príslušnými právnymi predpismi EÚ a SR, Systémom riadenia EŠIF a Systémom finančného riadenia, vrátane povinnosti zaviesť </w:t>
      </w:r>
      <w:r>
        <w:t>účinné a primerané opatrenia na</w:t>
      </w:r>
      <w:r w:rsidR="003C62F7">
        <w:t> </w:t>
      </w:r>
      <w:r>
        <w:t>boj proti podvodom pri zohľadnení identifikovaných rizík v súlade s čl. 125 ods. 4 všeobecného nariadenia</w:t>
      </w:r>
      <w:r w:rsidR="006F3B93">
        <w:t>,</w:t>
      </w:r>
      <w:r>
        <w:t xml:space="preserve"> ako aj povinnosti zaviesť účinné mechanizmy na posúdenie sťažností</w:t>
      </w:r>
      <w:r>
        <w:rPr>
          <w:rStyle w:val="Odkaznapoznmkupodiarou"/>
        </w:rPr>
        <w:footnoteReference w:id="17"/>
      </w:r>
      <w:r>
        <w:t xml:space="preserve"> týkajúcich sa EŠIF v súlade s čl. 74 ods. 3 všeobecného nariadenia</w:t>
      </w:r>
      <w:r>
        <w:rPr>
          <w:bCs/>
          <w:iCs/>
        </w:rPr>
        <w:t>;</w:t>
      </w:r>
    </w:p>
    <w:p w14:paraId="61E12DA7" w14:textId="77777777" w:rsidR="00B650E5" w:rsidRDefault="00B650E5" w:rsidP="00227685">
      <w:pPr>
        <w:numPr>
          <w:ilvl w:val="0"/>
          <w:numId w:val="20"/>
        </w:numPr>
        <w:spacing w:before="120" w:after="120"/>
        <w:ind w:left="851" w:hanging="425"/>
        <w:jc w:val="both"/>
        <w:rPr>
          <w:bCs/>
          <w:iCs/>
        </w:rPr>
      </w:pPr>
      <w:r>
        <w:rPr>
          <w:bCs/>
          <w:iCs/>
        </w:rPr>
        <w:t>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na CKO</w:t>
      </w:r>
      <w:r w:rsidR="003C62F7">
        <w:rPr>
          <w:bCs/>
          <w:iCs/>
        </w:rPr>
        <w:t xml:space="preserve"> </w:t>
      </w:r>
      <w:r>
        <w:rPr>
          <w:bCs/>
          <w:iCs/>
        </w:rPr>
        <w:t xml:space="preserve"> na</w:t>
      </w:r>
      <w:r w:rsidR="003C62F7">
        <w:rPr>
          <w:bCs/>
          <w:iCs/>
        </w:rPr>
        <w:t> </w:t>
      </w:r>
      <w:r>
        <w:rPr>
          <w:bCs/>
          <w:iCs/>
        </w:rPr>
        <w:t xml:space="preserve">e-mailovú adresu </w:t>
      </w:r>
      <w:hyperlink r:id="rId35" w:history="1">
        <w:r w:rsidRPr="00B66F49">
          <w:rPr>
            <w:rStyle w:val="Hypertextovprepojenie"/>
            <w:bCs/>
            <w:iCs/>
          </w:rPr>
          <w:t>nms@vicepremier.gov.sk</w:t>
        </w:r>
      </w:hyperlink>
      <w:r w:rsidRPr="00B66F49">
        <w:rPr>
          <w:bCs/>
          <w:iCs/>
        </w:rPr>
        <w:t xml:space="preserve">, na CO, OA na e-mailovú adresu </w:t>
      </w:r>
      <w:hyperlink r:id="rId36" w:history="1">
        <w:r w:rsidRPr="00B66F49">
          <w:rPr>
            <w:rStyle w:val="Hypertextovprepojenie"/>
            <w:bCs/>
            <w:iCs/>
          </w:rPr>
          <w:t>medializovanekauzy@mfsr.sk</w:t>
        </w:r>
      </w:hyperlink>
      <w:r w:rsidRPr="00B66F49">
        <w:t xml:space="preserve">, na ÚV SR na </w:t>
      </w:r>
      <w:r w:rsidRPr="00B66F49">
        <w:rPr>
          <w:rStyle w:val="Hypertextovprepojenie"/>
          <w:bCs/>
          <w:iCs/>
        </w:rPr>
        <w:t>eufondy@vlada.gov.sk</w:t>
      </w:r>
      <w:r w:rsidRPr="00B66F49">
        <w:rPr>
          <w:bCs/>
          <w:iCs/>
        </w:rPr>
        <w:t xml:space="preserve"> a na</w:t>
      </w:r>
      <w:r>
        <w:rPr>
          <w:bCs/>
          <w:iCs/>
        </w:rPr>
        <w:t xml:space="preserve"> Orgán zabezpečujúci ochranu finančných záujmov na e-mailovú adresu </w:t>
      </w:r>
      <w:hyperlink r:id="rId37" w:history="1">
        <w:r>
          <w:rPr>
            <w:rStyle w:val="Hypertextovprepojenie"/>
            <w:bCs/>
            <w:iCs/>
          </w:rPr>
          <w:t>nezrovnalosti@vlada.gov.sk</w:t>
        </w:r>
      </w:hyperlink>
      <w:r>
        <w:rPr>
          <w:bCs/>
          <w:iCs/>
        </w:rPr>
        <w:t>;</w:t>
      </w:r>
    </w:p>
    <w:p w14:paraId="16A14C64" w14:textId="17ECC38B" w:rsidR="00F94DD3" w:rsidRDefault="00F94DD3" w:rsidP="00227685">
      <w:pPr>
        <w:numPr>
          <w:ilvl w:val="0"/>
          <w:numId w:val="20"/>
        </w:numPr>
        <w:spacing w:before="120" w:after="120"/>
        <w:ind w:left="851" w:hanging="425"/>
        <w:jc w:val="both"/>
        <w:rPr>
          <w:bCs/>
          <w:iCs/>
        </w:rPr>
      </w:pPr>
      <w:r w:rsidRPr="00F94DD3">
        <w:rPr>
          <w:bCs/>
          <w:iCs/>
        </w:rPr>
        <w:t>zasiela výsledky zo všetkých auditov a</w:t>
      </w:r>
      <w:r w:rsidRPr="001B709E">
        <w:rPr>
          <w:bCs/>
          <w:iCs/>
        </w:rPr>
        <w:t> </w:t>
      </w:r>
      <w:r w:rsidRPr="00F94DD3">
        <w:rPr>
          <w:bCs/>
          <w:iCs/>
        </w:rPr>
        <w:t>kontrol do 5 pracovných dní od ich ukončenia a Opis systémov riadenia a</w:t>
      </w:r>
      <w:r w:rsidRPr="001B709E">
        <w:rPr>
          <w:bCs/>
          <w:iCs/>
        </w:rPr>
        <w:t> </w:t>
      </w:r>
      <w:r w:rsidRPr="00F94DD3">
        <w:rPr>
          <w:bCs/>
          <w:iCs/>
        </w:rPr>
        <w:t>kontroly</w:t>
      </w:r>
      <w:r w:rsidRPr="001B709E">
        <w:rPr>
          <w:bCs/>
          <w:iCs/>
        </w:rPr>
        <w:t xml:space="preserve"> </w:t>
      </w:r>
      <w:r w:rsidRPr="00F94DD3">
        <w:rPr>
          <w:bCs/>
          <w:iCs/>
        </w:rPr>
        <w:t xml:space="preserve">do 1 mesiaca od jeho aktualizácie na emailovú adresu </w:t>
      </w:r>
      <w:hyperlink r:id="rId38" w:history="1">
        <w:r w:rsidR="008C36CB" w:rsidRPr="00556762">
          <w:rPr>
            <w:rStyle w:val="Hypertextovprepojenie"/>
          </w:rPr>
          <w:t>nms@vicperemier.gov.sk</w:t>
        </w:r>
      </w:hyperlink>
      <w:r>
        <w:rPr>
          <w:rStyle w:val="Odkaznapoznmkupodiarou"/>
          <w:bCs/>
          <w:iCs/>
        </w:rPr>
        <w:footnoteReference w:id="18"/>
      </w:r>
      <w:r>
        <w:rPr>
          <w:bCs/>
          <w:iCs/>
        </w:rPr>
        <w:t>;</w:t>
      </w:r>
    </w:p>
    <w:p w14:paraId="44FC614F" w14:textId="77777777" w:rsidR="00B650E5" w:rsidRDefault="00B650E5" w:rsidP="00227685">
      <w:pPr>
        <w:numPr>
          <w:ilvl w:val="0"/>
          <w:numId w:val="20"/>
        </w:numPr>
        <w:spacing w:before="120" w:after="120"/>
        <w:ind w:left="851" w:hanging="425"/>
        <w:jc w:val="both"/>
        <w:rPr>
          <w:bCs/>
          <w:iCs/>
        </w:rPr>
      </w:pPr>
      <w:r>
        <w:rPr>
          <w:bCs/>
          <w:iCs/>
        </w:rPr>
        <w:t>zriaďuje MV pre OP;</w:t>
      </w:r>
    </w:p>
    <w:p w14:paraId="212DEA65" w14:textId="77777777" w:rsidR="00B650E5" w:rsidRDefault="00B650E5" w:rsidP="00227685">
      <w:pPr>
        <w:numPr>
          <w:ilvl w:val="0"/>
          <w:numId w:val="20"/>
        </w:numPr>
        <w:spacing w:before="120" w:after="120"/>
        <w:ind w:left="851" w:hanging="425"/>
        <w:jc w:val="both"/>
        <w:rPr>
          <w:bCs/>
          <w:iCs/>
        </w:rPr>
      </w:pPr>
      <w:r>
        <w:rPr>
          <w:bCs/>
          <w:iCs/>
        </w:rPr>
        <w:t>pripravuje návrh štatútu</w:t>
      </w:r>
      <w:r>
        <w:rPr>
          <w:rStyle w:val="Odkaznapoznmkupodiarou"/>
          <w:bCs/>
          <w:iCs/>
        </w:rPr>
        <w:footnoteReference w:id="19"/>
      </w:r>
      <w:r>
        <w:rPr>
          <w:bCs/>
          <w:iCs/>
        </w:rPr>
        <w:t xml:space="preserve"> a rokovacieho poriadku</w:t>
      </w:r>
      <w:r>
        <w:rPr>
          <w:rStyle w:val="Odkaznapoznmkupodiarou"/>
          <w:bCs/>
          <w:iCs/>
        </w:rPr>
        <w:footnoteReference w:id="20"/>
      </w:r>
      <w:r>
        <w:rPr>
          <w:bCs/>
          <w:iCs/>
        </w:rPr>
        <w:t xml:space="preserve"> MV pri rešpektovaní minimálnych požiadaviek na obsahovú štruktúru podľa vzoru vydanom CKO; </w:t>
      </w:r>
    </w:p>
    <w:p w14:paraId="7985DE3C" w14:textId="77777777" w:rsidR="00B650E5" w:rsidRDefault="00B650E5" w:rsidP="00227685">
      <w:pPr>
        <w:numPr>
          <w:ilvl w:val="0"/>
          <w:numId w:val="20"/>
        </w:numPr>
        <w:spacing w:before="120" w:after="120"/>
        <w:ind w:left="851" w:hanging="425"/>
        <w:jc w:val="both"/>
        <w:rPr>
          <w:bCs/>
          <w:iCs/>
        </w:rPr>
      </w:pPr>
      <w:r>
        <w:rPr>
          <w:bCs/>
          <w:iCs/>
        </w:rPr>
        <w:lastRenderedPageBreak/>
        <w:t>spolupracuje s gestorom HP v rozsahu potrebnom na správne zohľadnenie uplatňovania HP v rámci OP;</w:t>
      </w:r>
    </w:p>
    <w:p w14:paraId="1FAB90D2" w14:textId="77777777" w:rsidR="00B650E5" w:rsidRDefault="00B650E5" w:rsidP="00227685">
      <w:pPr>
        <w:numPr>
          <w:ilvl w:val="0"/>
          <w:numId w:val="20"/>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14:paraId="13DF86DB" w14:textId="77777777" w:rsidR="00B650E5" w:rsidRDefault="00B650E5" w:rsidP="00227685">
      <w:pPr>
        <w:numPr>
          <w:ilvl w:val="0"/>
          <w:numId w:val="20"/>
        </w:numPr>
        <w:spacing w:before="120" w:after="120"/>
        <w:ind w:left="851" w:hanging="425"/>
        <w:jc w:val="both"/>
        <w:rPr>
          <w:bCs/>
          <w:iCs/>
        </w:rPr>
      </w:pPr>
      <w:r>
        <w:rPr>
          <w:bCs/>
          <w:iCs/>
        </w:rPr>
        <w:t xml:space="preserve">predkladá orgánu auditu na e-mailovú adresu: </w:t>
      </w:r>
      <w:hyperlink r:id="rId39"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14:paraId="01454CBD" w14:textId="77777777" w:rsidR="00B650E5" w:rsidRDefault="00B650E5" w:rsidP="00227685">
      <w:pPr>
        <w:numPr>
          <w:ilvl w:val="0"/>
          <w:numId w:val="20"/>
        </w:numPr>
        <w:spacing w:before="120" w:after="120"/>
        <w:ind w:left="851" w:hanging="425"/>
        <w:jc w:val="both"/>
        <w:rPr>
          <w:bCs/>
          <w:iCs/>
        </w:rPr>
      </w:pPr>
      <w:r>
        <w:rPr>
          <w:bCs/>
          <w:iCs/>
        </w:rPr>
        <w:t>je oprávnený zriaďovať pracovné skupiny za účelom zabezpečenia efektívnej implementácie OP alebo jeho časti (napr. pre potreby zabezpečenia prípravy a implementácie integrovaného prístupu k územnému rozvoju);</w:t>
      </w:r>
    </w:p>
    <w:p w14:paraId="5A9DA595" w14:textId="77777777" w:rsidR="00B650E5" w:rsidRDefault="00B650E5" w:rsidP="00DE5D89">
      <w:pPr>
        <w:numPr>
          <w:ilvl w:val="0"/>
          <w:numId w:val="20"/>
        </w:numPr>
        <w:spacing w:before="120" w:after="120"/>
        <w:ind w:left="851" w:hanging="425"/>
        <w:jc w:val="both"/>
        <w:rPr>
          <w:bCs/>
          <w:iCs/>
        </w:rPr>
      </w:pPr>
      <w:bookmarkStart w:id="75" w:name="kapitola_1321_ods_3_n"/>
      <w:r>
        <w:rPr>
          <w:bCs/>
          <w:iCs/>
        </w:rPr>
        <w:t>je povinný nastaviť postupy na zabezpečenie primeraného vykonávania riadenia rizika</w:t>
      </w:r>
      <w:r>
        <w:rPr>
          <w:rStyle w:val="Odkaznapoznmkupodiarou"/>
          <w:bCs/>
          <w:iCs/>
        </w:rPr>
        <w:footnoteReference w:id="21"/>
      </w:r>
      <w:r>
        <w:rPr>
          <w:bCs/>
          <w:iCs/>
        </w:rPr>
        <w:t xml:space="preserve"> </w:t>
      </w:r>
      <w:r>
        <w:rPr>
          <w:bCs/>
          <w:iCs/>
        </w:rPr>
        <w:br/>
        <w:t>v prípade potreby, a najmä v prípade významných zmien činností;</w:t>
      </w:r>
    </w:p>
    <w:bookmarkEnd w:id="75"/>
    <w:p w14:paraId="6CE62470" w14:textId="77777777" w:rsidR="00B650E5" w:rsidRPr="00946874" w:rsidRDefault="00B650E5" w:rsidP="00DE5D89">
      <w:pPr>
        <w:numPr>
          <w:ilvl w:val="0"/>
          <w:numId w:val="20"/>
        </w:numPr>
        <w:spacing w:before="120" w:after="120"/>
        <w:ind w:left="851" w:hanging="425"/>
        <w:jc w:val="both"/>
        <w:rPr>
          <w:bCs/>
          <w:iCs/>
        </w:rPr>
      </w:pPr>
      <w:r>
        <w:rPr>
          <w:bCs/>
          <w:iCs/>
        </w:rPr>
        <w:t xml:space="preserve">vypracúva </w:t>
      </w:r>
      <w:r w:rsidRPr="00487880">
        <w:t>záväzný plán, ktorý obsahuje časový harmonogram a finančný harmonogram poskytovania finančných prostriedkov určených pre operačný program a plán napĺňania cieľov operačného programu</w:t>
      </w:r>
      <w:r>
        <w:t xml:space="preserve"> a predkladá ho na schválenie CKO;</w:t>
      </w:r>
    </w:p>
    <w:p w14:paraId="5410C3CA" w14:textId="77777777" w:rsidR="00B650E5" w:rsidRDefault="00B650E5" w:rsidP="00946874">
      <w:pPr>
        <w:numPr>
          <w:ilvl w:val="0"/>
          <w:numId w:val="20"/>
        </w:numPr>
        <w:spacing w:before="120" w:after="120"/>
        <w:ind w:left="851" w:hanging="425"/>
        <w:jc w:val="both"/>
        <w:rPr>
          <w:bCs/>
          <w:iCs/>
        </w:rPr>
      </w:pPr>
      <w:r>
        <w:rPr>
          <w:bCs/>
          <w:iCs/>
        </w:rPr>
        <w:t xml:space="preserve">predkladá na schválenie CKO </w:t>
      </w:r>
      <w:r w:rsidRPr="008F541A">
        <w:t>výzvy</w:t>
      </w:r>
      <w:r>
        <w:t xml:space="preserve"> </w:t>
      </w:r>
      <w:r w:rsidRPr="008F541A">
        <w:t>vrátane výziev v rámci operačných programov cezhraničnej spolupráce, výzvy na</w:t>
      </w:r>
      <w:r>
        <w:t> </w:t>
      </w:r>
      <w:r w:rsidRPr="008F541A">
        <w:t>predkladanie projektových zámerov a vyzvania na</w:t>
      </w:r>
      <w:r w:rsidR="00B31279">
        <w:t> </w:t>
      </w:r>
      <w:r w:rsidRPr="008F541A">
        <w:t>predloženie národných projektov, na predloženie veľkých projektov a na predloženie projektov technickej pomoci</w:t>
      </w:r>
      <w:r>
        <w:t xml:space="preserve"> </w:t>
      </w:r>
      <w:r w:rsidRPr="008F541A">
        <w:t>pred ich vyhlásením</w:t>
      </w:r>
      <w:r>
        <w:t>;</w:t>
      </w:r>
      <w:r w:rsidRPr="00946874">
        <w:rPr>
          <w:bCs/>
          <w:iCs/>
        </w:rPr>
        <w:t xml:space="preserve"> </w:t>
      </w:r>
    </w:p>
    <w:p w14:paraId="2233F3D4" w14:textId="77777777" w:rsidR="00B650E5" w:rsidRPr="0078478E" w:rsidRDefault="00B650E5" w:rsidP="00946874">
      <w:pPr>
        <w:numPr>
          <w:ilvl w:val="0"/>
          <w:numId w:val="20"/>
        </w:numPr>
        <w:spacing w:before="120" w:after="120"/>
        <w:ind w:left="851" w:hanging="425"/>
        <w:jc w:val="both"/>
        <w:rPr>
          <w:bCs/>
          <w:iCs/>
        </w:rPr>
      </w:pPr>
      <w:r>
        <w:t>z</w:t>
      </w:r>
      <w:r w:rsidRPr="005243B9">
        <w:t>abezpečuje súčinnosť subjektov zapojených do procesu monitorovania a kontroly na úrovni OP</w:t>
      </w:r>
      <w:r>
        <w:t>;</w:t>
      </w:r>
    </w:p>
    <w:p w14:paraId="4F53124E" w14:textId="59A9259A" w:rsidR="0078478E" w:rsidRPr="00946874" w:rsidRDefault="0078478E" w:rsidP="00556762">
      <w:pPr>
        <w:numPr>
          <w:ilvl w:val="0"/>
          <w:numId w:val="20"/>
        </w:numPr>
        <w:spacing w:before="120" w:after="120"/>
        <w:ind w:left="851" w:hanging="425"/>
        <w:jc w:val="both"/>
        <w:rPr>
          <w:bCs/>
          <w:iCs/>
        </w:rPr>
      </w:pPr>
      <w:r>
        <w:t>nahlasuje PMÚ ako koordinátorovi štátnej pomoci 2 kontaktné osoby (za každé RO aj SO),</w:t>
      </w:r>
      <w:r w:rsidRPr="0078478E">
        <w:t xml:space="preserve"> zodpovedné za</w:t>
      </w:r>
      <w:r>
        <w:t> </w:t>
      </w:r>
      <w:r w:rsidRPr="0078478E">
        <w:t>oblasť štátnej pomoci a minimálnej pomoci</w:t>
      </w:r>
      <w:r>
        <w:t>, prípadne ich zmenu;</w:t>
      </w:r>
    </w:p>
    <w:p w14:paraId="3E1DBE85" w14:textId="77777777" w:rsidR="00B650E5" w:rsidRDefault="00B650E5">
      <w:pPr>
        <w:numPr>
          <w:ilvl w:val="0"/>
          <w:numId w:val="20"/>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14:paraId="1622B821" w14:textId="77777777" w:rsidR="00B650E5" w:rsidRDefault="00B650E5" w:rsidP="00172982">
      <w:pPr>
        <w:numPr>
          <w:ilvl w:val="0"/>
          <w:numId w:val="68"/>
        </w:numPr>
        <w:spacing w:before="120" w:after="120"/>
        <w:ind w:left="426" w:hanging="426"/>
        <w:jc w:val="both"/>
        <w:rPr>
          <w:szCs w:val="22"/>
        </w:rPr>
      </w:pPr>
      <w:r>
        <w:rPr>
          <w:szCs w:val="22"/>
        </w:rPr>
        <w:t>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dezignácie).</w:t>
      </w:r>
    </w:p>
    <w:p w14:paraId="4CFE8C39" w14:textId="77777777" w:rsidR="00B650E5" w:rsidRDefault="00B650E5" w:rsidP="00172982">
      <w:pPr>
        <w:numPr>
          <w:ilvl w:val="0"/>
          <w:numId w:val="68"/>
        </w:numPr>
        <w:spacing w:before="120" w:after="120"/>
        <w:ind w:left="426" w:hanging="426"/>
        <w:jc w:val="both"/>
        <w:rPr>
          <w:szCs w:val="22"/>
        </w:rPr>
      </w:pPr>
      <w:r w:rsidRPr="009078F6">
        <w:rPr>
          <w:szCs w:val="22"/>
        </w:rPr>
        <w:t xml:space="preserve">RO je povinný v prípade delegovania úloh </w:t>
      </w:r>
      <w:r w:rsidRPr="00172982">
        <w:rPr>
          <w:szCs w:val="22"/>
        </w:rPr>
        <w:t>na SO (zmluvou uzavretou podľa čl. 123 ods. 6 všeobecného nariadenia) overiť dostatočnosť kapacít a nastavených postupov SO</w:t>
      </w:r>
      <w:r w:rsidR="006F3B93">
        <w:rPr>
          <w:szCs w:val="22"/>
        </w:rPr>
        <w:t>,</w:t>
      </w:r>
      <w:r w:rsidRPr="00172982">
        <w:rPr>
          <w:szCs w:val="22"/>
        </w:rPr>
        <w:t xml:space="preserve"> a to najneskôr</w:t>
      </w:r>
      <w:r>
        <w:rPr>
          <w:szCs w:val="22"/>
        </w:rPr>
        <w:t xml:space="preserve"> pred reálnym výkonom delegovaných úloh. Pre účely tohto overenia slúžia najmä nasledovné podklady: </w:t>
      </w:r>
    </w:p>
    <w:p w14:paraId="5C56566C" w14:textId="77777777" w:rsidR="00B650E5" w:rsidRDefault="00B650E5">
      <w:pPr>
        <w:numPr>
          <w:ilvl w:val="0"/>
          <w:numId w:val="70"/>
        </w:numPr>
        <w:spacing w:before="120" w:after="120"/>
        <w:ind w:left="851" w:hanging="425"/>
        <w:jc w:val="both"/>
        <w:rPr>
          <w:bCs/>
          <w:iCs/>
        </w:rPr>
      </w:pPr>
      <w:r>
        <w:rPr>
          <w:bCs/>
          <w:iCs/>
        </w:rPr>
        <w:t xml:space="preserve">organizačná schéma SO; </w:t>
      </w:r>
    </w:p>
    <w:p w14:paraId="773E66C4" w14:textId="77777777" w:rsidR="00B650E5" w:rsidRDefault="00B650E5">
      <w:pPr>
        <w:numPr>
          <w:ilvl w:val="0"/>
          <w:numId w:val="70"/>
        </w:numPr>
        <w:spacing w:before="120" w:after="120"/>
        <w:ind w:left="851" w:hanging="425"/>
        <w:jc w:val="both"/>
        <w:rPr>
          <w:bCs/>
          <w:iCs/>
        </w:rPr>
      </w:pPr>
      <w:r>
        <w:rPr>
          <w:bCs/>
          <w:iCs/>
        </w:rPr>
        <w:t xml:space="preserve">pridelenie úloh jednotlivým oddeleniam v rámci SO; </w:t>
      </w:r>
    </w:p>
    <w:p w14:paraId="2FF95EDF" w14:textId="77777777" w:rsidR="00B650E5" w:rsidRDefault="00B650E5">
      <w:pPr>
        <w:numPr>
          <w:ilvl w:val="0"/>
          <w:numId w:val="70"/>
        </w:numPr>
        <w:spacing w:before="120" w:after="120"/>
        <w:ind w:left="851" w:hanging="425"/>
        <w:jc w:val="both"/>
        <w:rPr>
          <w:bCs/>
          <w:iCs/>
        </w:rPr>
      </w:pPr>
      <w:r>
        <w:rPr>
          <w:bCs/>
          <w:iCs/>
        </w:rPr>
        <w:lastRenderedPageBreak/>
        <w:t xml:space="preserve">počet vyčlenených pracovných miest; </w:t>
      </w:r>
    </w:p>
    <w:p w14:paraId="0CB9599F" w14:textId="77777777" w:rsidR="00B650E5" w:rsidRDefault="00B650E5">
      <w:pPr>
        <w:numPr>
          <w:ilvl w:val="0"/>
          <w:numId w:val="70"/>
        </w:numPr>
        <w:spacing w:before="120" w:after="120"/>
        <w:ind w:left="851" w:hanging="425"/>
        <w:jc w:val="both"/>
        <w:rPr>
          <w:bCs/>
          <w:iCs/>
        </w:rPr>
      </w:pPr>
      <w:r>
        <w:rPr>
          <w:bCs/>
          <w:iCs/>
        </w:rPr>
        <w:t xml:space="preserve">písomné postupy vypracované na používanie zamestnancami SO; </w:t>
      </w:r>
    </w:p>
    <w:p w14:paraId="3DAFDC9D" w14:textId="77777777" w:rsidR="00B650E5" w:rsidRDefault="00B650E5">
      <w:pPr>
        <w:numPr>
          <w:ilvl w:val="0"/>
          <w:numId w:val="70"/>
        </w:numPr>
        <w:spacing w:before="120" w:after="120"/>
        <w:ind w:left="851" w:hanging="425"/>
        <w:jc w:val="both"/>
        <w:rPr>
          <w:bCs/>
          <w:iCs/>
        </w:rPr>
      </w:pPr>
      <w:r>
        <w:rPr>
          <w:bCs/>
          <w:iCs/>
        </w:rPr>
        <w:t>spôsob oboznamovania možných prijímateľov s podmienkami poskytnutia príspevku v</w:t>
      </w:r>
      <w:r w:rsidR="00B31279">
        <w:rPr>
          <w:bCs/>
          <w:iCs/>
        </w:rPr>
        <w:t> </w:t>
      </w:r>
      <w:r>
        <w:rPr>
          <w:bCs/>
          <w:iCs/>
        </w:rPr>
        <w:t xml:space="preserve">prípade relevantnosti; </w:t>
      </w:r>
    </w:p>
    <w:p w14:paraId="1EAF4130" w14:textId="77777777" w:rsidR="00B650E5" w:rsidRDefault="00B650E5">
      <w:pPr>
        <w:numPr>
          <w:ilvl w:val="0"/>
          <w:numId w:val="70"/>
        </w:numPr>
        <w:spacing w:before="120" w:after="120"/>
        <w:ind w:left="851" w:hanging="425"/>
        <w:jc w:val="both"/>
        <w:rPr>
          <w:bCs/>
          <w:iCs/>
        </w:rPr>
      </w:pPr>
      <w:r>
        <w:rPr>
          <w:bCs/>
          <w:iCs/>
        </w:rPr>
        <w:t xml:space="preserve">podmienky výberu projektov pre realizáciu OP v prípade relevantnosti; </w:t>
      </w:r>
    </w:p>
    <w:p w14:paraId="44649339" w14:textId="77777777" w:rsidR="00B650E5" w:rsidRDefault="00B650E5">
      <w:pPr>
        <w:numPr>
          <w:ilvl w:val="0"/>
          <w:numId w:val="70"/>
        </w:numPr>
        <w:spacing w:before="120" w:after="120"/>
        <w:ind w:left="851" w:hanging="425"/>
        <w:jc w:val="both"/>
        <w:rPr>
          <w:bCs/>
          <w:iCs/>
        </w:rPr>
      </w:pPr>
      <w:r>
        <w:rPr>
          <w:bCs/>
          <w:iCs/>
        </w:rPr>
        <w:t xml:space="preserve">postupy administratívnej finančnej kontroly a finančnej kontroly na mieste v prípade relevantnosti; </w:t>
      </w:r>
    </w:p>
    <w:p w14:paraId="6170C1CE" w14:textId="77777777" w:rsidR="00B650E5" w:rsidRDefault="00B650E5">
      <w:pPr>
        <w:numPr>
          <w:ilvl w:val="0"/>
          <w:numId w:val="70"/>
        </w:numPr>
        <w:spacing w:before="120" w:after="120"/>
        <w:ind w:left="851" w:hanging="425"/>
        <w:jc w:val="both"/>
        <w:rPr>
          <w:bCs/>
          <w:iCs/>
        </w:rPr>
      </w:pPr>
      <w:r>
        <w:rPr>
          <w:bCs/>
          <w:iCs/>
        </w:rPr>
        <w:t xml:space="preserve">postupy vedenia účtov a postupy pre platby prijímateľom v prípade relevantnosti; </w:t>
      </w:r>
    </w:p>
    <w:p w14:paraId="3DC7DC58" w14:textId="77777777" w:rsidR="00B650E5" w:rsidRDefault="00B650E5">
      <w:pPr>
        <w:numPr>
          <w:ilvl w:val="0"/>
          <w:numId w:val="70"/>
        </w:numPr>
        <w:spacing w:before="120" w:after="120"/>
        <w:ind w:left="851" w:hanging="425"/>
        <w:jc w:val="both"/>
        <w:rPr>
          <w:bCs/>
          <w:iCs/>
        </w:rPr>
      </w:pPr>
      <w:r>
        <w:rPr>
          <w:bCs/>
          <w:iCs/>
        </w:rPr>
        <w:t xml:space="preserve">preukázanie finančnej stability v prípade relevantnosti. </w:t>
      </w:r>
    </w:p>
    <w:p w14:paraId="375CF403" w14:textId="77777777" w:rsidR="00B650E5" w:rsidRDefault="00B650E5" w:rsidP="00DE5D89">
      <w:pPr>
        <w:spacing w:before="120" w:after="120"/>
        <w:ind w:left="426"/>
        <w:jc w:val="both"/>
        <w:rPr>
          <w:bCs/>
          <w:iCs/>
        </w:rPr>
      </w:pPr>
      <w:r w:rsidRPr="004A5213">
        <w:rPr>
          <w:bCs/>
          <w:iCs/>
        </w:rPr>
        <w:t xml:space="preserve">Na základe relevantných podkladov RO vykoná overenie dostatočnosti kapacít a nastavených </w:t>
      </w:r>
      <w:r w:rsidRPr="003120E4">
        <w:rPr>
          <w:bCs/>
          <w:iCs/>
        </w:rPr>
        <w:t>postupov</w:t>
      </w:r>
      <w:r w:rsidRPr="004A5213">
        <w:rPr>
          <w:bCs/>
          <w:iCs/>
        </w:rPr>
        <w:t>. V prípade</w:t>
      </w:r>
      <w:r>
        <w:rPr>
          <w:bCs/>
          <w:iCs/>
        </w:rPr>
        <w:t>, ak bola niektorá skutočnosť overená na základe neúplnej dokumentácie, resp. dokumentácie, ktorá bola dopracovaná, po finalizácii týchto dokumentov RO dodatočne overí skutočnosti preukazované týmito dokumentmi.</w:t>
      </w:r>
    </w:p>
    <w:p w14:paraId="0409DAFB" w14:textId="77777777" w:rsidR="00B650E5" w:rsidRDefault="00B650E5" w:rsidP="00172982">
      <w:pPr>
        <w:numPr>
          <w:ilvl w:val="0"/>
          <w:numId w:val="68"/>
        </w:numPr>
        <w:spacing w:before="120" w:after="120"/>
        <w:ind w:left="426" w:hanging="426"/>
        <w:jc w:val="both"/>
        <w:rPr>
          <w:szCs w:val="22"/>
        </w:rPr>
      </w:pPr>
      <w:r>
        <w:rPr>
          <w:szCs w:val="22"/>
        </w:rPr>
        <w:t>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w:t>
      </w:r>
      <w:r w:rsidR="006F3B93">
        <w:rPr>
          <w:szCs w:val="22"/>
        </w:rPr>
        <w:t>,</w:t>
      </w:r>
      <w:r>
        <w:rPr>
          <w:szCs w:val="22"/>
        </w:rPr>
        <w:t xml:space="preserve"> a to najmä: </w:t>
      </w:r>
    </w:p>
    <w:p w14:paraId="09227207" w14:textId="77777777" w:rsidR="00B650E5" w:rsidRDefault="00B650E5">
      <w:pPr>
        <w:numPr>
          <w:ilvl w:val="0"/>
          <w:numId w:val="19"/>
        </w:numPr>
        <w:spacing w:before="120" w:after="120"/>
        <w:ind w:left="851" w:hanging="425"/>
        <w:jc w:val="both"/>
        <w:rPr>
          <w:szCs w:val="22"/>
        </w:rPr>
      </w:pPr>
      <w:r>
        <w:rPr>
          <w:szCs w:val="22"/>
        </w:rPr>
        <w:t>na základe písomných správ SO vyžiadaných RO;</w:t>
      </w:r>
    </w:p>
    <w:p w14:paraId="097D3BC8" w14:textId="77777777" w:rsidR="00B650E5" w:rsidRDefault="00B650E5">
      <w:pPr>
        <w:numPr>
          <w:ilvl w:val="0"/>
          <w:numId w:val="19"/>
        </w:numPr>
        <w:spacing w:before="120" w:after="120"/>
        <w:ind w:left="851" w:hanging="425"/>
        <w:jc w:val="both"/>
        <w:rPr>
          <w:szCs w:val="22"/>
        </w:rPr>
      </w:pPr>
      <w:r>
        <w:rPr>
          <w:szCs w:val="22"/>
        </w:rPr>
        <w:t>na základe správ z auditov a kontrol;</w:t>
      </w:r>
    </w:p>
    <w:p w14:paraId="246B14D7" w14:textId="77777777" w:rsidR="00B650E5" w:rsidRDefault="00B650E5">
      <w:pPr>
        <w:numPr>
          <w:ilvl w:val="0"/>
          <w:numId w:val="19"/>
        </w:numPr>
        <w:spacing w:before="120" w:after="120"/>
        <w:ind w:left="851" w:hanging="425"/>
        <w:jc w:val="both"/>
        <w:rPr>
          <w:szCs w:val="22"/>
        </w:rPr>
      </w:pPr>
      <w:r>
        <w:rPr>
          <w:szCs w:val="22"/>
        </w:rPr>
        <w:t>vyžiadaním podkladov súvisiacich s výkonom úloh od SO a ich analýzou;</w:t>
      </w:r>
    </w:p>
    <w:p w14:paraId="3B0B43E3" w14:textId="77777777" w:rsidR="00B650E5" w:rsidRDefault="00B650E5">
      <w:pPr>
        <w:numPr>
          <w:ilvl w:val="0"/>
          <w:numId w:val="19"/>
        </w:numPr>
        <w:spacing w:before="120" w:after="120"/>
        <w:ind w:left="851" w:hanging="425"/>
        <w:jc w:val="both"/>
        <w:rPr>
          <w:szCs w:val="22"/>
        </w:rPr>
      </w:pPr>
      <w:r>
        <w:rPr>
          <w:szCs w:val="22"/>
        </w:rPr>
        <w:t xml:space="preserve">kontrolami v priestoroch SO alebo v iných priestoroch, kde prebieha výkon úloh SO. </w:t>
      </w:r>
    </w:p>
    <w:p w14:paraId="3A3835C1" w14:textId="77777777" w:rsidR="00B650E5" w:rsidRDefault="00B650E5" w:rsidP="00172982">
      <w:pPr>
        <w:numPr>
          <w:ilvl w:val="0"/>
          <w:numId w:val="68"/>
        </w:numPr>
        <w:spacing w:before="120" w:after="120"/>
        <w:ind w:left="426" w:hanging="426"/>
        <w:jc w:val="both"/>
        <w:rPr>
          <w:szCs w:val="22"/>
        </w:rPr>
      </w:pPr>
      <w:r>
        <w:rPr>
          <w:szCs w:val="22"/>
        </w:rPr>
        <w:t>RO zabezpečí, aby bol v prípade vzniku dôvodov uvedených v písomnej zmluve oprávnený čiastočne, alebo v celom rozsahu od tejto zmluvy odstúpiť</w:t>
      </w:r>
      <w:r w:rsidR="006F3B93">
        <w:rPr>
          <w:szCs w:val="22"/>
        </w:rPr>
        <w:t xml:space="preserve">, </w:t>
      </w:r>
      <w:r>
        <w:rPr>
          <w:szCs w:val="22"/>
        </w:rPr>
        <w:t>a to najmä v prípadoch zistenia nedostatkov pri plnení úloh, neprijatia opatrení na ich nápravu zo strany SO</w:t>
      </w:r>
      <w:r>
        <w:t xml:space="preserve"> </w:t>
      </w:r>
      <w:r>
        <w:rPr>
          <w:szCs w:val="22"/>
        </w:rPr>
        <w:t>v lehote stanovenej RO, ich nedostatočnosti alebo pri opakovanom zistení rovnakých nedostatkov.</w:t>
      </w:r>
    </w:p>
    <w:p w14:paraId="1973023C" w14:textId="77777777" w:rsidR="00B650E5" w:rsidRDefault="00B650E5" w:rsidP="00172982">
      <w:pPr>
        <w:numPr>
          <w:ilvl w:val="0"/>
          <w:numId w:val="68"/>
        </w:numPr>
        <w:spacing w:before="120" w:after="120"/>
        <w:ind w:left="426" w:hanging="426"/>
        <w:jc w:val="both"/>
        <w:rPr>
          <w:szCs w:val="22"/>
        </w:rPr>
      </w:pPr>
      <w:r>
        <w:rPr>
          <w:szCs w:val="22"/>
        </w:rPr>
        <w:t>RO je povinný v prípade odstúpenia od písomnej zmluvy, alebo čiastočného obmedzenia výkonu delegovaných úloh zabezpečiť kontinuálne vykonávanie takto obmedzených úloh iným spôsobom. O tejto skutočnosti informuje RO vládu SR.</w:t>
      </w:r>
    </w:p>
    <w:p w14:paraId="6C297875" w14:textId="77777777" w:rsidR="00B650E5" w:rsidRDefault="00B650E5" w:rsidP="00172982">
      <w:pPr>
        <w:numPr>
          <w:ilvl w:val="0"/>
          <w:numId w:val="68"/>
        </w:numPr>
        <w:spacing w:before="120" w:after="120"/>
        <w:ind w:left="426" w:hanging="426"/>
        <w:jc w:val="both"/>
        <w:rPr>
          <w:szCs w:val="22"/>
        </w:rPr>
      </w:pPr>
      <w:r>
        <w:rPr>
          <w:szCs w:val="22"/>
        </w:rPr>
        <w:t>RO je povinný uchovávať všetky dokumenty týkajúce sa prípravy a realizácie práv a povinností upravených v písomnej zmluve medzi RO a SO.</w:t>
      </w:r>
    </w:p>
    <w:p w14:paraId="0DFF1758" w14:textId="77777777" w:rsidR="00B650E5" w:rsidRDefault="00B650E5">
      <w:pPr>
        <w:numPr>
          <w:ilvl w:val="0"/>
          <w:numId w:val="68"/>
        </w:numPr>
        <w:spacing w:before="120" w:after="120"/>
        <w:ind w:left="426" w:hanging="426"/>
        <w:jc w:val="both"/>
        <w:rPr>
          <w:szCs w:val="22"/>
        </w:rPr>
      </w:pPr>
      <w:r>
        <w:rPr>
          <w:szCs w:val="22"/>
        </w:rPr>
        <w:t>RO v súlade s § 7 ods. 9 zákona o príspevku z EŠIF vypracováva na ročnej báze plán kontrahovania, čerpania a dosahovania výsledkov OP.</w:t>
      </w:r>
    </w:p>
    <w:p w14:paraId="0E2F41BF" w14:textId="77777777" w:rsidR="00AC2030" w:rsidRDefault="00AC2030">
      <w:pPr>
        <w:numPr>
          <w:ilvl w:val="0"/>
          <w:numId w:val="68"/>
        </w:numPr>
        <w:spacing w:before="120" w:after="120"/>
        <w:ind w:left="426" w:hanging="426"/>
        <w:jc w:val="both"/>
        <w:rPr>
          <w:szCs w:val="22"/>
        </w:rPr>
      </w:pPr>
      <w:r w:rsidRPr="00425EE0">
        <w:rPr>
          <w:szCs w:val="22"/>
        </w:rPr>
        <w:t xml:space="preserve">RO je povinný v zmysle zákona o príspevku z EŠIF § 7 ods. 9 strpieť výkon </w:t>
      </w:r>
      <w:r>
        <w:rPr>
          <w:szCs w:val="22"/>
        </w:rPr>
        <w:t>krízového riadenia</w:t>
      </w:r>
      <w:r w:rsidRPr="00425EE0">
        <w:rPr>
          <w:szCs w:val="22"/>
        </w:rPr>
        <w:t xml:space="preserve"> vrátane prijímania nápravných opatrení navrhnutých CKO.</w:t>
      </w:r>
    </w:p>
    <w:p w14:paraId="45F9E765" w14:textId="77777777" w:rsidR="00B650E5" w:rsidRDefault="00B650E5" w:rsidP="0045286B">
      <w:pPr>
        <w:pStyle w:val="SRK4"/>
      </w:pPr>
      <w:bookmarkStart w:id="76" w:name="_Toc453233955"/>
      <w:bookmarkStart w:id="77" w:name="_Toc501630007"/>
      <w:r>
        <w:t>1.3.2.2 Sprostredkovateľský orgán</w:t>
      </w:r>
      <w:bookmarkEnd w:id="76"/>
      <w:bookmarkEnd w:id="77"/>
    </w:p>
    <w:p w14:paraId="1F2EF193" w14:textId="77777777" w:rsidR="00B650E5" w:rsidRDefault="00B650E5" w:rsidP="00172982">
      <w:pPr>
        <w:numPr>
          <w:ilvl w:val="0"/>
          <w:numId w:val="362"/>
        </w:numPr>
        <w:spacing w:before="120" w:after="120"/>
        <w:ind w:left="426" w:hanging="426"/>
        <w:jc w:val="both"/>
        <w:rPr>
          <w:szCs w:val="22"/>
        </w:rPr>
      </w:pPr>
      <w:r>
        <w:rPr>
          <w:szCs w:val="22"/>
        </w:rPr>
        <w:t>SO je subjekt určený vládou SR na návrh RO na plnenie niektorých alebo všetkých úloh RO v</w:t>
      </w:r>
      <w:r w:rsidR="00AC2030">
        <w:rPr>
          <w:szCs w:val="22"/>
        </w:rPr>
        <w:t> </w:t>
      </w:r>
      <w:r>
        <w:rPr>
          <w:szCs w:val="22"/>
        </w:rPr>
        <w:t xml:space="preserve">súlade s čl. 123 ods. 6 a 7 všeobecného nariadenia. </w:t>
      </w:r>
    </w:p>
    <w:p w14:paraId="66F64CBF" w14:textId="77777777" w:rsidR="00B650E5" w:rsidRDefault="00B650E5" w:rsidP="00172982">
      <w:pPr>
        <w:numPr>
          <w:ilvl w:val="0"/>
          <w:numId w:val="362"/>
        </w:numPr>
        <w:spacing w:before="120" w:after="120"/>
        <w:ind w:left="426" w:hanging="426"/>
        <w:jc w:val="both"/>
        <w:rPr>
          <w:szCs w:val="22"/>
        </w:rPr>
      </w:pPr>
      <w:r>
        <w:rPr>
          <w:szCs w:val="22"/>
        </w:rPr>
        <w:lastRenderedPageBreak/>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14:paraId="11EB2C02" w14:textId="77777777" w:rsidR="00B650E5" w:rsidRDefault="00B650E5" w:rsidP="00172982">
      <w:pPr>
        <w:numPr>
          <w:ilvl w:val="0"/>
          <w:numId w:val="362"/>
        </w:numPr>
        <w:spacing w:before="120" w:after="120"/>
        <w:ind w:left="426" w:hanging="426"/>
        <w:jc w:val="both"/>
        <w:rPr>
          <w:szCs w:val="22"/>
        </w:rPr>
      </w:pPr>
      <w:r>
        <w:rPr>
          <w:szCs w:val="22"/>
        </w:rPr>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overované nezávislým auditným subjektom v rámci postupu podľa článku 124 všeobecného nariadenia.</w:t>
      </w:r>
      <w:r>
        <w:t xml:space="preserve"> </w:t>
      </w:r>
    </w:p>
    <w:p w14:paraId="0603FC6E" w14:textId="77777777" w:rsidR="00B650E5" w:rsidRDefault="00B650E5" w:rsidP="00172982">
      <w:pPr>
        <w:numPr>
          <w:ilvl w:val="0"/>
          <w:numId w:val="362"/>
        </w:numPr>
        <w:spacing w:before="120" w:after="120"/>
        <w:ind w:left="426" w:hanging="426"/>
        <w:jc w:val="both"/>
        <w:rPr>
          <w:szCs w:val="22"/>
        </w:rPr>
      </w:pPr>
      <w:r>
        <w:rPr>
          <w:szCs w:val="22"/>
        </w:rPr>
        <w:t>V prípadoch, keď SO nie je orgánom verejnej správy, je výber SO podmienený vykonaním VO v</w:t>
      </w:r>
      <w:r w:rsidR="00B31279">
        <w:rPr>
          <w:szCs w:val="22"/>
        </w:rPr>
        <w:t> </w:t>
      </w:r>
      <w:r>
        <w:rPr>
          <w:szCs w:val="22"/>
        </w:rPr>
        <w:t xml:space="preserve">súlade so ZVO. </w:t>
      </w:r>
    </w:p>
    <w:p w14:paraId="61F7C82C" w14:textId="77777777" w:rsidR="00B650E5" w:rsidRDefault="00B650E5" w:rsidP="00172982">
      <w:pPr>
        <w:numPr>
          <w:ilvl w:val="0"/>
          <w:numId w:val="362"/>
        </w:numPr>
        <w:spacing w:before="120" w:after="120"/>
        <w:ind w:left="426" w:hanging="426"/>
        <w:jc w:val="both"/>
        <w:rPr>
          <w:szCs w:val="22"/>
        </w:rPr>
      </w:pPr>
      <w:r>
        <w:rPr>
          <w:szCs w:val="22"/>
        </w:rPr>
        <w:t>Vykonávanie úloh SO v súlade s ustanoveniami písomnej zmluvy nenahrádza konečnú zodpovednosť RO za riadnu implementáciu príslušného OP v zmysle podmienok daných príslušnou legislatívou EÚ a SR, Systémom riadenia EŠIF a Systémom finančného riadenia. V</w:t>
      </w:r>
      <w:r w:rsidR="00B31279">
        <w:rPr>
          <w:szCs w:val="22"/>
        </w:rPr>
        <w:t> </w:t>
      </w:r>
      <w:r>
        <w:rPr>
          <w:szCs w:val="22"/>
        </w:rPr>
        <w:t xml:space="preserve">prípade vzniku škody spôsobenej pri výkone, alebo v súvislosti s výkonom úloh je RO oprávnený uplatniť si voči SO regresný nárok v zmysle všeobecných predpisov o náhrade škody. </w:t>
      </w:r>
    </w:p>
    <w:p w14:paraId="79C7335F" w14:textId="77777777" w:rsidR="00B650E5" w:rsidRDefault="00B650E5" w:rsidP="00DE5D89">
      <w:pPr>
        <w:numPr>
          <w:ilvl w:val="0"/>
          <w:numId w:val="362"/>
        </w:numPr>
        <w:spacing w:before="120" w:after="120"/>
        <w:ind w:left="426" w:hanging="426"/>
        <w:jc w:val="both"/>
        <w:rPr>
          <w:szCs w:val="22"/>
        </w:rPr>
      </w:pPr>
      <w:r>
        <w:rPr>
          <w:szCs w:val="22"/>
        </w:rPr>
        <w:t>Ak niektoré z úloh delegovaných na SO plní SO na základe dohody a so súhlasom RO prostredníctvom tretej osoby (napr. priamo zriadená príspevková organizácia ministerstva), na</w:t>
      </w:r>
      <w:r w:rsidR="00B31279">
        <w:rPr>
          <w:szCs w:val="22"/>
        </w:rPr>
        <w:t> </w:t>
      </w:r>
      <w:r>
        <w:rPr>
          <w:szCs w:val="22"/>
        </w:rPr>
        <w:t>úrovni tretieho subjektu musí byť zabezpečené splnenie všetkých požiadaviek rovnako ako na</w:t>
      </w:r>
      <w:r w:rsidR="00B31279">
        <w:rPr>
          <w:szCs w:val="22"/>
        </w:rPr>
        <w:t> </w:t>
      </w:r>
      <w:r>
        <w:rPr>
          <w:szCs w:val="22"/>
        </w:rPr>
        <w:t>úrovni SO. RO musí mať právo výkonu kontroly na všetky úrovne takto definovanej implementačnej štruktúry.</w:t>
      </w:r>
    </w:p>
    <w:p w14:paraId="6A0AB939" w14:textId="77777777" w:rsidR="00B650E5" w:rsidRDefault="00B650E5" w:rsidP="0045286B">
      <w:pPr>
        <w:pStyle w:val="SRK4"/>
      </w:pPr>
      <w:bookmarkStart w:id="78" w:name="_Toc453233956"/>
      <w:bookmarkStart w:id="79" w:name="_Toc501630008"/>
      <w:r>
        <w:t>1.3.2.3   Monitorovací výbor</w:t>
      </w:r>
      <w:bookmarkEnd w:id="78"/>
      <w:bookmarkEnd w:id="79"/>
      <w:r>
        <w:t xml:space="preserve"> </w:t>
      </w:r>
    </w:p>
    <w:p w14:paraId="3870A755" w14:textId="77777777" w:rsidR="00B650E5" w:rsidRDefault="00B650E5">
      <w:pPr>
        <w:pStyle w:val="Odsekzoznamu"/>
        <w:numPr>
          <w:ilvl w:val="0"/>
          <w:numId w:val="66"/>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14:paraId="54D049BC" w14:textId="77777777" w:rsidR="00B650E5" w:rsidRDefault="00B650E5">
      <w:pPr>
        <w:pStyle w:val="Odsekzoznamu"/>
        <w:numPr>
          <w:ilvl w:val="0"/>
          <w:numId w:val="66"/>
        </w:numPr>
        <w:spacing w:before="120" w:after="120"/>
        <w:ind w:left="426" w:hanging="426"/>
        <w:contextualSpacing w:val="0"/>
        <w:jc w:val="both"/>
      </w:pPr>
      <w:r>
        <w:t>MV pre OP je zložený z predsedu, podpredsedu a ostatných členov. Predsedom MV je štatutárny orgán ústredného orgánu štátnej správy, v riadiacej pôsobnosti ktorého je príslušný RO. V prípade OP RH je predsedom MV generálny riaditeľ útvaru zabezpečujúceho implementáciu OP RH. Predseda MV vymenúva a odvoláva podpredsedu MV.</w:t>
      </w:r>
    </w:p>
    <w:p w14:paraId="55A993AD" w14:textId="77777777" w:rsidR="00B650E5" w:rsidRDefault="00B650E5">
      <w:pPr>
        <w:pStyle w:val="Odsekzoznamu"/>
        <w:numPr>
          <w:ilvl w:val="0"/>
          <w:numId w:val="66"/>
        </w:numPr>
        <w:spacing w:before="120" w:after="120"/>
        <w:ind w:left="426" w:hanging="426"/>
        <w:contextualSpacing w:val="0"/>
        <w:jc w:val="both"/>
      </w:pPr>
      <w:r w:rsidRPr="00AD420A">
        <w:t xml:space="preserve">Členmi monitorovacieho výboru sú zástupcovia </w:t>
      </w:r>
      <w:r>
        <w:t>RO</w:t>
      </w:r>
      <w:r w:rsidRPr="00AD420A">
        <w:t xml:space="preserve">, </w:t>
      </w:r>
      <w:r w:rsidR="00066A3D">
        <w:t xml:space="preserve">relevantných </w:t>
      </w:r>
      <w:r>
        <w:t>SO</w:t>
      </w:r>
      <w:r w:rsidRPr="00AD420A">
        <w:t xml:space="preserve">, ostatných organizácií štátnej správy </w:t>
      </w:r>
      <w:r>
        <w:t>(zástupcovia gestorov HP, zástupcovia programov EÚS identifikovaní k plneniu komplementarity a synergie k OP, zástupca CKO, CO)</w:t>
      </w:r>
      <w:r w:rsidRPr="00AD420A">
        <w:t xml:space="preserve"> a nimi zriadených alebo založených právnických osôb a </w:t>
      </w:r>
      <w:r>
        <w:t>zástupcovia ostatných subjektov (v</w:t>
      </w:r>
      <w:r w:rsidR="00066A3D">
        <w:t> </w:t>
      </w:r>
      <w:r>
        <w:t>súlade s čl. 5 všeobecného nariadenia).</w:t>
      </w:r>
      <w:r w:rsidRPr="00AD420A">
        <w:t xml:space="preserve"> Zloženie </w:t>
      </w:r>
      <w:r>
        <w:t>MV</w:t>
      </w:r>
      <w:r w:rsidRPr="00AD420A">
        <w:t xml:space="preserve"> upraví štatút tak, aby zástupcovia ostatných subjektov mali v moni</w:t>
      </w:r>
      <w:r>
        <w:t>torovacom výbore väčšinu hlasov najneskôr k 1.1.2018.</w:t>
      </w:r>
      <w:r w:rsidRPr="00AD420A">
        <w:t xml:space="preserve"> </w:t>
      </w:r>
      <w:r>
        <w:t>T</w:t>
      </w:r>
      <w:r w:rsidRPr="00AD420A">
        <w:t xml:space="preserve">o neplatí pre operačný program Interact, program spolupráce </w:t>
      </w:r>
      <w:r w:rsidR="00DE270A">
        <w:t xml:space="preserve">Interreg V-A </w:t>
      </w:r>
      <w:r w:rsidRPr="00AD420A">
        <w:t xml:space="preserve">Slovenská republika - Česká republika, program spolupráce </w:t>
      </w:r>
      <w:r w:rsidR="00DE270A">
        <w:t xml:space="preserve">Interreg  V-A </w:t>
      </w:r>
      <w:r w:rsidRPr="00AD420A">
        <w:t xml:space="preserve">Slovenská republika – Rakúsko. </w:t>
      </w:r>
      <w:r>
        <w:t>Zástupcov partnerov do MV delegujú príslušní partneri na</w:t>
      </w:r>
      <w:r w:rsidR="00B31279">
        <w:t> </w:t>
      </w:r>
      <w:r>
        <w:t>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w:t>
      </w:r>
      <w:r w:rsidR="00B31279">
        <w:t> </w:t>
      </w:r>
      <w:r>
        <w:t>činnosti MV v poradnej funkcii bez hlasovacieho práva, ak sa podieľa na spolufinancovaní OP. CKO okrem člena MV menuje aj pozorovateľa, ktorý sa zúčastňuje zasadnutia MV. Zloženie MV v plnej miere dodržiava princíp partnerstva a nediskriminácie.</w:t>
      </w:r>
    </w:p>
    <w:p w14:paraId="659340A4" w14:textId="77777777" w:rsidR="00B650E5" w:rsidRDefault="00B650E5">
      <w:pPr>
        <w:pStyle w:val="Odsekzoznamu"/>
        <w:numPr>
          <w:ilvl w:val="0"/>
          <w:numId w:val="66"/>
        </w:numPr>
        <w:spacing w:before="120" w:after="120"/>
        <w:ind w:left="426" w:hanging="426"/>
        <w:contextualSpacing w:val="0"/>
        <w:jc w:val="both"/>
      </w:pPr>
      <w:r>
        <w:t>Postavenie, pôsobnosť a zloženie MV je určené v štatúte. Štatút MV schvaľujú členovia MV na</w:t>
      </w:r>
      <w:r w:rsidR="00B31279">
        <w:t> </w:t>
      </w:r>
      <w:r>
        <w:t xml:space="preserve">prvom zasadnutí MV. Pravidlá činnosti MV sú uvedené v rokovacom poriadku MV, ktorý </w:t>
      </w:r>
      <w:r>
        <w:lastRenderedPageBreak/>
        <w:t>schvaľujú členovia MV rovnako na prvom zasadnutí MV. Vzor štatútu</w:t>
      </w:r>
      <w:r>
        <w:rPr>
          <w:rStyle w:val="Odkaznapoznmkupodiarou"/>
        </w:rPr>
        <w:footnoteReference w:id="22"/>
      </w:r>
      <w:r>
        <w:t xml:space="preserve"> a rokovacieho poriadku</w:t>
      </w:r>
      <w:r>
        <w:rPr>
          <w:rStyle w:val="Odkaznapoznmkupodiarou"/>
        </w:rPr>
        <w:footnoteReference w:id="23"/>
      </w:r>
      <w:r>
        <w:t xml:space="preserve"> MV vydáva CKO.</w:t>
      </w:r>
    </w:p>
    <w:p w14:paraId="5D23C9E3" w14:textId="77777777" w:rsidR="00B650E5" w:rsidRDefault="00B650E5">
      <w:pPr>
        <w:pStyle w:val="Odsekzoznamu"/>
        <w:numPr>
          <w:ilvl w:val="0"/>
          <w:numId w:val="66"/>
        </w:numPr>
        <w:spacing w:before="120" w:after="120"/>
        <w:ind w:left="426" w:hanging="426"/>
        <w:contextualSpacing w:val="0"/>
        <w:jc w:val="both"/>
      </w:pPr>
      <w:r>
        <w:t>MV programov EÚS zriadia členské štáty zúčastnené na programe EÚS a tretie krajiny po prijatí pozvania zúčastniť sa na programe EÚS, a to po dohode s RO do troch mesiacov odo dňa oznámenia rozhodnutia o prijatí programu EÚS členskému štátu. CKO má možnosť menovať svojho zástupcu a zúčastňovať sa na zasadnutiach MV. MV vypracuje a prijme svoj rokovací poriadok.</w:t>
      </w:r>
    </w:p>
    <w:p w14:paraId="41050266" w14:textId="77777777" w:rsidR="00B650E5" w:rsidRDefault="00B650E5">
      <w:pPr>
        <w:pStyle w:val="Odsekzoznamu"/>
        <w:numPr>
          <w:ilvl w:val="0"/>
          <w:numId w:val="66"/>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14:paraId="7839E356" w14:textId="77777777" w:rsidR="00B650E5" w:rsidRDefault="00B650E5">
      <w:pPr>
        <w:pStyle w:val="Odsekzoznamu"/>
        <w:numPr>
          <w:ilvl w:val="0"/>
          <w:numId w:val="66"/>
        </w:numPr>
        <w:spacing w:before="120" w:after="120"/>
        <w:ind w:left="426" w:hanging="426"/>
        <w:contextualSpacing w:val="0"/>
        <w:jc w:val="both"/>
      </w:pPr>
      <w:r>
        <w:t>Zoznam členov MV zverejňuje RO na webovom sídle RO a je zodpovedný za pravidelnú aktualizáciu všetkých zmien v zozname členov príslušného MV.</w:t>
      </w:r>
    </w:p>
    <w:p w14:paraId="5FD343BD" w14:textId="77777777" w:rsidR="00B650E5" w:rsidRDefault="00B650E5">
      <w:pPr>
        <w:pStyle w:val="Odsekzoznamu"/>
        <w:numPr>
          <w:ilvl w:val="0"/>
          <w:numId w:val="66"/>
        </w:numPr>
        <w:spacing w:before="120" w:after="120"/>
        <w:ind w:left="426" w:hanging="426"/>
        <w:contextualSpacing w:val="0"/>
        <w:jc w:val="both"/>
      </w:pP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14:paraId="46DAA046" w14:textId="77777777" w:rsidR="00B650E5" w:rsidRDefault="00B650E5">
      <w:pPr>
        <w:pStyle w:val="SRK5"/>
      </w:pPr>
      <w:bookmarkStart w:id="80" w:name="_Toc453233957"/>
      <w:bookmarkStart w:id="81" w:name="_Toc501630009"/>
      <w:r>
        <w:t>1.3.2.3.1 Funkcie monitorovacieho výboru</w:t>
      </w:r>
      <w:bookmarkEnd w:id="80"/>
      <w:bookmarkEnd w:id="81"/>
    </w:p>
    <w:p w14:paraId="4C436583" w14:textId="77777777" w:rsidR="00B650E5" w:rsidRDefault="00B650E5" w:rsidP="00227685">
      <w:pPr>
        <w:numPr>
          <w:ilvl w:val="0"/>
          <w:numId w:val="14"/>
        </w:numPr>
        <w:spacing w:before="120" w:after="120"/>
        <w:ind w:left="426" w:hanging="426"/>
        <w:jc w:val="both"/>
        <w:rPr>
          <w:bCs/>
          <w:iCs/>
        </w:rPr>
      </w:pPr>
      <w:r>
        <w:rPr>
          <w:bCs/>
          <w:iCs/>
        </w:rPr>
        <w:t>MV zasadá aspoň raz za kalendárny rok a preskúma vykonávanie OP a pokrok dosiahnutý pri</w:t>
      </w:r>
      <w:r w:rsidR="00B31279">
        <w:rPr>
          <w:bCs/>
          <w:iCs/>
        </w:rPr>
        <w:t> </w:t>
      </w:r>
      <w:r>
        <w:rPr>
          <w:bCs/>
          <w:iCs/>
        </w:rPr>
        <w:t>plnení jeho cieľov. Pri tom zohľadňuje finančné údaje, spoločné a špecifické ukazovatele výsledkov a výstupov týkajúce sa OP, vrátane zmien v hodnotách ukazovateľov výsledkov, resp. 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w:t>
      </w:r>
      <w:r w:rsidR="00B73E06">
        <w:rPr>
          <w:bCs/>
          <w:iCs/>
        </w:rPr>
        <w:t>,</w:t>
      </w:r>
      <w:r w:rsidR="00F57BDF">
        <w:rPr>
          <w:bCs/>
          <w:iCs/>
        </w:rPr>
        <w:t xml:space="preserve"> </w:t>
      </w:r>
      <w:r w:rsidR="00F57BDF" w:rsidRPr="00F57BDF">
        <w:rPr>
          <w:bCs/>
          <w:iCs/>
        </w:rPr>
        <w:t>a ak ide o prijímateľa podľa ods. 1 pí</w:t>
      </w:r>
      <w:r w:rsidR="007F20D0">
        <w:rPr>
          <w:bCs/>
          <w:iCs/>
        </w:rPr>
        <w:t>s</w:t>
      </w:r>
      <w:r w:rsidR="00F57BDF" w:rsidRPr="00F57BDF">
        <w:rPr>
          <w:bCs/>
          <w:iCs/>
        </w:rPr>
        <w:t>m. c) a d) zákona o príspevku z</w:t>
      </w:r>
      <w:r w:rsidR="00B73E06">
        <w:rPr>
          <w:bCs/>
          <w:iCs/>
        </w:rPr>
        <w:t> </w:t>
      </w:r>
      <w:r w:rsidR="00F57BDF" w:rsidRPr="00F57BDF">
        <w:rPr>
          <w:bCs/>
          <w:iCs/>
        </w:rPr>
        <w:t>EŠIF, spolu so zámerom národného projektu sa podieľa aj na schvaľovaní prijímateľ</w:t>
      </w:r>
      <w:r w:rsidR="00227685">
        <w:rPr>
          <w:bCs/>
          <w:iCs/>
        </w:rPr>
        <w:t>o</w:t>
      </w:r>
      <w:r>
        <w:rPr>
          <w:bCs/>
          <w:iCs/>
        </w:rPr>
        <w:t>v </w:t>
      </w:r>
      <w:r w:rsidR="009F6E1D">
        <w:rPr>
          <w:bCs/>
          <w:iCs/>
        </w:rPr>
        <w:t xml:space="preserve">v </w:t>
      </w:r>
      <w:r>
        <w:rPr>
          <w:bCs/>
          <w:iCs/>
        </w:rPr>
        <w:t xml:space="preserve">súlade s § 26 zákona o príspevku z EŠIF </w:t>
      </w:r>
      <w:r w:rsidRPr="005243B9">
        <w:rPr>
          <w:bCs/>
          <w:iCs/>
        </w:rPr>
        <w:t>a následne na monitorovaní národných projektov</w:t>
      </w:r>
      <w:r>
        <w:rPr>
          <w:bCs/>
          <w:iCs/>
        </w:rPr>
        <w:t>.</w:t>
      </w:r>
    </w:p>
    <w:p w14:paraId="509A2263" w14:textId="77777777" w:rsidR="00B650E5" w:rsidRDefault="00B650E5">
      <w:pPr>
        <w:numPr>
          <w:ilvl w:val="0"/>
          <w:numId w:val="14"/>
        </w:numPr>
        <w:spacing w:before="120" w:after="120"/>
        <w:ind w:left="426" w:hanging="426"/>
        <w:jc w:val="both"/>
        <w:rPr>
          <w:bCs/>
          <w:iCs/>
        </w:rPr>
      </w:pPr>
      <w:r>
        <w:rPr>
          <w:bCs/>
          <w:iCs/>
        </w:rPr>
        <w:t>MV poskytuje konzultácie, a ak to považuje za vhodné, vydáva stanovisko ku každej zmene OP, ktorú navrhol RO.</w:t>
      </w:r>
    </w:p>
    <w:p w14:paraId="44261AF6" w14:textId="77777777" w:rsidR="00B650E5" w:rsidRDefault="00B650E5">
      <w:pPr>
        <w:numPr>
          <w:ilvl w:val="0"/>
          <w:numId w:val="14"/>
        </w:numPr>
        <w:spacing w:before="120" w:after="120"/>
        <w:ind w:left="426" w:hanging="426"/>
        <w:jc w:val="both"/>
        <w:rPr>
          <w:bCs/>
          <w:iCs/>
        </w:rPr>
      </w:pPr>
      <w:r>
        <w:rPr>
          <w:bCs/>
          <w:iCs/>
        </w:rPr>
        <w:t>MV môže RO predkladať pripomienky týkajúce sa vykonávania a hodnotenia OP, vrátane opatrení súvisiacich so znižovaním administratívnej záťaže prijímateľov a poskytovateľov. MV monitoruje opatrenia prijaté v nadväznosti na jeho pripomienky.</w:t>
      </w:r>
    </w:p>
    <w:p w14:paraId="04E537E5" w14:textId="77777777" w:rsidR="00B650E5" w:rsidRDefault="00B650E5">
      <w:pPr>
        <w:numPr>
          <w:ilvl w:val="0"/>
          <w:numId w:val="14"/>
        </w:numPr>
        <w:spacing w:before="120" w:after="120"/>
        <w:ind w:left="426" w:hanging="426"/>
        <w:jc w:val="both"/>
        <w:rPr>
          <w:bCs/>
          <w:iCs/>
        </w:rPr>
      </w:pPr>
      <w:r>
        <w:rPr>
          <w:bCs/>
          <w:iCs/>
        </w:rPr>
        <w:t>MV skúma a vyjadruje sa najmä k (neplatí pre OP RH):</w:t>
      </w:r>
    </w:p>
    <w:p w14:paraId="689E0E93" w14:textId="77777777" w:rsidR="00B650E5" w:rsidRDefault="00B650E5">
      <w:pPr>
        <w:pStyle w:val="Odsekzoznamu"/>
        <w:numPr>
          <w:ilvl w:val="1"/>
          <w:numId w:val="315"/>
        </w:numPr>
        <w:spacing w:before="120" w:after="120"/>
        <w:ind w:left="851" w:hanging="425"/>
        <w:contextualSpacing w:val="0"/>
        <w:jc w:val="both"/>
      </w:pPr>
      <w:r>
        <w:t>výkonnosti OP vzhľadom na výkonnostný rámec stanovený v príslušnom OP;</w:t>
      </w:r>
    </w:p>
    <w:p w14:paraId="12A21B0F" w14:textId="77777777" w:rsidR="00B650E5" w:rsidRDefault="00B650E5">
      <w:pPr>
        <w:pStyle w:val="Odsekzoznamu"/>
        <w:numPr>
          <w:ilvl w:val="1"/>
          <w:numId w:val="315"/>
        </w:numPr>
        <w:spacing w:before="120" w:after="120"/>
        <w:ind w:left="851" w:hanging="425"/>
        <w:contextualSpacing w:val="0"/>
        <w:jc w:val="both"/>
      </w:pPr>
      <w:r>
        <w:t>pokroku dosiahnutom pri plnení plánu hodnotení a následným opatreniam prijatým vzhľadom na zistenia hodnotení;</w:t>
      </w:r>
    </w:p>
    <w:p w14:paraId="6FF4D960" w14:textId="77777777" w:rsidR="00B650E5" w:rsidRDefault="00B650E5">
      <w:pPr>
        <w:pStyle w:val="Odsekzoznamu"/>
        <w:numPr>
          <w:ilvl w:val="1"/>
          <w:numId w:val="315"/>
        </w:numPr>
        <w:spacing w:before="120" w:after="120"/>
        <w:ind w:left="851" w:hanging="425"/>
        <w:contextualSpacing w:val="0"/>
        <w:jc w:val="both"/>
      </w:pPr>
      <w:r>
        <w:t>realizácii komunikačnej stratégie;</w:t>
      </w:r>
    </w:p>
    <w:p w14:paraId="1F442A4B" w14:textId="77777777" w:rsidR="00B650E5" w:rsidRDefault="00B650E5">
      <w:pPr>
        <w:pStyle w:val="Odsekzoznamu"/>
        <w:numPr>
          <w:ilvl w:val="1"/>
          <w:numId w:val="315"/>
        </w:numPr>
        <w:spacing w:before="120" w:after="120"/>
        <w:ind w:left="851" w:hanging="425"/>
        <w:contextualSpacing w:val="0"/>
        <w:jc w:val="both"/>
      </w:pPr>
      <w:r>
        <w:t>realizácii veľkých projektov (ak relevantné);</w:t>
      </w:r>
    </w:p>
    <w:p w14:paraId="151740D0" w14:textId="77777777" w:rsidR="00B650E5" w:rsidRDefault="00B650E5">
      <w:pPr>
        <w:pStyle w:val="Odsekzoznamu"/>
        <w:numPr>
          <w:ilvl w:val="1"/>
          <w:numId w:val="315"/>
        </w:numPr>
        <w:spacing w:before="120" w:after="120"/>
        <w:ind w:left="851" w:hanging="425"/>
        <w:contextualSpacing w:val="0"/>
        <w:jc w:val="both"/>
      </w:pPr>
      <w:r>
        <w:t>vykonávaniu spoločných akčných plánov (ak relevantné);</w:t>
      </w:r>
    </w:p>
    <w:p w14:paraId="381E1C91" w14:textId="77777777" w:rsidR="00B650E5" w:rsidRDefault="00B650E5">
      <w:pPr>
        <w:pStyle w:val="Odsekzoznamu"/>
        <w:numPr>
          <w:ilvl w:val="1"/>
          <w:numId w:val="315"/>
        </w:numPr>
        <w:spacing w:before="120" w:after="120"/>
        <w:ind w:left="851" w:hanging="425"/>
        <w:contextualSpacing w:val="0"/>
        <w:jc w:val="both"/>
      </w:pPr>
      <w:r>
        <w:lastRenderedPageBreak/>
        <w:t>dosiahnutému pokroku v rámci realizácie projektov a opatreniam na podporu rovnosti medzi mužmi a ženami a nediskriminácie, vrátane prístupu pre osoby so zdravotným postihnutím;</w:t>
      </w:r>
    </w:p>
    <w:p w14:paraId="763AB892" w14:textId="77777777" w:rsidR="00B650E5" w:rsidRDefault="00B650E5">
      <w:pPr>
        <w:pStyle w:val="Odsekzoznamu"/>
        <w:numPr>
          <w:ilvl w:val="1"/>
          <w:numId w:val="315"/>
        </w:numPr>
        <w:spacing w:before="120" w:after="120"/>
        <w:ind w:left="851" w:hanging="425"/>
        <w:contextualSpacing w:val="0"/>
        <w:jc w:val="both"/>
      </w:pPr>
      <w:r>
        <w:t>dosiahnutému pokroku v rámci realizácie projektov a opatreniam na presadzovanie udržateľného rozvoja;</w:t>
      </w:r>
    </w:p>
    <w:p w14:paraId="45C7A755" w14:textId="77777777" w:rsidR="00B650E5" w:rsidRDefault="00B650E5">
      <w:pPr>
        <w:pStyle w:val="Odsekzoznamu"/>
        <w:numPr>
          <w:ilvl w:val="1"/>
          <w:numId w:val="315"/>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14:paraId="176B501B" w14:textId="77777777" w:rsidR="00B650E5" w:rsidRDefault="00B650E5">
      <w:pPr>
        <w:pStyle w:val="Odsekzoznamu"/>
        <w:numPr>
          <w:ilvl w:val="1"/>
          <w:numId w:val="315"/>
        </w:numPr>
        <w:spacing w:before="120" w:after="120"/>
        <w:ind w:left="851" w:hanging="425"/>
        <w:contextualSpacing w:val="0"/>
        <w:jc w:val="both"/>
      </w:pPr>
      <w:r>
        <w:t>pokroku v implementácii finančných nástrojov (ak relevantné);</w:t>
      </w:r>
    </w:p>
    <w:p w14:paraId="0AECE8B0" w14:textId="77777777" w:rsidR="00B650E5" w:rsidRDefault="00B650E5">
      <w:pPr>
        <w:pStyle w:val="Odsekzoznamu"/>
        <w:numPr>
          <w:ilvl w:val="1"/>
          <w:numId w:val="315"/>
        </w:numPr>
        <w:spacing w:before="120" w:after="120"/>
        <w:ind w:left="851" w:hanging="425"/>
        <w:contextualSpacing w:val="0"/>
        <w:jc w:val="both"/>
      </w:pPr>
      <w:r>
        <w:t>pokroku v implementácii globálnych grantov (ak relevantné);</w:t>
      </w:r>
    </w:p>
    <w:p w14:paraId="3DA7695A" w14:textId="77777777" w:rsidR="00B650E5" w:rsidRDefault="00B650E5">
      <w:pPr>
        <w:pStyle w:val="Odsekzoznamu"/>
        <w:numPr>
          <w:ilvl w:val="1"/>
          <w:numId w:val="315"/>
        </w:numPr>
        <w:spacing w:before="120" w:after="120"/>
        <w:ind w:left="851" w:hanging="425"/>
        <w:contextualSpacing w:val="0"/>
        <w:jc w:val="both"/>
      </w:pPr>
      <w:r>
        <w:t>ročnému indikatívnemu plánu výziev OP;</w:t>
      </w:r>
    </w:p>
    <w:p w14:paraId="5A816B20" w14:textId="77777777" w:rsidR="00B650E5" w:rsidRDefault="00B650E5">
      <w:pPr>
        <w:pStyle w:val="Odsekzoznamu"/>
        <w:numPr>
          <w:ilvl w:val="1"/>
          <w:numId w:val="315"/>
        </w:numPr>
        <w:spacing w:before="120" w:after="120"/>
        <w:ind w:left="851" w:hanging="425"/>
        <w:contextualSpacing w:val="0"/>
        <w:jc w:val="both"/>
      </w:pPr>
      <w:r>
        <w:t>realizácii národných projektov (ak relevantné).</w:t>
      </w:r>
    </w:p>
    <w:p w14:paraId="31F784C4" w14:textId="77777777" w:rsidR="00B650E5" w:rsidRDefault="00B650E5">
      <w:pPr>
        <w:numPr>
          <w:ilvl w:val="0"/>
          <w:numId w:val="14"/>
        </w:numPr>
        <w:spacing w:before="120" w:after="120"/>
        <w:ind w:left="426" w:hanging="426"/>
        <w:jc w:val="both"/>
        <w:rPr>
          <w:bCs/>
          <w:iCs/>
        </w:rPr>
      </w:pPr>
      <w:r>
        <w:rPr>
          <w:bCs/>
          <w:iCs/>
        </w:rPr>
        <w:t>MV skúma a schvaľuje (neplatí pre OP RH):</w:t>
      </w:r>
    </w:p>
    <w:p w14:paraId="7FAD1A62" w14:textId="77777777" w:rsidR="00B650E5" w:rsidRDefault="00B650E5">
      <w:pPr>
        <w:pStyle w:val="Odsekzoznamu"/>
        <w:numPr>
          <w:ilvl w:val="0"/>
          <w:numId w:val="316"/>
        </w:numPr>
        <w:spacing w:before="120" w:after="120"/>
        <w:ind w:left="851" w:hanging="425"/>
        <w:contextualSpacing w:val="0"/>
        <w:jc w:val="both"/>
      </w:pPr>
      <w:r>
        <w:t>metodiku a kritériá použité pri výbere projektov</w:t>
      </w:r>
      <w:r w:rsidR="008A2386">
        <w:t xml:space="preserve"> a ich zmeny</w:t>
      </w:r>
      <w:r>
        <w:t>;</w:t>
      </w:r>
    </w:p>
    <w:p w14:paraId="2EDA10DF" w14:textId="77777777" w:rsidR="00B650E5" w:rsidRDefault="00CD49A9" w:rsidP="001B709E">
      <w:pPr>
        <w:pStyle w:val="Odsekzoznamu"/>
        <w:numPr>
          <w:ilvl w:val="0"/>
          <w:numId w:val="316"/>
        </w:numPr>
        <w:spacing w:before="120" w:after="120"/>
        <w:ind w:left="851" w:hanging="425"/>
        <w:contextualSpacing w:val="0"/>
        <w:jc w:val="both"/>
      </w:pPr>
      <w:r>
        <w:t xml:space="preserve">zoznamy národných projektov a </w:t>
      </w:r>
      <w:r w:rsidR="00B650E5">
        <w:t xml:space="preserve">zámery národných projektov </w:t>
      </w:r>
      <w:r w:rsidR="008A2386" w:rsidRPr="008A2386">
        <w:t xml:space="preserve">a ich zmeny </w:t>
      </w:r>
      <w:r w:rsidR="008A2386" w:rsidRPr="00E17A30">
        <w:t xml:space="preserve">podľa </w:t>
      </w:r>
      <w:hyperlink w:anchor="kapitola_341" w:history="1">
        <w:r w:rsidR="006839B4" w:rsidRPr="001B709E">
          <w:rPr>
            <w:rStyle w:val="Hypertextovprepojenie"/>
          </w:rPr>
          <w:t>kapitoly</w:t>
        </w:r>
        <w:r w:rsidR="008A2386" w:rsidRPr="001B709E">
          <w:rPr>
            <w:rStyle w:val="Hypertextovprepojenie"/>
          </w:rPr>
          <w:t xml:space="preserve"> 3.4.1</w:t>
        </w:r>
      </w:hyperlink>
      <w:r w:rsidR="008A2386" w:rsidRPr="008A2386">
        <w:t xml:space="preserve"> </w:t>
      </w:r>
      <w:r w:rsidR="00B650E5">
        <w:t>(ak na tieto účely nebola zriaden</w:t>
      </w:r>
      <w:r w:rsidR="00C228C8">
        <w:t>á</w:t>
      </w:r>
      <w:r w:rsidR="00B650E5">
        <w:t xml:space="preserve"> komisia pri MV);</w:t>
      </w:r>
    </w:p>
    <w:p w14:paraId="7EC60ACF" w14:textId="77777777" w:rsidR="00B650E5" w:rsidRDefault="00B650E5">
      <w:pPr>
        <w:pStyle w:val="Odsekzoznamu"/>
        <w:numPr>
          <w:ilvl w:val="0"/>
          <w:numId w:val="316"/>
        </w:numPr>
        <w:spacing w:before="120" w:after="120"/>
        <w:ind w:left="850" w:hanging="425"/>
        <w:contextualSpacing w:val="0"/>
        <w:jc w:val="both"/>
      </w:pPr>
      <w:r>
        <w:t>výročné a záverečné správy o vykonávaní OP;</w:t>
      </w:r>
    </w:p>
    <w:p w14:paraId="0E999233" w14:textId="77777777" w:rsidR="00B650E5" w:rsidRDefault="00B650E5">
      <w:pPr>
        <w:pStyle w:val="Odsekzoznamu"/>
        <w:numPr>
          <w:ilvl w:val="0"/>
          <w:numId w:val="316"/>
        </w:numPr>
        <w:spacing w:before="120" w:after="120"/>
        <w:ind w:left="851" w:hanging="425"/>
        <w:contextualSpacing w:val="0"/>
        <w:jc w:val="both"/>
      </w:pPr>
      <w:r>
        <w:t>plán hodnotenia OP a všetky zmeny tohto plánu vrátane prípadov, keď ide o súčasť spoločného plánu hodnotenia;</w:t>
      </w:r>
    </w:p>
    <w:p w14:paraId="348A70B1" w14:textId="77777777" w:rsidR="00B650E5" w:rsidRDefault="00B650E5">
      <w:pPr>
        <w:pStyle w:val="Odsekzoznamu"/>
        <w:numPr>
          <w:ilvl w:val="0"/>
          <w:numId w:val="316"/>
        </w:numPr>
        <w:spacing w:before="120" w:after="120"/>
        <w:ind w:left="851" w:hanging="425"/>
        <w:contextualSpacing w:val="0"/>
        <w:jc w:val="both"/>
      </w:pPr>
      <w:r>
        <w:t>komunikačnú stratégiu pre OP a všetky zmeny tejto stratégie;</w:t>
      </w:r>
    </w:p>
    <w:p w14:paraId="3E11F8B0" w14:textId="77777777" w:rsidR="00B650E5" w:rsidRDefault="00B650E5">
      <w:pPr>
        <w:pStyle w:val="Odsekzoznamu"/>
        <w:numPr>
          <w:ilvl w:val="0"/>
          <w:numId w:val="316"/>
        </w:numPr>
        <w:spacing w:before="120" w:after="120"/>
        <w:ind w:left="851" w:hanging="425"/>
        <w:contextualSpacing w:val="0"/>
        <w:jc w:val="both"/>
      </w:pPr>
      <w:r>
        <w:t>všetky návrhy RO na zmenu OP pred ich oficiálnym  zaslaním EK.</w:t>
      </w:r>
    </w:p>
    <w:p w14:paraId="527E4F3A" w14:textId="77777777" w:rsidR="00B650E5" w:rsidRDefault="00B650E5">
      <w:pPr>
        <w:numPr>
          <w:ilvl w:val="0"/>
          <w:numId w:val="14"/>
        </w:numPr>
        <w:spacing w:before="120" w:after="120"/>
        <w:ind w:left="426" w:hanging="426"/>
        <w:jc w:val="both"/>
      </w:pPr>
      <w:r>
        <w:rPr>
          <w:bCs/>
          <w:iCs/>
        </w:rPr>
        <w:t>MV OP RH overuje výsledky OP a efektívnosť jeho vykonávania. MV na tento účel:</w:t>
      </w:r>
    </w:p>
    <w:p w14:paraId="52B2555C" w14:textId="77777777" w:rsidR="00B650E5" w:rsidRDefault="00B650E5" w:rsidP="001B709E">
      <w:pPr>
        <w:pStyle w:val="Odsekzoznamu"/>
        <w:numPr>
          <w:ilvl w:val="0"/>
          <w:numId w:val="366"/>
        </w:numPr>
        <w:spacing w:before="120" w:after="120"/>
        <w:ind w:left="782" w:hanging="357"/>
        <w:contextualSpacing w:val="0"/>
        <w:jc w:val="both"/>
        <w:rPr>
          <w:color w:val="000000"/>
          <w:lang w:eastAsia="en-US"/>
        </w:rPr>
      </w:pPr>
      <w:r>
        <w:rPr>
          <w:color w:val="000000"/>
          <w:lang w:eastAsia="en-US"/>
        </w:rPr>
        <w:t>do šiestich mesiacov od rozhodnutia o schválení programu schvaľuje kritéria pre výber financovaných operácií, pričom výberové kritériá a sa upravia podľa potrieb programovania;</w:t>
      </w:r>
    </w:p>
    <w:p w14:paraId="1E819CD7" w14:textId="77777777" w:rsidR="00B650E5" w:rsidRDefault="00B650E5">
      <w:pPr>
        <w:pStyle w:val="Odsekzoznamu"/>
        <w:numPr>
          <w:ilvl w:val="0"/>
          <w:numId w:val="366"/>
        </w:numPr>
        <w:spacing w:before="120" w:after="120"/>
        <w:ind w:left="782" w:hanging="357"/>
        <w:contextualSpacing w:val="0"/>
      </w:pPr>
      <w:r>
        <w:rPr>
          <w:color w:val="000000"/>
          <w:lang w:eastAsia="en-US"/>
        </w:rPr>
        <w:t>skúma činnosti a výstupy v súvislosti s plánom hodnotenia programu;</w:t>
      </w:r>
    </w:p>
    <w:p w14:paraId="6D6AA597" w14:textId="77777777" w:rsidR="00B650E5" w:rsidRDefault="00B650E5">
      <w:pPr>
        <w:pStyle w:val="Odsekzoznamu"/>
        <w:numPr>
          <w:ilvl w:val="0"/>
          <w:numId w:val="366"/>
        </w:numPr>
        <w:spacing w:before="120" w:after="120"/>
        <w:ind w:left="782" w:hanging="357"/>
        <w:contextualSpacing w:val="0"/>
      </w:pPr>
      <w:r>
        <w:rPr>
          <w:color w:val="000000"/>
          <w:lang w:eastAsia="en-US"/>
        </w:rPr>
        <w:t xml:space="preserve">skúma činnosti programu v súvislosti s plnením osobitných </w:t>
      </w:r>
      <w:r w:rsidRPr="001B709E">
        <w:rPr>
          <w:iCs/>
          <w:color w:val="000000"/>
          <w:lang w:eastAsia="en-US"/>
        </w:rPr>
        <w:t>ex ante</w:t>
      </w:r>
      <w:r>
        <w:rPr>
          <w:i/>
          <w:iCs/>
          <w:color w:val="000000"/>
          <w:lang w:eastAsia="en-US"/>
        </w:rPr>
        <w:t xml:space="preserve"> </w:t>
      </w:r>
      <w:r>
        <w:rPr>
          <w:color w:val="000000"/>
          <w:lang w:eastAsia="en-US"/>
        </w:rPr>
        <w:t>kondicionalít;</w:t>
      </w:r>
    </w:p>
    <w:p w14:paraId="2F5F889E" w14:textId="77777777" w:rsidR="00B650E5" w:rsidRDefault="00B650E5">
      <w:pPr>
        <w:pStyle w:val="Odsekzoznamu"/>
        <w:numPr>
          <w:ilvl w:val="0"/>
          <w:numId w:val="366"/>
        </w:numPr>
        <w:spacing w:before="120" w:after="120"/>
        <w:ind w:left="782" w:hanging="357"/>
        <w:contextualSpacing w:val="0"/>
      </w:pPr>
      <w:r>
        <w:rPr>
          <w:color w:val="000000"/>
          <w:lang w:eastAsia="en-US"/>
        </w:rPr>
        <w:t>skúma a schvaľuje výročné správy o vykonávaní pred ich zaslaním Komisii;</w:t>
      </w:r>
    </w:p>
    <w:p w14:paraId="7F08EB7D" w14:textId="77777777" w:rsidR="00B650E5" w:rsidRDefault="00B650E5" w:rsidP="001B709E">
      <w:pPr>
        <w:pStyle w:val="Odsekzoznamu"/>
        <w:numPr>
          <w:ilvl w:val="0"/>
          <w:numId w:val="366"/>
        </w:numPr>
        <w:spacing w:before="120" w:after="120"/>
        <w:ind w:left="782" w:hanging="357"/>
        <w:contextualSpacing w:val="0"/>
        <w:jc w:val="both"/>
      </w:pPr>
      <w:r>
        <w:rPr>
          <w:color w:val="000000"/>
          <w:lang w:eastAsia="en-US"/>
        </w:rPr>
        <w:t>skúma opatrenia na podporu rovnosti medzi mužmi a ženami, rovnakých príležitostí a nediskriminácie vrátane dostupnosti pre osoby so zdravotným postihnutím.</w:t>
      </w:r>
    </w:p>
    <w:p w14:paraId="143F0F4D" w14:textId="77777777" w:rsidR="00B650E5" w:rsidRDefault="00B650E5">
      <w:pPr>
        <w:pStyle w:val="SRK5"/>
      </w:pPr>
      <w:bookmarkStart w:id="82" w:name="_Toc453233958"/>
      <w:bookmarkStart w:id="83" w:name="_Toc501630010"/>
      <w:r>
        <w:t xml:space="preserve">1.3.2.3.2 </w:t>
      </w:r>
      <w:r w:rsidRPr="00B80C21">
        <w:t>Komisia pri monitorovacom výbore</w:t>
      </w:r>
      <w:bookmarkEnd w:id="82"/>
      <w:bookmarkEnd w:id="83"/>
    </w:p>
    <w:p w14:paraId="523ABE3C" w14:textId="77777777" w:rsidR="00B650E5" w:rsidRDefault="00B650E5">
      <w:pPr>
        <w:numPr>
          <w:ilvl w:val="0"/>
          <w:numId w:val="317"/>
        </w:numPr>
        <w:spacing w:before="120" w:after="120"/>
        <w:ind w:left="425" w:hanging="425"/>
        <w:jc w:val="both"/>
      </w:pPr>
      <w:r>
        <w:rPr>
          <w:bCs/>
          <w:iCs/>
        </w:rPr>
        <w:t xml:space="preserve">RO môže zriadiť komisiu </w:t>
      </w:r>
      <w:r w:rsidR="00C228C8">
        <w:rPr>
          <w:bCs/>
          <w:iCs/>
        </w:rPr>
        <w:t xml:space="preserve">pri MV </w:t>
      </w:r>
      <w:r>
        <w:rPr>
          <w:bCs/>
          <w:iCs/>
        </w:rPr>
        <w:t>najmä na plnenie úloh</w:t>
      </w:r>
      <w:r>
        <w:t xml:space="preserve"> podľa§ 26 zákona o príspevku z EŠIF.</w:t>
      </w:r>
    </w:p>
    <w:p w14:paraId="32A0E5A8" w14:textId="77777777" w:rsidR="00B650E5" w:rsidRPr="007C2B94" w:rsidRDefault="00B650E5" w:rsidP="007C2B94">
      <w:pPr>
        <w:numPr>
          <w:ilvl w:val="0"/>
          <w:numId w:val="317"/>
        </w:numPr>
        <w:spacing w:before="120" w:after="120"/>
        <w:ind w:left="425" w:hanging="425"/>
        <w:jc w:val="both"/>
      </w:pPr>
      <w:r>
        <w:rPr>
          <w:bCs/>
          <w:iCs/>
        </w:rPr>
        <w:t xml:space="preserve">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 odbornosť témy alebo potrebu častejšieho zasadania efektívnejšie zriadenie takejto komisie, ako prerokovanie tém na zasadnutí MV. </w:t>
      </w:r>
    </w:p>
    <w:p w14:paraId="61971A0C" w14:textId="77777777" w:rsidR="00B650E5" w:rsidRDefault="00B650E5">
      <w:pPr>
        <w:numPr>
          <w:ilvl w:val="0"/>
          <w:numId w:val="317"/>
        </w:numPr>
        <w:spacing w:before="120" w:after="120"/>
        <w:ind w:left="425" w:hanging="425"/>
        <w:jc w:val="both"/>
      </w:pPr>
      <w:r>
        <w:rPr>
          <w:bCs/>
          <w:iCs/>
        </w:rPr>
        <w:t>Komisia pri MV sa riadi ustanoveniami štatútu a rokovacieho poriadku, ktorý vypracuje RO a schvaľuje ho MV</w:t>
      </w:r>
      <w:r>
        <w:t xml:space="preserve">. </w:t>
      </w:r>
    </w:p>
    <w:p w14:paraId="7CCF2B27" w14:textId="77777777" w:rsidR="00B650E5" w:rsidRPr="00B80C21" w:rsidRDefault="00B650E5" w:rsidP="001B709E">
      <w:pPr>
        <w:numPr>
          <w:ilvl w:val="0"/>
          <w:numId w:val="317"/>
        </w:numPr>
        <w:spacing w:before="120" w:after="120" w:line="276" w:lineRule="auto"/>
        <w:ind w:left="425" w:hanging="425"/>
        <w:jc w:val="both"/>
        <w:rPr>
          <w:szCs w:val="22"/>
        </w:rPr>
      </w:pPr>
      <w:r>
        <w:rPr>
          <w:bCs/>
          <w:iCs/>
        </w:rPr>
        <w:t>Zloženie Komisie pri MV zodpovedá vecnému zameraniu okruhov tém, ktoré má komisia pri</w:t>
      </w:r>
      <w:r w:rsidR="00D83571">
        <w:rPr>
          <w:bCs/>
          <w:iCs/>
        </w:rPr>
        <w:t> </w:t>
      </w:r>
      <w:r>
        <w:rPr>
          <w:bCs/>
          <w:iCs/>
        </w:rPr>
        <w:t>MV prerokúvať, pričom rešpektuje princípy partnerstva a nediskriminácie.</w:t>
      </w:r>
    </w:p>
    <w:p w14:paraId="32B76D7B" w14:textId="77777777" w:rsidR="00B650E5" w:rsidRPr="008C5647" w:rsidRDefault="00B650E5" w:rsidP="001B709E">
      <w:pPr>
        <w:numPr>
          <w:ilvl w:val="0"/>
          <w:numId w:val="317"/>
        </w:numPr>
        <w:spacing w:before="120" w:after="120" w:line="276" w:lineRule="auto"/>
        <w:ind w:left="425" w:hanging="425"/>
        <w:jc w:val="both"/>
        <w:rPr>
          <w:szCs w:val="22"/>
        </w:rPr>
      </w:pPr>
      <w:r>
        <w:rPr>
          <w:bCs/>
          <w:iCs/>
        </w:rPr>
        <w:lastRenderedPageBreak/>
        <w:t xml:space="preserve">Zápis zo zasadnutia Komisie pri MV predkladá RO bezodkladne po jeho </w:t>
      </w:r>
      <w:r w:rsidR="00E80E7D">
        <w:rPr>
          <w:bCs/>
          <w:iCs/>
        </w:rPr>
        <w:t>schvále</w:t>
      </w:r>
      <w:r>
        <w:rPr>
          <w:bCs/>
          <w:iCs/>
        </w:rPr>
        <w:t>ní členom a pozorovateľom MV OP</w:t>
      </w:r>
      <w:r w:rsidR="00076317">
        <w:rPr>
          <w:bCs/>
          <w:iCs/>
        </w:rPr>
        <w:t xml:space="preserve"> na vedomie</w:t>
      </w:r>
      <w:r>
        <w:rPr>
          <w:bCs/>
          <w:iCs/>
        </w:rPr>
        <w:t xml:space="preserve">. Súčasťou zápisu je podrobná informácia o prípadných zmenách v zámeroch národných projektov a v zozname národných projektov v zmysle </w:t>
      </w:r>
      <w:hyperlink w:anchor="kapitola_341_ods_6" w:tooltip="kapitoly 3.4.1, ods. 6" w:history="1">
        <w:r w:rsidRPr="00A35848">
          <w:rPr>
            <w:rStyle w:val="Hypertextovprepojenie"/>
            <w:bCs/>
            <w:iCs/>
          </w:rPr>
          <w:t>kapitoly 3.4.1, ods. 6</w:t>
        </w:r>
      </w:hyperlink>
      <w:r>
        <w:rPr>
          <w:bCs/>
          <w:iCs/>
        </w:rPr>
        <w:t>.</w:t>
      </w:r>
    </w:p>
    <w:p w14:paraId="41EFDA54" w14:textId="77777777" w:rsidR="00B650E5" w:rsidRPr="008C5647" w:rsidRDefault="00B650E5" w:rsidP="008C5647">
      <w:pPr>
        <w:pStyle w:val="SRK2"/>
      </w:pPr>
      <w:bookmarkStart w:id="84" w:name="_Toc453233959"/>
      <w:bookmarkStart w:id="85" w:name="_Toc501630011"/>
      <w:r w:rsidRPr="008C5647">
        <w:t>1.4 Elektronická komunikácia</w:t>
      </w:r>
      <w:bookmarkEnd w:id="84"/>
      <w:bookmarkEnd w:id="85"/>
    </w:p>
    <w:p w14:paraId="2997AFC5"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Komunikácia elektronickými prostriedkami v rámci EŠIF je vykonávaná v zmysle zákona </w:t>
      </w:r>
      <w:r>
        <w:rPr>
          <w:bCs/>
          <w:iCs/>
        </w:rPr>
        <w:br/>
      </w:r>
      <w:r w:rsidRPr="008C5647">
        <w:rPr>
          <w:bCs/>
          <w:iCs/>
        </w:rPr>
        <w:t xml:space="preserve">o e-Governmente. </w:t>
      </w:r>
    </w:p>
    <w:p w14:paraId="3B3ED795" w14:textId="77777777" w:rsidR="00B650E5" w:rsidRPr="008C5647" w:rsidRDefault="00B650E5" w:rsidP="008C5647">
      <w:pPr>
        <w:numPr>
          <w:ilvl w:val="0"/>
          <w:numId w:val="393"/>
        </w:numPr>
        <w:spacing w:before="120" w:after="120"/>
        <w:ind w:left="425" w:hanging="425"/>
        <w:jc w:val="both"/>
        <w:rPr>
          <w:bCs/>
          <w:iCs/>
        </w:rPr>
      </w:pPr>
      <w:r w:rsidRPr="008C5647">
        <w:rPr>
          <w:bCs/>
          <w:iCs/>
        </w:rPr>
        <w:t xml:space="preserve">Každý subjekt na strane verejnej a štátnej správy, zapojený do </w:t>
      </w:r>
      <w:r>
        <w:rPr>
          <w:bCs/>
          <w:iCs/>
        </w:rPr>
        <w:t>konania o</w:t>
      </w:r>
      <w:r w:rsidR="00A71464">
        <w:rPr>
          <w:bCs/>
          <w:iCs/>
        </w:rPr>
        <w:t> </w:t>
      </w:r>
      <w:r>
        <w:rPr>
          <w:bCs/>
          <w:iCs/>
        </w:rPr>
        <w:t>ŽoNFP</w:t>
      </w:r>
      <w:r w:rsidR="00A71464">
        <w:rPr>
          <w:bCs/>
          <w:iCs/>
        </w:rPr>
        <w:t>, resp. konania v postavení správneho orgánu</w:t>
      </w:r>
      <w:r w:rsidRPr="008C5647">
        <w:rPr>
          <w:bCs/>
          <w:iCs/>
        </w:rPr>
        <w:t>, predstavuje v zmysle zákona o e-Governmente orgán verejnej moci. Orgán verejnej moci je povinný postupovať a komunikovať elektronickými prostriedkami v zmysle zákona o e-Governmente. Komunikácia sa vykonáva prostredníctvom komunikačných rozhraní ústredného portálu verejnej správy a spoločných modulov.</w:t>
      </w:r>
    </w:p>
    <w:p w14:paraId="74E13FC0" w14:textId="77777777" w:rsidR="00B650E5" w:rsidRDefault="00B650E5" w:rsidP="00505C3A">
      <w:pPr>
        <w:numPr>
          <w:ilvl w:val="0"/>
          <w:numId w:val="393"/>
        </w:numPr>
        <w:spacing w:before="120" w:after="120"/>
        <w:ind w:left="425" w:hanging="425"/>
        <w:jc w:val="both"/>
        <w:rPr>
          <w:bCs/>
          <w:iCs/>
        </w:rPr>
      </w:pPr>
      <w:r w:rsidRPr="008C5647">
        <w:rPr>
          <w:bCs/>
          <w:iCs/>
        </w:rPr>
        <w:t xml:space="preserve">Na základe vyššie uvedeného vyplýva, že pre zabezpečenie komunikácie elektronickými prostriedkami v rámci EŠIF sa využije už existujúca infraštruktúra a služby ústredného portálu verejnej správy a spoločných modulov. </w:t>
      </w:r>
    </w:p>
    <w:p w14:paraId="005793AD" w14:textId="711679A5" w:rsidR="003A3228" w:rsidRDefault="003A3228" w:rsidP="001B709E">
      <w:pPr>
        <w:numPr>
          <w:ilvl w:val="0"/>
          <w:numId w:val="393"/>
        </w:numPr>
        <w:spacing w:before="120" w:after="120"/>
        <w:ind w:left="425" w:hanging="425"/>
        <w:jc w:val="both"/>
        <w:rPr>
          <w:bCs/>
          <w:iCs/>
        </w:rPr>
      </w:pPr>
      <w:r w:rsidRPr="003A3228">
        <w:rPr>
          <w:bCs/>
          <w:iCs/>
        </w:rPr>
        <w:t>V prípade, ak má žiadateľ aktivovanú elektronickú schránku v zmysle zákona o e-Governmente, RO komunikuje v rámci schvaľovania ŽoNFP so žiadateľom elektronicky. Povinnosť žiadateľa doplniť ŽoNFP, a</w:t>
      </w:r>
      <w:r w:rsidR="00A71464">
        <w:rPr>
          <w:bCs/>
          <w:iCs/>
        </w:rPr>
        <w:t xml:space="preserve"> prípadné </w:t>
      </w:r>
      <w:r w:rsidRPr="003A3228">
        <w:rPr>
          <w:bCs/>
          <w:iCs/>
        </w:rPr>
        <w:t xml:space="preserve">ďalšie podania je riadne a včas splnená </w:t>
      </w:r>
      <w:r w:rsidR="00CF09F6">
        <w:rPr>
          <w:bCs/>
          <w:iCs/>
        </w:rPr>
        <w:t>podaním</w:t>
      </w:r>
      <w:r w:rsidR="00CF09F6" w:rsidRPr="003A3228">
        <w:rPr>
          <w:bCs/>
          <w:iCs/>
        </w:rPr>
        <w:t xml:space="preserve"> </w:t>
      </w:r>
      <w:r w:rsidRPr="003A3228">
        <w:rPr>
          <w:bCs/>
          <w:iCs/>
        </w:rPr>
        <w:t>elektronického podania</w:t>
      </w:r>
      <w:r w:rsidR="00AD1CCE">
        <w:rPr>
          <w:bCs/>
          <w:iCs/>
        </w:rPr>
        <w:t xml:space="preserve"> do elektronickej schránky poskytovateľa</w:t>
      </w:r>
      <w:r w:rsidRPr="003A3228">
        <w:rPr>
          <w:bCs/>
          <w:iCs/>
        </w:rPr>
        <w:t>.</w:t>
      </w:r>
    </w:p>
    <w:p w14:paraId="3AC90F1E" w14:textId="77777777" w:rsidR="00A71464" w:rsidRDefault="00A71464" w:rsidP="001B709E">
      <w:pPr>
        <w:numPr>
          <w:ilvl w:val="0"/>
          <w:numId w:val="393"/>
        </w:numPr>
        <w:spacing w:before="120" w:after="120"/>
        <w:ind w:left="425" w:hanging="425"/>
        <w:jc w:val="both"/>
        <w:rPr>
          <w:bCs/>
          <w:iCs/>
        </w:rPr>
      </w:pPr>
      <w:r>
        <w:rPr>
          <w:bCs/>
          <w:iCs/>
        </w:rPr>
        <w:t xml:space="preserve">RO je oprávnený v Zmluve o NFP dohodnúť s prijímateľom </w:t>
      </w:r>
      <w:r w:rsidR="00B6510C">
        <w:rPr>
          <w:bCs/>
          <w:iCs/>
        </w:rPr>
        <w:t>komunikáciu prostredníctvom elektronickej</w:t>
      </w:r>
      <w:r w:rsidR="00B6510C" w:rsidRPr="003A3228">
        <w:rPr>
          <w:bCs/>
          <w:iCs/>
        </w:rPr>
        <w:t xml:space="preserve"> schránk</w:t>
      </w:r>
      <w:r w:rsidR="00B6510C">
        <w:rPr>
          <w:bCs/>
          <w:iCs/>
        </w:rPr>
        <w:t>y</w:t>
      </w:r>
      <w:r w:rsidR="00B6510C" w:rsidRPr="003A3228">
        <w:rPr>
          <w:bCs/>
          <w:iCs/>
        </w:rPr>
        <w:t xml:space="preserve"> v zmysle zákona o e-Governmente</w:t>
      </w:r>
      <w:r w:rsidR="00D83571">
        <w:rPr>
          <w:bCs/>
          <w:iCs/>
        </w:rPr>
        <w:t>.</w:t>
      </w:r>
    </w:p>
    <w:p w14:paraId="4E55BF60" w14:textId="77777777" w:rsidR="00474DA0" w:rsidRPr="00474DA0" w:rsidRDefault="00B650E5" w:rsidP="00227685">
      <w:pPr>
        <w:numPr>
          <w:ilvl w:val="0"/>
          <w:numId w:val="393"/>
        </w:numPr>
        <w:spacing w:before="120" w:after="120"/>
        <w:ind w:left="425" w:hanging="425"/>
        <w:jc w:val="both"/>
      </w:pPr>
      <w:r w:rsidRPr="00227685">
        <w:rPr>
          <w:szCs w:val="22"/>
        </w:rPr>
        <w:t>CKO poskytne RO súčinnosť pri zavádzaní elektronickej komunikácie v zmysle zákona o e-Governmente.</w:t>
      </w:r>
    </w:p>
    <w:p w14:paraId="4A9BA70F" w14:textId="06459A18" w:rsidR="00B650E5" w:rsidRPr="00227685" w:rsidRDefault="00474DA0" w:rsidP="00556762">
      <w:pPr>
        <w:numPr>
          <w:ilvl w:val="0"/>
          <w:numId w:val="393"/>
        </w:numPr>
        <w:spacing w:before="120" w:after="120"/>
        <w:ind w:left="426" w:hanging="426"/>
        <w:jc w:val="both"/>
      </w:pPr>
      <w:r>
        <w:rPr>
          <w:szCs w:val="22"/>
        </w:rPr>
        <w:t xml:space="preserve">CKO odporúča </w:t>
      </w:r>
      <w:r w:rsidR="000612FB">
        <w:rPr>
          <w:szCs w:val="22"/>
        </w:rPr>
        <w:t xml:space="preserve">RO </w:t>
      </w:r>
      <w:r w:rsidRPr="007D2425">
        <w:rPr>
          <w:szCs w:val="22"/>
        </w:rPr>
        <w:t xml:space="preserve">uchovávať elektronické dokumenty, súvisiace s realizáciou projektu (napríklad </w:t>
      </w:r>
      <w:r w:rsidR="007D2425" w:rsidRPr="002F3613">
        <w:t>faktúry, objednávky, dodacie listy,</w:t>
      </w:r>
      <w:r w:rsidR="007D2425" w:rsidRPr="007D2425">
        <w:rPr>
          <w:szCs w:val="22"/>
        </w:rPr>
        <w:t xml:space="preserve"> </w:t>
      </w:r>
      <w:r w:rsidRPr="007D2425">
        <w:rPr>
          <w:szCs w:val="22"/>
        </w:rPr>
        <w:t>prieskumy trhu, zaznamenané formou print screenov, emailovú komunikáciu s</w:t>
      </w:r>
      <w:r w:rsidR="001C1E41">
        <w:rPr>
          <w:szCs w:val="22"/>
        </w:rPr>
        <w:t> </w:t>
      </w:r>
      <w:r w:rsidRPr="007D2425">
        <w:rPr>
          <w:szCs w:val="22"/>
        </w:rPr>
        <w:t>prijímateľom</w:t>
      </w:r>
      <w:r w:rsidR="001C1E41">
        <w:rPr>
          <w:szCs w:val="22"/>
        </w:rPr>
        <w:t>,</w:t>
      </w:r>
      <w:r w:rsidR="001C1E41" w:rsidRPr="001C1E41">
        <w:rPr>
          <w:szCs w:val="22"/>
        </w:rPr>
        <w:t xml:space="preserve"> dokumenty ako PDF, docx, xlsx generované informačným systémom, ktoré majú ucelenú podobu bez potreby po</w:t>
      </w:r>
      <w:r w:rsidR="001C1E41">
        <w:rPr>
          <w:szCs w:val="22"/>
        </w:rPr>
        <w:t>d</w:t>
      </w:r>
      <w:r w:rsidR="001C1E41" w:rsidRPr="001C1E41">
        <w:rPr>
          <w:szCs w:val="22"/>
        </w:rPr>
        <w:t>pisovania</w:t>
      </w:r>
      <w:r w:rsidRPr="007D2425">
        <w:rPr>
          <w:szCs w:val="22"/>
        </w:rPr>
        <w:t xml:space="preserve"> a pod.) výhradne v ITMS 2014+, bez ich vytlačeni</w:t>
      </w:r>
      <w:r w:rsidR="00D7136A">
        <w:rPr>
          <w:szCs w:val="22"/>
        </w:rPr>
        <w:t>a</w:t>
      </w:r>
      <w:r w:rsidRPr="007D2425">
        <w:rPr>
          <w:szCs w:val="22"/>
        </w:rPr>
        <w:t xml:space="preserve"> do listinnej podoby</w:t>
      </w:r>
      <w:r w:rsidR="000612FB">
        <w:rPr>
          <w:rStyle w:val="Odkaznapoznmkupodiarou"/>
          <w:szCs w:val="22"/>
        </w:rPr>
        <w:footnoteReference w:id="24"/>
      </w:r>
      <w:r w:rsidRPr="007D2425">
        <w:rPr>
          <w:szCs w:val="22"/>
        </w:rPr>
        <w:t xml:space="preserve">. </w:t>
      </w:r>
      <w:r w:rsidR="00227685">
        <w:br w:type="page"/>
      </w:r>
    </w:p>
    <w:p w14:paraId="5064B47A" w14:textId="77777777" w:rsidR="00B650E5" w:rsidRDefault="00B650E5" w:rsidP="00227685">
      <w:pPr>
        <w:pStyle w:val="SRK1"/>
      </w:pPr>
      <w:bookmarkStart w:id="86" w:name="_Toc378947478"/>
      <w:bookmarkStart w:id="87" w:name="_Toc453233960"/>
      <w:bookmarkStart w:id="88" w:name="_Toc501630012"/>
      <w:r>
        <w:lastRenderedPageBreak/>
        <w:t>Časť 2</w:t>
      </w:r>
      <w:bookmarkEnd w:id="86"/>
      <w:r>
        <w:t xml:space="preserve"> </w:t>
      </w:r>
      <w:bookmarkStart w:id="89" w:name="_Toc378947479"/>
      <w:r>
        <w:t>Programovanie</w:t>
      </w:r>
      <w:bookmarkEnd w:id="87"/>
      <w:bookmarkEnd w:id="88"/>
      <w:bookmarkEnd w:id="89"/>
      <w:r>
        <w:t xml:space="preserve"> </w:t>
      </w:r>
    </w:p>
    <w:p w14:paraId="426C97D8" w14:textId="77777777" w:rsidR="00B650E5" w:rsidRDefault="00B650E5">
      <w:pPr>
        <w:pStyle w:val="SRK2"/>
        <w:rPr>
          <w:rStyle w:val="Nadpis1Char"/>
          <w:bCs/>
          <w:sz w:val="36"/>
          <w:szCs w:val="26"/>
        </w:rPr>
      </w:pPr>
      <w:bookmarkStart w:id="90" w:name="_Toc378947480"/>
      <w:bookmarkStart w:id="91" w:name="_Toc389595932"/>
      <w:bookmarkStart w:id="92" w:name="_Toc453233961"/>
      <w:bookmarkStart w:id="93" w:name="_Toc501630013"/>
      <w:bookmarkStart w:id="94" w:name="_Toc378947482"/>
      <w:r>
        <w:rPr>
          <w:rStyle w:val="Nadpis1Char"/>
          <w:bCs/>
          <w:sz w:val="36"/>
          <w:szCs w:val="26"/>
        </w:rPr>
        <w:t>2.1</w:t>
      </w:r>
      <w:r>
        <w:t xml:space="preserve"> </w:t>
      </w:r>
      <w:r>
        <w:rPr>
          <w:rStyle w:val="Nadpis1Char"/>
          <w:bCs/>
          <w:sz w:val="36"/>
          <w:szCs w:val="26"/>
        </w:rPr>
        <w:t>Príprava a zmena partnerskej dohody</w:t>
      </w:r>
      <w:bookmarkEnd w:id="90"/>
      <w:bookmarkEnd w:id="91"/>
      <w:bookmarkEnd w:id="92"/>
      <w:bookmarkEnd w:id="93"/>
    </w:p>
    <w:p w14:paraId="5B0A060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2A96C64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6, 7, 8, 10, 14, 15, 16, 17, 18, 19, 20, 21, 22, 23, 30, 31, 52 všeobecného nariadenia</w:t>
      </w:r>
    </w:p>
    <w:p w14:paraId="7540D24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Vykonávacie rozhodnutie Komisie č. 2014/190/EÚ</w:t>
      </w:r>
    </w:p>
    <w:p w14:paraId="52CEE04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Delegované nariadenie Komisie (EÚ) č. 240/2014 o európskom kódexe správania pre partnerstvo v rámci EŠIF</w:t>
      </w:r>
    </w:p>
    <w:p w14:paraId="657DF2F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121 ods. 2 a čl. 148 ods. 4 Zmluvy o fungovaní EÚ</w:t>
      </w:r>
    </w:p>
    <w:p w14:paraId="2BDE76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pPr>
      <w:r>
        <w:rPr>
          <w:u w:val="single"/>
        </w:rPr>
        <w:t>Relevantná úprava v legislatíve SR</w:t>
      </w:r>
      <w:r>
        <w:t>:</w:t>
      </w:r>
    </w:p>
    <w:p w14:paraId="1077A98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4 písm. b) zákona o príspevku z EŠIF</w:t>
      </w:r>
    </w:p>
    <w:p w14:paraId="59AEE4B3" w14:textId="77777777" w:rsidR="00B650E5" w:rsidRDefault="00B650E5">
      <w:pPr>
        <w:pStyle w:val="Odsekzoznamu"/>
        <w:numPr>
          <w:ilvl w:val="0"/>
          <w:numId w:val="11"/>
        </w:numPr>
        <w:spacing w:before="120" w:after="120"/>
        <w:ind w:left="426" w:hanging="426"/>
        <w:contextualSpacing w:val="0"/>
        <w:jc w:val="both"/>
      </w:pPr>
      <w:bookmarkStart w:id="95" w:name="_Toc389595933"/>
      <w:r>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14:paraId="25888643" w14:textId="77777777" w:rsidR="00B650E5" w:rsidRDefault="00B650E5">
      <w:pPr>
        <w:pStyle w:val="Odsekzoznamu"/>
        <w:numPr>
          <w:ilvl w:val="0"/>
          <w:numId w:val="11"/>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14:paraId="01938D03" w14:textId="77777777" w:rsidR="00B650E5" w:rsidRDefault="00B650E5">
      <w:pPr>
        <w:pStyle w:val="Odsekzoznamu"/>
        <w:numPr>
          <w:ilvl w:val="0"/>
          <w:numId w:val="11"/>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14:paraId="1495694F" w14:textId="77777777" w:rsidR="00B650E5" w:rsidRDefault="00B650E5">
      <w:pPr>
        <w:pStyle w:val="Odsekzoznamu"/>
        <w:numPr>
          <w:ilvl w:val="0"/>
          <w:numId w:val="11"/>
        </w:numPr>
        <w:spacing w:before="120" w:after="120"/>
        <w:ind w:left="426" w:hanging="426"/>
        <w:contextualSpacing w:val="0"/>
        <w:jc w:val="both"/>
      </w:pPr>
      <w:r>
        <w:t>PD schvaľuje vláda SR pred zaslaním EK. PD je predložená EK prostredníctvom SFC2014.</w:t>
      </w:r>
    </w:p>
    <w:p w14:paraId="42F5BE89" w14:textId="77777777" w:rsidR="00B650E5" w:rsidRDefault="00B650E5">
      <w:pPr>
        <w:pStyle w:val="SRK3"/>
      </w:pPr>
      <w:bookmarkStart w:id="96" w:name="_Toc453233962"/>
      <w:bookmarkStart w:id="97" w:name="_Toc501630014"/>
      <w:r>
        <w:t>2.1.1 Obsah partnerskej dohody</w:t>
      </w:r>
      <w:bookmarkEnd w:id="95"/>
      <w:bookmarkEnd w:id="96"/>
      <w:bookmarkEnd w:id="97"/>
    </w:p>
    <w:p w14:paraId="689B7402" w14:textId="77777777" w:rsidR="00B650E5" w:rsidRDefault="00B650E5">
      <w:pPr>
        <w:pStyle w:val="Odsekzoznamu"/>
        <w:numPr>
          <w:ilvl w:val="0"/>
          <w:numId w:val="206"/>
        </w:numPr>
        <w:spacing w:before="120" w:after="120"/>
        <w:ind w:left="425" w:hanging="425"/>
        <w:contextualSpacing w:val="0"/>
        <w:jc w:val="both"/>
        <w:rPr>
          <w:lang w:eastAsia="en-US"/>
        </w:rPr>
      </w:pPr>
      <w:bookmarkStart w:id="98" w:name="_Toc389595934"/>
      <w:r>
        <w:rPr>
          <w:lang w:eastAsia="en-US"/>
        </w:rPr>
        <w:t>PD vychádza zo SSR, ktorý ustanovuje strategické usmerňujúce zásady v procese programovania a uľahčuje vypracovanie PD a OP podľa čl. 10 všeobecného nariadenia a prílohy I.</w:t>
      </w:r>
    </w:p>
    <w:p w14:paraId="2EBE57FB" w14:textId="77777777" w:rsidR="00B650E5" w:rsidRDefault="00B650E5">
      <w:pPr>
        <w:pStyle w:val="CM1"/>
        <w:numPr>
          <w:ilvl w:val="0"/>
          <w:numId w:val="206"/>
        </w:numPr>
        <w:spacing w:before="120" w:after="120"/>
        <w:ind w:left="425" w:hanging="425"/>
        <w:jc w:val="both"/>
      </w:pPr>
      <w:r>
        <w:rPr>
          <w:rFonts w:ascii="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inkluzívneho rastu. Zároveň PD zabezpečuje prepojenie s Pozičným dokumentom Komisie pre prípravu PD a OP na roky 2014 – 2020, Národným programom reforiem SR, špecifickými odporúčaniami Rady prijatými podľa č. 121 ods. 2 a čl. 148 ods. 4 Zmluvy o fungovaní EÚ.</w:t>
      </w:r>
    </w:p>
    <w:p w14:paraId="5741F732" w14:textId="77777777" w:rsidR="00B650E5" w:rsidRPr="003120E4" w:rsidRDefault="00B650E5">
      <w:pPr>
        <w:pStyle w:val="CM1"/>
        <w:numPr>
          <w:ilvl w:val="0"/>
          <w:numId w:val="206"/>
        </w:numPr>
        <w:spacing w:before="120" w:after="120"/>
        <w:ind w:left="425" w:hanging="425"/>
        <w:jc w:val="both"/>
        <w:rPr>
          <w:rFonts w:ascii="Times New Roman" w:hAnsi="Times New Roman"/>
        </w:rPr>
      </w:pPr>
      <w:r w:rsidRPr="003120E4">
        <w:rPr>
          <w:rFonts w:ascii="Times New Roman" w:hAnsi="Times New Roman"/>
        </w:rPr>
        <w:t>Povinné informácie, ktoré musia byť zahrnuté v PD sú stanovené v čl. 15 všeobecného nariadenia. Tieto informácie sa týkajú opatrení na zabezpečenie súladu so stratégiou Únie na</w:t>
      </w:r>
      <w:r w:rsidR="00A90637">
        <w:rPr>
          <w:rFonts w:ascii="Times New Roman" w:hAnsi="Times New Roman"/>
        </w:rPr>
        <w:t> </w:t>
      </w:r>
      <w:r w:rsidRPr="003120E4">
        <w:rPr>
          <w:rFonts w:ascii="Times New Roman" w:hAnsi="Times New Roman"/>
        </w:rPr>
        <w:t xml:space="preserve">zabezpečenie inteligentného, udržateľného a inkluzívneho rastu, opatrení na zabezpečenie </w:t>
      </w:r>
      <w:r w:rsidRPr="003120E4">
        <w:rPr>
          <w:rFonts w:ascii="Times New Roman" w:hAnsi="Times New Roman"/>
        </w:rPr>
        <w:lastRenderedPageBreak/>
        <w:t>efektívnej implementácie EŠIF, integrovaného prístupu k územnému rozvoju podporovanému z EŠIF a opatrení na zabezpečenie účinného vykonávania EŠIF.</w:t>
      </w:r>
    </w:p>
    <w:p w14:paraId="18B53027" w14:textId="77777777" w:rsidR="00B650E5" w:rsidRDefault="00B650E5">
      <w:pPr>
        <w:pStyle w:val="SRK3"/>
      </w:pPr>
      <w:bookmarkStart w:id="99" w:name="_Toc453233963"/>
      <w:bookmarkStart w:id="100" w:name="_Toc501630015"/>
      <w:r>
        <w:t>2.1.2 Prijatie a zmena partnerskej dohody</w:t>
      </w:r>
      <w:bookmarkEnd w:id="98"/>
      <w:bookmarkEnd w:id="99"/>
      <w:bookmarkEnd w:id="100"/>
    </w:p>
    <w:p w14:paraId="7A050CB9" w14:textId="77777777" w:rsidR="00B650E5" w:rsidRDefault="00B650E5">
      <w:pPr>
        <w:pStyle w:val="Odsekzoznamu"/>
        <w:numPr>
          <w:ilvl w:val="0"/>
          <w:numId w:val="211"/>
        </w:numPr>
        <w:spacing w:before="120" w:after="120"/>
        <w:ind w:left="426" w:hanging="426"/>
        <w:contextualSpacing w:val="0"/>
        <w:jc w:val="both"/>
        <w:rPr>
          <w:lang w:eastAsia="en-US"/>
        </w:rPr>
      </w:pPr>
      <w:bookmarkStart w:id="101" w:name="_Toc378947481"/>
      <w:bookmarkStart w:id="102" w:name="_Toc389595935"/>
      <w:r>
        <w:rPr>
          <w:lang w:eastAsia="en-US"/>
        </w:rPr>
        <w:t>Prijatie PD upravuje čl. 16 ods. 2 všeobecného nariadenia. PD nemôže nadobudnúť účinnosť pred</w:t>
      </w:r>
      <w:r w:rsidR="00A90637">
        <w:rPr>
          <w:lang w:eastAsia="en-US"/>
        </w:rPr>
        <w:t> </w:t>
      </w:r>
      <w:r>
        <w:rPr>
          <w:lang w:eastAsia="en-US"/>
        </w:rPr>
        <w:t xml:space="preserve">1. januárom 2014. </w:t>
      </w:r>
    </w:p>
    <w:p w14:paraId="2EC61D21"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14:paraId="015841A6" w14:textId="77777777" w:rsidR="00B650E5" w:rsidRDefault="00B650E5">
      <w:pPr>
        <w:pStyle w:val="Odsekzoznamu"/>
        <w:numPr>
          <w:ilvl w:val="0"/>
          <w:numId w:val="211"/>
        </w:numPr>
        <w:spacing w:before="120" w:after="120"/>
        <w:ind w:left="425" w:hanging="425"/>
        <w:contextualSpacing w:val="0"/>
        <w:jc w:val="both"/>
        <w:rPr>
          <w:lang w:eastAsia="en-US"/>
        </w:rPr>
      </w:pPr>
      <w:bookmarkStart w:id="103" w:name="kapitola_212_ods_3"/>
      <w:bookmarkEnd w:id="103"/>
      <w:r>
        <w:rPr>
          <w:lang w:eastAsia="en-US"/>
        </w:rPr>
        <w:t>EK prijme PD prostredníctvom vykonávacieho aktu najneskôr do štyroch mesiacov od dátumu oficiálneho predloženia PD za predpokladu, že všetky pripomienky EK boli náležite zohľadnené.</w:t>
      </w:r>
    </w:p>
    <w:p w14:paraId="31DB3BCC" w14:textId="77777777" w:rsidR="00B650E5" w:rsidRDefault="00B650E5">
      <w:pPr>
        <w:pStyle w:val="Odsekzoznamu"/>
        <w:numPr>
          <w:ilvl w:val="0"/>
          <w:numId w:val="211"/>
        </w:numPr>
        <w:spacing w:before="120" w:after="120"/>
        <w:ind w:left="425" w:hanging="425"/>
        <w:contextualSpacing w:val="0"/>
        <w:jc w:val="both"/>
        <w:rPr>
          <w:lang w:eastAsia="en-US"/>
        </w:rPr>
      </w:pPr>
      <w:bookmarkStart w:id="104" w:name="kapitola_212_ods_4"/>
      <w:r>
        <w:rPr>
          <w:lang w:eastAsia="en-US"/>
        </w:rPr>
        <w:t>EK schválila PD dňa 20. júna 2014 aj s prvkami pre ENRF.</w:t>
      </w:r>
    </w:p>
    <w:bookmarkEnd w:id="104"/>
    <w:p w14:paraId="4291C752"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 xml:space="preserve">V prípade návrhu SR na zmenu prvkov PD, na ktoré sa vzťahuje rozhodnutie EK v zmysle </w:t>
      </w:r>
      <w:hyperlink w:anchor="kapitola_212_ods_3" w:history="1">
        <w:r w:rsidRPr="0043089F">
          <w:rPr>
            <w:rStyle w:val="Hypertextovprepojenie"/>
            <w:lang w:eastAsia="en-US"/>
          </w:rPr>
          <w:t>ods_3</w:t>
        </w:r>
      </w:hyperlink>
      <w:r>
        <w:rPr>
          <w:lang w:eastAsia="en-US"/>
        </w:rPr>
        <w:t xml:space="preserve"> tejto podkapitoly, EK vykoná posúdenie a v prípade potreby prijme prostredníctvom vykonávacích aktov rozhodnutie o schválení zmeny, a to do troch mesiacov od dátumu predloženia návrhu na zmenu.</w:t>
      </w:r>
    </w:p>
    <w:p w14:paraId="6D985B55" w14:textId="77777777" w:rsidR="00B650E5" w:rsidRDefault="00B650E5">
      <w:pPr>
        <w:pStyle w:val="Odsekzoznamu"/>
        <w:numPr>
          <w:ilvl w:val="0"/>
          <w:numId w:val="211"/>
        </w:numPr>
        <w:spacing w:before="120" w:after="120"/>
        <w:ind w:left="425" w:hanging="425"/>
        <w:contextualSpacing w:val="0"/>
        <w:jc w:val="both"/>
        <w:rPr>
          <w:lang w:eastAsia="en-US"/>
        </w:rPr>
      </w:pPr>
      <w:bookmarkStart w:id="105" w:name="kapitola_212_ods_6až10"/>
      <w:bookmarkEnd w:id="105"/>
      <w:r>
        <w:rPr>
          <w:lang w:eastAsia="en-US"/>
        </w:rPr>
        <w:t>Zmena prvkov PD, na ktoré sa vzťahuje rozhodnutie EK, nastane najmä vtedy, ak došlo k zmene na programovej úrovni:</w:t>
      </w:r>
    </w:p>
    <w:p w14:paraId="08F4B96E" w14:textId="77777777" w:rsidR="00B650E5" w:rsidRDefault="00B650E5">
      <w:pPr>
        <w:pStyle w:val="Odsekzoznamu"/>
        <w:numPr>
          <w:ilvl w:val="0"/>
          <w:numId w:val="12"/>
        </w:numPr>
        <w:spacing w:before="120" w:after="120"/>
        <w:ind w:left="850" w:hanging="425"/>
        <w:contextualSpacing w:val="0"/>
        <w:jc w:val="both"/>
      </w:pPr>
      <w:r>
        <w:rPr>
          <w:lang w:eastAsia="en-US"/>
        </w:rPr>
        <w:t>v analýze rozdielov, potrieb v oblasti potenciálu rastu a územných výzvach, Národného programu reforiem SR, špecifických odporúčaniach Rady,</w:t>
      </w:r>
    </w:p>
    <w:p w14:paraId="2F7A53A7" w14:textId="77777777" w:rsidR="00B650E5" w:rsidRDefault="00B650E5">
      <w:pPr>
        <w:pStyle w:val="Odsekzoznamu"/>
        <w:numPr>
          <w:ilvl w:val="0"/>
          <w:numId w:val="12"/>
        </w:numPr>
        <w:spacing w:before="120" w:after="120"/>
        <w:ind w:left="850" w:hanging="425"/>
        <w:contextualSpacing w:val="0"/>
        <w:jc w:val="both"/>
      </w:pPr>
      <w:r>
        <w:rPr>
          <w:lang w:eastAsia="en-US"/>
        </w:rPr>
        <w:t>vo vybraných tematických cieľoch a očakávaných výsledkoch,</w:t>
      </w:r>
    </w:p>
    <w:p w14:paraId="02E80B55" w14:textId="77777777" w:rsidR="00B650E5" w:rsidRDefault="00B650E5">
      <w:pPr>
        <w:pStyle w:val="Odsekzoznamu"/>
        <w:numPr>
          <w:ilvl w:val="0"/>
          <w:numId w:val="12"/>
        </w:numPr>
        <w:spacing w:before="120" w:after="120"/>
        <w:ind w:left="850" w:hanging="425"/>
        <w:contextualSpacing w:val="0"/>
        <w:jc w:val="both"/>
      </w:pPr>
      <w:r>
        <w:rPr>
          <w:lang w:eastAsia="en-US"/>
        </w:rPr>
        <w:t>v rozdelení podpory podľa tematického cieľa na národnej úrovni, napr. z dôvodu prerozdelenia výkonnostnej rezervy na základe preskúmania výkonnosti, ako aj celkovej orientačnej sumy podpory na ciele súvisiace so zmenou klímy.</w:t>
      </w:r>
    </w:p>
    <w:p w14:paraId="1B07714E"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v dôsledku zmeny rozvojových potrieb od prijatia PD, a to na základe predloženia správy o pokroku pri vykonávaní PD.</w:t>
      </w:r>
    </w:p>
    <w:p w14:paraId="07928460"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aj vtedy, ak dôjde k významným zmenám v sociálnej a ekonomickej situácii EÚ (napr. v rámci úpravy balíkov finančných prostriedkov na politiku súdržnosti podľa čl. 7 Nariadenia Rady (EÚ, EURATOM) č.</w:t>
      </w:r>
      <w:r w:rsidR="00A90637">
        <w:rPr>
          <w:lang w:eastAsia="en-US"/>
        </w:rPr>
        <w:t> </w:t>
      </w:r>
      <w:r>
        <w:rPr>
          <w:lang w:eastAsia="en-US"/>
        </w:rPr>
        <w:t>1311/2013, ktorým sa ustanovuje viacročný finančný rámec na roky 2014 – 2020), alebo zmenám v stratégii EÚ na zabezpečenie inteligentného, udržateľného a inkluzívneho rastu.</w:t>
      </w:r>
    </w:p>
    <w:p w14:paraId="1AED027C"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EK môže v zmysle čl. 23 všeobecného nariadenia požiadať členský štát, aby preskúmal svoju PD a príslušné programy a navrhol ich zmeny.</w:t>
      </w:r>
    </w:p>
    <w:p w14:paraId="11851DF3" w14:textId="77777777" w:rsidR="00B650E5" w:rsidRDefault="00B650E5">
      <w:pPr>
        <w:pStyle w:val="Odsekzoznamu"/>
        <w:numPr>
          <w:ilvl w:val="0"/>
          <w:numId w:val="211"/>
        </w:numPr>
        <w:spacing w:before="120" w:after="120"/>
        <w:ind w:left="425" w:hanging="425"/>
        <w:contextualSpacing w:val="0"/>
        <w:jc w:val="both"/>
        <w:rPr>
          <w:lang w:eastAsia="en-US"/>
        </w:rPr>
      </w:pPr>
      <w:r>
        <w:rPr>
          <w:lang w:eastAsia="en-US"/>
        </w:rPr>
        <w:t>Zmena prvkov PD, na ktoré sa vzťahuje rozhodnutie EK, môže nastať z dôvodu oneskoreného nadobudnutia účinnosti nariadenia EÚ pre daný fond.</w:t>
      </w:r>
    </w:p>
    <w:p w14:paraId="3ADAB105" w14:textId="77777777" w:rsidR="00B650E5" w:rsidRDefault="00B650E5">
      <w:pPr>
        <w:pStyle w:val="Odsekzoznamu"/>
        <w:numPr>
          <w:ilvl w:val="0"/>
          <w:numId w:val="211"/>
        </w:numPr>
        <w:spacing w:before="120" w:after="120"/>
        <w:ind w:left="426" w:hanging="426"/>
        <w:contextualSpacing w:val="0"/>
        <w:jc w:val="both"/>
        <w:rPr>
          <w:lang w:eastAsia="en-US"/>
        </w:rPr>
      </w:pPr>
      <w:r>
        <w:rPr>
          <w:lang w:eastAsia="en-US"/>
        </w:rPr>
        <w:t xml:space="preserve">V prípade výskytu skutočností podľa </w:t>
      </w:r>
      <w:hyperlink w:anchor="kapitola_212_ods_6až10" w:history="1">
        <w:r w:rsidRPr="0043089F">
          <w:rPr>
            <w:rStyle w:val="Hypertextovprepojenie"/>
            <w:lang w:eastAsia="en-US"/>
          </w:rPr>
          <w:t>ods</w:t>
        </w:r>
        <w:r>
          <w:rPr>
            <w:rStyle w:val="Hypertextovprepojenie"/>
            <w:lang w:eastAsia="en-US"/>
          </w:rPr>
          <w:t>.</w:t>
        </w:r>
        <w:r w:rsidRPr="0043089F">
          <w:rPr>
            <w:rStyle w:val="Hypertextovprepojenie"/>
            <w:lang w:eastAsia="en-US"/>
          </w:rPr>
          <w:t xml:space="preserve"> 6 až 10</w:t>
        </w:r>
      </w:hyperlink>
      <w:r>
        <w:rPr>
          <w:lang w:eastAsia="en-US"/>
        </w:rPr>
        <w:t>. tejto časti, CKO vypracuje návrh na zmenu prvkov PD, na ktorú sa vzťahuje rozhodnutie EK, a predloží ho na schválenie vláde SR. Po</w:t>
      </w:r>
      <w:r w:rsidR="00A90637">
        <w:rPr>
          <w:lang w:eastAsia="en-US"/>
        </w:rPr>
        <w:t> </w:t>
      </w:r>
      <w:r>
        <w:rPr>
          <w:lang w:eastAsia="en-US"/>
        </w:rPr>
        <w:t>schválení návrhu vládou SR predloží CKO návrh na schválenie EK prostredníctvom SFC2014.</w:t>
      </w:r>
    </w:p>
    <w:p w14:paraId="72C5DA11" w14:textId="77777777" w:rsidR="00B650E5" w:rsidRDefault="00B650E5" w:rsidP="00DE5D89">
      <w:pPr>
        <w:pStyle w:val="Odsekzoznamu"/>
        <w:numPr>
          <w:ilvl w:val="0"/>
          <w:numId w:val="211"/>
        </w:numPr>
        <w:spacing w:before="120" w:after="120"/>
        <w:ind w:left="426" w:hanging="426"/>
        <w:contextualSpacing w:val="0"/>
        <w:jc w:val="both"/>
        <w:rPr>
          <w:lang w:eastAsia="en-US"/>
        </w:rPr>
      </w:pPr>
      <w:r>
        <w:rPr>
          <w:lang w:eastAsia="en-US"/>
        </w:rPr>
        <w:t>V prípade zmeny prvkov PD, na ktoré sa nevzťahuje rozhodnutie EK, CKO vykoná zmenu prvkov PD a informuje o tejto skutočnosti EK do jedného mesiaca od vykonania zmeny.</w:t>
      </w:r>
    </w:p>
    <w:p w14:paraId="2B4BA26E" w14:textId="77777777" w:rsidR="00B650E5" w:rsidRDefault="00B650E5">
      <w:pPr>
        <w:pStyle w:val="SRK2"/>
        <w:rPr>
          <w:rStyle w:val="Nadpis1Char"/>
          <w:bCs/>
          <w:sz w:val="36"/>
          <w:szCs w:val="26"/>
        </w:rPr>
      </w:pPr>
      <w:bookmarkStart w:id="106" w:name="_Toc453233964"/>
      <w:bookmarkStart w:id="107" w:name="_Toc501630016"/>
      <w:r>
        <w:rPr>
          <w:rStyle w:val="Nadpis1Char"/>
          <w:bCs/>
          <w:sz w:val="36"/>
          <w:szCs w:val="26"/>
        </w:rPr>
        <w:lastRenderedPageBreak/>
        <w:t>2.2</w:t>
      </w:r>
      <w:r>
        <w:t xml:space="preserve"> </w:t>
      </w:r>
      <w:r>
        <w:rPr>
          <w:rStyle w:val="Nadpis1Char"/>
          <w:bCs/>
          <w:sz w:val="36"/>
          <w:szCs w:val="26"/>
        </w:rPr>
        <w:t>Príprava a zmena operačných programov</w:t>
      </w:r>
      <w:bookmarkEnd w:id="101"/>
      <w:bookmarkEnd w:id="102"/>
      <w:bookmarkEnd w:id="106"/>
      <w:bookmarkEnd w:id="107"/>
    </w:p>
    <w:p w14:paraId="0FA3314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02A71A9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5, 7, 8, 20, 21, 22, 23, 26 až 40, 52, 55, 59, 96 všeobecného nariadenia </w:t>
      </w:r>
    </w:p>
    <w:p w14:paraId="5FB2B3A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14:paraId="65A296A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14:paraId="297ABA7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14:paraId="644F743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14:paraId="572A42C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14:paraId="0B510CF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14:paraId="3F6A069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14:paraId="618B998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14:paraId="438EE07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B45DCB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14:paraId="22314E1F" w14:textId="77777777" w:rsidR="00B650E5" w:rsidRDefault="00B650E5">
      <w:pPr>
        <w:pStyle w:val="Odsekzoznamu"/>
        <w:numPr>
          <w:ilvl w:val="0"/>
          <w:numId w:val="212"/>
        </w:numPr>
        <w:spacing w:before="120" w:after="120"/>
        <w:ind w:left="425" w:hanging="425"/>
        <w:contextualSpacing w:val="0"/>
        <w:jc w:val="both"/>
        <w:rPr>
          <w:lang w:eastAsia="en-US"/>
        </w:rPr>
      </w:pPr>
      <w:bookmarkStart w:id="108" w:name="_Toc389595936"/>
      <w:r>
        <w:rPr>
          <w:lang w:eastAsia="en-US"/>
        </w:rPr>
        <w:t>Postup prípravy OP je upravený v čl. 26 všeobecného nariadenia a v Korigende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w:t>
      </w:r>
      <w:r w:rsidR="00A90637">
        <w:rPr>
          <w:lang w:eastAsia="en-US"/>
        </w:rPr>
        <w:t> </w:t>
      </w:r>
      <w:r>
        <w:rPr>
          <w:lang w:eastAsia="en-US"/>
        </w:rPr>
        <w:t>osobitných ustanoveniach na podporu cieľa Európska územná spolupráca z Európskeho fondu regionálneho rozvoja, pokiaľ ide o vzor programov spolupráce v rámci cieľa Európska územná spolupráca (Ú. v. EÚ L 87, 22.3.2014). OP sú pripravované na obdobie od 1. januára 2014 do</w:t>
      </w:r>
      <w:r w:rsidR="00A90637">
        <w:rPr>
          <w:lang w:eastAsia="en-US"/>
        </w:rPr>
        <w:t> </w:t>
      </w:r>
      <w:r>
        <w:rPr>
          <w:lang w:eastAsia="en-US"/>
        </w:rPr>
        <w:t>31.</w:t>
      </w:r>
      <w:r w:rsidR="00A90637">
        <w:rPr>
          <w:lang w:eastAsia="en-US"/>
        </w:rPr>
        <w:t> </w:t>
      </w:r>
      <w:r>
        <w:rPr>
          <w:lang w:eastAsia="en-US"/>
        </w:rPr>
        <w:t xml:space="preserve">decembra 2020 v spolupráci s partnermi uvedenými v čl. 5 všeobecného nariadenia a delegovaného nariadenia Komisie (EÚ) č. 240/2014, na základe dialógu s EK, v súlade s PD a na základe postupov, ktoré sú vo vzťahu k verejnosti transparentné, v súlade s inštitucionálnym a právnym rámcom SR. Za účelom vypracovania programu zriadi RO pracovnú skupinu. </w:t>
      </w:r>
    </w:p>
    <w:p w14:paraId="588EB57B" w14:textId="77777777" w:rsidR="00B650E5" w:rsidRDefault="00B650E5">
      <w:pPr>
        <w:pStyle w:val="Odsekzoznamu"/>
        <w:numPr>
          <w:ilvl w:val="0"/>
          <w:numId w:val="212"/>
        </w:numPr>
        <w:spacing w:before="120" w:after="120"/>
        <w:ind w:left="425" w:hanging="425"/>
        <w:contextualSpacing w:val="0"/>
        <w:jc w:val="both"/>
        <w:rPr>
          <w:lang w:eastAsia="en-US"/>
        </w:rPr>
      </w:pPr>
      <w:r>
        <w:rPr>
          <w:lang w:eastAsia="en-US"/>
        </w:rPr>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14:paraId="75D50EB1" w14:textId="77777777" w:rsidR="00B650E5" w:rsidRDefault="00B650E5">
      <w:pPr>
        <w:pStyle w:val="SRK3"/>
      </w:pPr>
      <w:bookmarkStart w:id="109" w:name="_Toc453233965"/>
      <w:bookmarkStart w:id="110" w:name="_Toc501630017"/>
      <w:r>
        <w:t>2.2.1 Obsah operačného programu</w:t>
      </w:r>
      <w:bookmarkEnd w:id="108"/>
      <w:bookmarkEnd w:id="109"/>
      <w:bookmarkEnd w:id="110"/>
    </w:p>
    <w:p w14:paraId="09A1826F" w14:textId="77777777" w:rsidR="00B650E5" w:rsidRDefault="00B650E5">
      <w:pPr>
        <w:pStyle w:val="Odsekzoznamu"/>
        <w:numPr>
          <w:ilvl w:val="0"/>
          <w:numId w:val="213"/>
        </w:numPr>
        <w:spacing w:before="120" w:after="120"/>
        <w:ind w:left="425" w:hanging="425"/>
        <w:contextualSpacing w:val="0"/>
        <w:jc w:val="both"/>
        <w:rPr>
          <w:lang w:eastAsia="en-US"/>
        </w:rPr>
      </w:pPr>
      <w:bookmarkStart w:id="111" w:name="_Toc389595937"/>
      <w:r>
        <w:rPr>
          <w:lang w:eastAsia="en-US"/>
        </w:rPr>
        <w:t xml:space="preserve">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w:t>
      </w:r>
      <w:r>
        <w:rPr>
          <w:lang w:eastAsia="en-US"/>
        </w:rPr>
        <w:lastRenderedPageBreak/>
        <w:t>v prílohe II vykonávacieho nariadenia Komisie č. 288/2014. RO pri vypracovaní OP</w:t>
      </w:r>
      <w:r w:rsidR="00A90637">
        <w:rPr>
          <w:lang w:eastAsia="en-US"/>
        </w:rPr>
        <w:t xml:space="preserve"> </w:t>
      </w:r>
      <w:r>
        <w:rPr>
          <w:lang w:eastAsia="en-US"/>
        </w:rPr>
        <w:t>RH postupuje podľa vzoru uvedeného v prílohe I vykonávacieho nariadenia Komisie č. 771/2014.</w:t>
      </w:r>
    </w:p>
    <w:p w14:paraId="14157F9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stanoví stratégiu OP s prínosom pre stratégiu Európa 2020 v súlade so všeobecným nariadením, pravidlami pre jednotlivé EŠIF a s obsahom PD. Každý OP obsahuje opatrenia na</w:t>
      </w:r>
      <w:r w:rsidR="00A90637">
        <w:rPr>
          <w:lang w:eastAsia="en-US"/>
        </w:rPr>
        <w:t> </w:t>
      </w:r>
      <w:r>
        <w:rPr>
          <w:lang w:eastAsia="en-US"/>
        </w:rPr>
        <w:t xml:space="preserve">zabezpečenie účinného, efektívneho a koordinovaného vykonávania EŠIF. </w:t>
      </w:r>
    </w:p>
    <w:p w14:paraId="17CD9915"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w:t>
      </w:r>
      <w:r w:rsidR="00C36322">
        <w:rPr>
          <w:lang w:eastAsia="en-US"/>
        </w:rPr>
        <w:t> </w:t>
      </w:r>
      <w:r>
        <w:rPr>
          <w:lang w:eastAsia="en-US"/>
        </w:rPr>
        <w:t>jednotlivé EŠIF.</w:t>
      </w:r>
    </w:p>
    <w:p w14:paraId="45767573"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Ak sa OP podieľa na makroregionálnych stratégiách, RO v príslušnom OP a v súlade s potrebami oblasti OP stanoví príspevok plánovaných intervencií do makroregionálnych stratégií.</w:t>
      </w:r>
    </w:p>
    <w:p w14:paraId="6C8486C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w:t>
      </w:r>
      <w:r w:rsidR="00412CA6">
        <w:rPr>
          <w:lang w:eastAsia="en-US"/>
        </w:rPr>
        <w:t> </w:t>
      </w:r>
      <w:r>
        <w:rPr>
          <w:lang w:eastAsia="en-US"/>
        </w:rPr>
        <w:t>vykonávaní OP zameraného na dosiahnutie cieľov ako základu pre monitorovanie, hodnotenie a preskúmanie výkonnosti. Zároveň RO pre každý EŠIF v zmysle pravidiel pre jednotlivé EŠIF stanoví spoločné ukazovatele.</w:t>
      </w:r>
    </w:p>
    <w:p w14:paraId="3334785C"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14:paraId="7EFA2E12"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14:paraId="5EC661C6"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zabezpečí vypracovanie ex ante hodnotenia OP podľa čl. 55 všeobecného nariadenia.</w:t>
      </w:r>
    </w:p>
    <w:p w14:paraId="7BA1BEDE"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sa skladá z PO. PO sa týka jedného fondu a jednej kategórie regiónu s výnimkou KF a bez</w:t>
      </w:r>
      <w:r w:rsidR="00412CA6">
        <w:rPr>
          <w:lang w:eastAsia="en-US"/>
        </w:rPr>
        <w:t> </w:t>
      </w:r>
      <w:r>
        <w:rPr>
          <w:lang w:eastAsia="en-US"/>
        </w:rPr>
        <w:t>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14:paraId="072457F8"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s prihliadnutím na jeho obsah a ciele opíše aj integrovaný prístup k územnému rozvoju so zreteľom na PD a uvedie sa, ako daný OP prispieva k dosiahnutiu jeho cieľov a k očakávaným výsledkom.</w:t>
      </w:r>
    </w:p>
    <w:p w14:paraId="184F6863"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marginalizované komunity a osoby so zdravotným postihnutím, a podľa potreby prínos k integrovanému prístupu stanovenému v PD. </w:t>
      </w:r>
    </w:p>
    <w:p w14:paraId="396466A5"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V OP sa ďalej určí:</w:t>
      </w:r>
    </w:p>
    <w:p w14:paraId="5BC2A91F"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RO, prípadne CO a OA;</w:t>
      </w:r>
    </w:p>
    <w:p w14:paraId="55DEFAA7"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orgán, ktorému má EK poukazovať platby;</w:t>
      </w:r>
    </w:p>
    <w:p w14:paraId="6642C430" w14:textId="77777777" w:rsidR="00B650E5" w:rsidRDefault="00B650E5">
      <w:pPr>
        <w:pStyle w:val="Odsekzoznamu"/>
        <w:numPr>
          <w:ilvl w:val="0"/>
          <w:numId w:val="214"/>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14:paraId="2A6D5861"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lastRenderedPageBreak/>
        <w:t>So zreteľom na obsah PD a s prihliadnutím na inštitucionálny a právny rámec SR, RO v OP tiež stanoví:</w:t>
      </w:r>
    </w:p>
    <w:p w14:paraId="3FE44D24"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14:paraId="347037FE"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14:paraId="5020E3EA" w14:textId="77777777" w:rsidR="00B650E5" w:rsidRDefault="00B650E5">
      <w:pPr>
        <w:pStyle w:val="Odsekzoznamu"/>
        <w:numPr>
          <w:ilvl w:val="0"/>
          <w:numId w:val="215"/>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14:paraId="18D45D47"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14:paraId="260B3B65"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14:paraId="17F259ED"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w:t>
      </w:r>
      <w:r w:rsidR="00412CA6">
        <w:rPr>
          <w:lang w:eastAsia="en-US"/>
        </w:rPr>
        <w:t xml:space="preserve">vykonávaní </w:t>
      </w:r>
      <w:r>
        <w:rPr>
          <w:lang w:eastAsia="en-US"/>
        </w:rPr>
        <w:t>OP, a najmä v súvislosti s prístupom k finančným prostriedkom, pričom sa vezmú do úvahy potreby rôznych cieľových skupín, ktorým hrozí takáto diskriminácia, a najmä požiadavky na</w:t>
      </w:r>
      <w:r w:rsidR="00412CA6">
        <w:rPr>
          <w:lang w:eastAsia="en-US"/>
        </w:rPr>
        <w:t> </w:t>
      </w:r>
      <w:r>
        <w:rPr>
          <w:lang w:eastAsia="en-US"/>
        </w:rPr>
        <w:t>zabezpečenie prístupu osôb so zdravotným postihnutím;</w:t>
      </w:r>
    </w:p>
    <w:p w14:paraId="47709078" w14:textId="77777777" w:rsidR="00B650E5" w:rsidRDefault="00B650E5">
      <w:pPr>
        <w:pStyle w:val="Odsekzoznamu"/>
        <w:numPr>
          <w:ilvl w:val="0"/>
          <w:numId w:val="216"/>
        </w:numPr>
        <w:spacing w:before="120" w:after="120"/>
        <w:ind w:left="851" w:hanging="425"/>
        <w:contextualSpacing w:val="0"/>
        <w:jc w:val="both"/>
        <w:rPr>
          <w:lang w:eastAsia="en-US"/>
        </w:rPr>
      </w:pPr>
      <w:r>
        <w:rPr>
          <w:lang w:eastAsia="en-US"/>
        </w:rPr>
        <w:t>príspevku OP k podpore rovnosti medzi mužmi a ženami, a v prípade potreby opis opatrení na zabezpečenie začlenenia rodového hľadiska na úrovni OP a operácie.</w:t>
      </w:r>
    </w:p>
    <w:p w14:paraId="44632E59"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14:paraId="2BF5F59C" w14:textId="77777777" w:rsidR="00B650E5" w:rsidRDefault="00B650E5">
      <w:pPr>
        <w:pStyle w:val="Odsekzoznamu"/>
        <w:numPr>
          <w:ilvl w:val="0"/>
          <w:numId w:val="213"/>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14:paraId="15DC1D05" w14:textId="77777777" w:rsidR="00B650E5" w:rsidRDefault="00B650E5">
      <w:pPr>
        <w:pStyle w:val="SRK3"/>
      </w:pPr>
      <w:bookmarkStart w:id="112" w:name="_Toc453233966"/>
      <w:bookmarkStart w:id="113" w:name="_Toc501630018"/>
      <w:r>
        <w:t>2.2.2 Prijatie a zmena operačného programu</w:t>
      </w:r>
      <w:bookmarkEnd w:id="111"/>
      <w:bookmarkEnd w:id="112"/>
      <w:bookmarkEnd w:id="113"/>
    </w:p>
    <w:p w14:paraId="3851F6E6"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14:paraId="3B79A43B"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14:paraId="449E3AA2"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14:paraId="053C3278"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14:paraId="7168E25C"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lastRenderedPageBreak/>
        <w:t>EK v súlade s pravidlami pre jednotlivé EŠIF schváli každý OP najneskôr šesť mesiacov po jeho predložení príslušným RO za predpokladu, že všetky pripomienky EK boli primerane zohľadnené.</w:t>
      </w:r>
    </w:p>
    <w:p w14:paraId="5FC0C92C"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14:paraId="01F2909A"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r>
        <w:rPr>
          <w:rStyle w:val="Odkaznapoznmkupodiarou"/>
          <w:lang w:eastAsia="en-US"/>
        </w:rPr>
        <w:footnoteReference w:id="25"/>
      </w:r>
      <w:r>
        <w:rPr>
          <w:lang w:eastAsia="en-US"/>
        </w:rPr>
        <w:t xml:space="preserve"> stanovených v OP, a to pri zohľadnení všeobecného nariadenia, pravidiel pre jednotlivé EŠIF, princípov uvedených v čl. 5, 7, 8 všeobecného nariadenia, ako aj PD.</w:t>
      </w:r>
    </w:p>
    <w:p w14:paraId="51A221D6" w14:textId="77777777" w:rsidR="00B650E5" w:rsidRDefault="00B650E5">
      <w:pPr>
        <w:pStyle w:val="Odsekzoznamu"/>
        <w:numPr>
          <w:ilvl w:val="0"/>
          <w:numId w:val="217"/>
        </w:numPr>
        <w:spacing w:before="120" w:after="120"/>
        <w:ind w:left="425" w:hanging="425"/>
        <w:contextualSpacing w:val="0"/>
        <w:jc w:val="both"/>
        <w:rPr>
          <w:lang w:eastAsia="en-US"/>
        </w:rPr>
      </w:pPr>
      <w:r>
        <w:rPr>
          <w:lang w:eastAsia="en-US"/>
        </w:rPr>
        <w:t>Zmena OP sa realizuje v zmysle čl. 30 a 96 všeobecného nariadenia</w:t>
      </w:r>
      <w:r w:rsidR="00110145">
        <w:rPr>
          <w:lang w:eastAsia="en-US"/>
        </w:rPr>
        <w:t>, resp. v zmysle článku 20</w:t>
      </w:r>
      <w:r>
        <w:rPr>
          <w:lang w:eastAsia="en-US"/>
        </w:rPr>
        <w:t xml:space="preserve"> </w:t>
      </w:r>
      <w:r w:rsidR="00110145">
        <w:rPr>
          <w:lang w:eastAsia="en-US"/>
        </w:rPr>
        <w:t>nariadenia o ENRF.</w:t>
      </w:r>
    </w:p>
    <w:p w14:paraId="53F8E9EE" w14:textId="6624EF74" w:rsidR="00B650E5" w:rsidRDefault="00B650E5" w:rsidP="00742DC5">
      <w:pPr>
        <w:pStyle w:val="Odsekzoznamu"/>
        <w:numPr>
          <w:ilvl w:val="0"/>
          <w:numId w:val="217"/>
        </w:numPr>
        <w:spacing w:before="120" w:after="120"/>
        <w:ind w:left="426" w:hanging="426"/>
        <w:contextualSpacing w:val="0"/>
        <w:jc w:val="both"/>
        <w:rPr>
          <w:lang w:eastAsia="en-US"/>
        </w:rPr>
      </w:pPr>
      <w:r w:rsidRPr="00B80C21">
        <w:rPr>
          <w:lang w:eastAsia="en-US"/>
        </w:rPr>
        <w:t>V prípade potreby zmeny prvkov OP, na ktoré sa vzťahuje rozhodnutie EK,</w:t>
      </w:r>
      <w:r w:rsidR="00110145" w:rsidRPr="00110145">
        <w:rPr>
          <w:lang w:eastAsia="en-US"/>
        </w:rPr>
        <w:t xml:space="preserve"> resp. v prípade </w:t>
      </w:r>
      <w:r w:rsidR="001769A1">
        <w:rPr>
          <w:lang w:eastAsia="en-US"/>
        </w:rPr>
        <w:t xml:space="preserve">zmeny </w:t>
      </w:r>
      <w:r w:rsidR="00110145" w:rsidRPr="00110145">
        <w:rPr>
          <w:lang w:eastAsia="en-US"/>
        </w:rPr>
        <w:t>OP</w:t>
      </w:r>
      <w:r w:rsidR="00110145">
        <w:rPr>
          <w:lang w:eastAsia="en-US"/>
        </w:rPr>
        <w:t> </w:t>
      </w:r>
      <w:r w:rsidR="00110145" w:rsidRPr="00110145">
        <w:rPr>
          <w:lang w:eastAsia="en-US"/>
        </w:rPr>
        <w:t>RH, ktorá nepodlieha zjednodušen</w:t>
      </w:r>
      <w:r w:rsidR="001769A1">
        <w:rPr>
          <w:lang w:eastAsia="en-US"/>
        </w:rPr>
        <w:t>ému postupu</w:t>
      </w:r>
      <w:r w:rsidR="00110145">
        <w:rPr>
          <w:lang w:eastAsia="en-US"/>
        </w:rPr>
        <w:t>,</w:t>
      </w:r>
      <w:r w:rsidRPr="00B80C21">
        <w:rPr>
          <w:lang w:eastAsia="en-US"/>
        </w:rPr>
        <w:t xml:space="preserve"> RO vypracuje návrh zmeny OP a predloží ho na schválenie</w:t>
      </w:r>
      <w:r w:rsidR="0076572D">
        <w:rPr>
          <w:lang w:eastAsia="en-US"/>
        </w:rPr>
        <w:t xml:space="preserve"> </w:t>
      </w:r>
      <w:r w:rsidR="00BA4268">
        <w:rPr>
          <w:lang w:eastAsia="en-US"/>
        </w:rPr>
        <w:t xml:space="preserve">MV a následne </w:t>
      </w:r>
      <w:r w:rsidR="00721F46">
        <w:rPr>
          <w:lang w:eastAsia="en-US"/>
        </w:rPr>
        <w:t>vláde SR</w:t>
      </w:r>
      <w:r w:rsidRPr="00B80C21">
        <w:rPr>
          <w:lang w:eastAsia="en-US"/>
        </w:rPr>
        <w:t>.</w:t>
      </w:r>
      <w:r>
        <w:rPr>
          <w:lang w:eastAsia="en-US"/>
        </w:rPr>
        <w:t xml:space="preserve"> Po schválení návrhu </w:t>
      </w:r>
      <w:r w:rsidR="00721F46">
        <w:rPr>
          <w:lang w:eastAsia="en-US"/>
        </w:rPr>
        <w:t>vládou SR</w:t>
      </w:r>
      <w:r w:rsidR="00D3386A">
        <w:rPr>
          <w:lang w:eastAsia="en-US"/>
        </w:rPr>
        <w:t xml:space="preserve"> </w:t>
      </w:r>
      <w:r>
        <w:rPr>
          <w:lang w:eastAsia="en-US"/>
        </w:rPr>
        <w:t>predloží RO návrh na</w:t>
      </w:r>
      <w:r w:rsidR="00412CA6">
        <w:rPr>
          <w:lang w:eastAsia="en-US"/>
        </w:rPr>
        <w:t> </w:t>
      </w:r>
      <w:r>
        <w:rPr>
          <w:lang w:eastAsia="en-US"/>
        </w:rPr>
        <w:t>schválenie EK prostredníctvom SFC2014.</w:t>
      </w:r>
      <w:r w:rsidR="00BA4268">
        <w:rPr>
          <w:lang w:eastAsia="en-US"/>
        </w:rPr>
        <w:t xml:space="preserve"> </w:t>
      </w:r>
      <w:r w:rsidR="00A5395D">
        <w:rPr>
          <w:lang w:eastAsia="en-US"/>
        </w:rPr>
        <w:t xml:space="preserve">RO </w:t>
      </w:r>
      <w:r w:rsidR="00BA4268">
        <w:rPr>
          <w:lang w:eastAsia="en-US"/>
        </w:rPr>
        <w:t>môže v odôvodnených prípadoch predložiť návrh cez SFC2014 aj pred schválením vládou SR.</w:t>
      </w:r>
    </w:p>
    <w:p w14:paraId="0F33427B" w14:textId="3735349B" w:rsidR="00B650E5" w:rsidRDefault="00B650E5" w:rsidP="00742DC5">
      <w:pPr>
        <w:pStyle w:val="Odsekzoznamu"/>
        <w:numPr>
          <w:ilvl w:val="0"/>
          <w:numId w:val="217"/>
        </w:numPr>
        <w:spacing w:before="120" w:after="120"/>
        <w:ind w:left="426" w:hanging="426"/>
        <w:contextualSpacing w:val="0"/>
        <w:jc w:val="both"/>
        <w:rPr>
          <w:lang w:eastAsia="en-US"/>
        </w:rPr>
      </w:pPr>
      <w:r>
        <w:rPr>
          <w:lang w:eastAsia="en-US"/>
        </w:rPr>
        <w:t xml:space="preserve">V prípade potreby zmeny prvkov OP, na ktoré sa nevzťahuje rozhodnutie EK, </w:t>
      </w:r>
      <w:r w:rsidR="00742DC5" w:rsidRPr="00742DC5">
        <w:rPr>
          <w:lang w:eastAsia="en-US"/>
        </w:rPr>
        <w:t xml:space="preserve">resp. v prípade </w:t>
      </w:r>
      <w:r w:rsidR="001769A1">
        <w:rPr>
          <w:lang w:eastAsia="en-US"/>
        </w:rPr>
        <w:t xml:space="preserve">zmeny </w:t>
      </w:r>
      <w:r w:rsidR="00742DC5" w:rsidRPr="00742DC5">
        <w:rPr>
          <w:lang w:eastAsia="en-US"/>
        </w:rPr>
        <w:t>OP RH, ktorá podlieha zjednodušen</w:t>
      </w:r>
      <w:r w:rsidR="001769A1">
        <w:rPr>
          <w:lang w:eastAsia="en-US"/>
        </w:rPr>
        <w:t>ému postupu</w:t>
      </w:r>
      <w:r w:rsidR="00742DC5" w:rsidRPr="00742DC5">
        <w:rPr>
          <w:lang w:eastAsia="en-US"/>
        </w:rPr>
        <w:t xml:space="preserve">, </w:t>
      </w:r>
      <w:r>
        <w:rPr>
          <w:lang w:eastAsia="en-US"/>
        </w:rPr>
        <w:t xml:space="preserve">RO </w:t>
      </w:r>
      <w:r w:rsidR="009535DA">
        <w:rPr>
          <w:lang w:eastAsia="en-US"/>
        </w:rPr>
        <w:t>vypracuje návrh zmeny OP a predloží ho na schválenie MV. RO</w:t>
      </w:r>
      <w:r>
        <w:rPr>
          <w:lang w:eastAsia="en-US"/>
        </w:rPr>
        <w:t xml:space="preserve"> informuje o tejto skutočnosti EK do jedného mesiaca od vykonania zmeny</w:t>
      </w:r>
      <w:r w:rsidR="00742DC5">
        <w:rPr>
          <w:lang w:eastAsia="en-US"/>
        </w:rPr>
        <w:t xml:space="preserve">, </w:t>
      </w:r>
      <w:r w:rsidR="00742DC5" w:rsidRPr="00742DC5">
        <w:rPr>
          <w:lang w:eastAsia="en-US"/>
        </w:rPr>
        <w:t>v prípade OP RH RO zasiela EK žiadosť o schválenie zmeny na základe zjednodušeného postupu</w:t>
      </w:r>
      <w:r w:rsidR="00D3386A">
        <w:rPr>
          <w:lang w:eastAsia="en-US"/>
        </w:rPr>
        <w:t>.</w:t>
      </w:r>
    </w:p>
    <w:p w14:paraId="3C8A1531" w14:textId="77777777" w:rsidR="00B650E5" w:rsidRDefault="00B650E5">
      <w:pPr>
        <w:pStyle w:val="SRK2"/>
        <w:rPr>
          <w:rStyle w:val="Nadpis1Char"/>
          <w:bCs/>
          <w:sz w:val="36"/>
          <w:szCs w:val="26"/>
        </w:rPr>
      </w:pPr>
      <w:bookmarkStart w:id="114" w:name="_Toc453233967"/>
      <w:bookmarkStart w:id="115" w:name="_Toc501630019"/>
      <w:r>
        <w:rPr>
          <w:rStyle w:val="Nadpis1Char"/>
          <w:bCs/>
          <w:sz w:val="36"/>
          <w:szCs w:val="26"/>
        </w:rPr>
        <w:t>2.3</w:t>
      </w:r>
      <w:r>
        <w:t xml:space="preserve"> </w:t>
      </w:r>
      <w:r>
        <w:rPr>
          <w:rStyle w:val="Nadpis1Char"/>
          <w:bCs/>
          <w:sz w:val="36"/>
          <w:szCs w:val="26"/>
        </w:rPr>
        <w:t xml:space="preserve">Riadiaca dokumentácia na úrovni </w:t>
      </w:r>
      <w:bookmarkEnd w:id="94"/>
      <w:r>
        <w:rPr>
          <w:rStyle w:val="Nadpis1Char"/>
          <w:bCs/>
          <w:sz w:val="36"/>
          <w:szCs w:val="26"/>
        </w:rPr>
        <w:t>operačného programu</w:t>
      </w:r>
      <w:bookmarkEnd w:id="114"/>
      <w:bookmarkEnd w:id="115"/>
    </w:p>
    <w:p w14:paraId="185BCE9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bookmarkStart w:id="116" w:name="_Toc378947483"/>
      <w:r>
        <w:rPr>
          <w:u w:val="single"/>
        </w:rPr>
        <w:t>Relevantná úprava v legislatíve EÚ:</w:t>
      </w:r>
      <w:r>
        <w:rPr>
          <w:bCs/>
          <w:i/>
          <w:iCs/>
          <w:sz w:val="22"/>
        </w:rPr>
        <w:t xml:space="preserve"> </w:t>
      </w:r>
    </w:p>
    <w:p w14:paraId="1511763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rPr>
      </w:pPr>
      <w:r>
        <w:rPr>
          <w:bCs/>
          <w:i/>
          <w:iCs/>
          <w:sz w:val="22"/>
        </w:rPr>
        <w:t xml:space="preserve">Čl. 72, 74, 122 a 125 všeobecného nariadenia </w:t>
      </w:r>
    </w:p>
    <w:p w14:paraId="59F1AD8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
          <w:sz w:val="22"/>
        </w:rPr>
      </w:pPr>
      <w:r>
        <w:rPr>
          <w:bCs/>
          <w:i/>
          <w:iCs/>
          <w:sz w:val="22"/>
        </w:rPr>
        <w:t>Čl. 25 Delegovaného nariadenia EK č. 480/2014</w:t>
      </w:r>
    </w:p>
    <w:p w14:paraId="279B8DD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159DD4A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rPr>
      </w:pPr>
      <w:r>
        <w:rPr>
          <w:bCs/>
          <w:i/>
          <w:iCs/>
          <w:sz w:val="22"/>
        </w:rPr>
        <w:t>§ 7 zákona o príspevku z EŠIF</w:t>
      </w:r>
    </w:p>
    <w:p w14:paraId="62F449E2" w14:textId="77777777" w:rsidR="00B650E5" w:rsidRDefault="00B650E5">
      <w:pPr>
        <w:numPr>
          <w:ilvl w:val="0"/>
          <w:numId w:val="294"/>
        </w:numPr>
        <w:spacing w:before="120" w:after="120"/>
        <w:ind w:left="426" w:hanging="426"/>
        <w:jc w:val="both"/>
        <w:rPr>
          <w:szCs w:val="22"/>
          <w:lang w:eastAsia="en-US"/>
        </w:rPr>
      </w:pPr>
      <w:r>
        <w:rPr>
          <w:szCs w:val="22"/>
          <w:lang w:eastAsia="en-US"/>
        </w:rPr>
        <w:t xml:space="preserve">RO vypracúva riadiacu dokumentáciu na úrovni OP s cieľom splnenia podmienok kladených legislatívou EÚ a SR na riadenie OP v súlade so zásadou riadneho finančného hospodárenia. </w:t>
      </w:r>
    </w:p>
    <w:p w14:paraId="50C351EB" w14:textId="77777777" w:rsidR="00B650E5" w:rsidRDefault="00B650E5">
      <w:pPr>
        <w:numPr>
          <w:ilvl w:val="0"/>
          <w:numId w:val="294"/>
        </w:numPr>
        <w:spacing w:before="120" w:after="120"/>
        <w:ind w:left="426" w:hanging="426"/>
        <w:jc w:val="both"/>
        <w:rPr>
          <w:szCs w:val="22"/>
          <w:lang w:eastAsia="en-US"/>
        </w:rPr>
      </w:pPr>
      <w:r>
        <w:rPr>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14:paraId="702A9702" w14:textId="77777777" w:rsidR="00B650E5" w:rsidRDefault="00B650E5">
      <w:pPr>
        <w:numPr>
          <w:ilvl w:val="0"/>
          <w:numId w:val="294"/>
        </w:numPr>
        <w:spacing w:before="120" w:after="120"/>
        <w:ind w:left="426" w:hanging="426"/>
        <w:jc w:val="both"/>
        <w:rPr>
          <w:color w:val="365F91"/>
        </w:rPr>
      </w:pPr>
      <w:r>
        <w:t>Riadiacu dokumentáciu na úrovni OP RO vypracúva s cieľom bližšej špecifikácie výkonu jednotlivých činností</w:t>
      </w:r>
      <w:r w:rsidR="006F3B93">
        <w:t xml:space="preserve">, </w:t>
      </w:r>
      <w:r>
        <w:t xml:space="preserve"> ako aj bližšieho definovania podmienok a zásad stanovených v príslušnom OP.</w:t>
      </w:r>
    </w:p>
    <w:p w14:paraId="2CF0247C" w14:textId="77777777" w:rsidR="00B650E5" w:rsidRDefault="00B650E5">
      <w:pPr>
        <w:pStyle w:val="SRK3"/>
      </w:pPr>
      <w:bookmarkStart w:id="117" w:name="_Toc453233968"/>
      <w:bookmarkStart w:id="118" w:name="_Toc501630020"/>
      <w:r>
        <w:lastRenderedPageBreak/>
        <w:t>2.3.1 Manuál procedúr</w:t>
      </w:r>
      <w:bookmarkEnd w:id="116"/>
      <w:bookmarkEnd w:id="117"/>
      <w:bookmarkEnd w:id="118"/>
    </w:p>
    <w:p w14:paraId="13B46D29" w14:textId="77777777" w:rsidR="00B650E5" w:rsidRDefault="00B650E5">
      <w:pPr>
        <w:numPr>
          <w:ilvl w:val="0"/>
          <w:numId w:val="295"/>
        </w:numPr>
        <w:spacing w:before="120" w:after="120"/>
        <w:ind w:left="426" w:hanging="426"/>
        <w:jc w:val="both"/>
      </w:pPr>
      <w:bookmarkStart w:id="119" w:name="_Toc378947484"/>
      <w:r>
        <w:t>Manuál procedúr v písomnej forme zachytáva procesy a postupy zabezpečenia primeranej kontroly priebehu OP (audit trail) na úrovni jednotlivých pracovných pozícií v organizačnej štruktúre RO, SO, PJ alebo gestora HP, časové limity na realizáciu jednotlivých postupov a vstupné a výstupné dokumenty jednotlivých postupov a podmienky uchovávania dokumentov.</w:t>
      </w:r>
    </w:p>
    <w:p w14:paraId="0BCC75A5" w14:textId="77777777" w:rsidR="00B650E5" w:rsidRDefault="00B650E5">
      <w:pPr>
        <w:numPr>
          <w:ilvl w:val="0"/>
          <w:numId w:val="295"/>
        </w:numPr>
        <w:spacing w:before="120" w:after="120"/>
        <w:ind w:left="426" w:hanging="426"/>
        <w:jc w:val="both"/>
      </w:pPr>
      <w:r>
        <w:t>Manuál procedúr zachytáva procesné aspekty realizácie OP a je vypracovaný v súlade s programovými dokumentmi vypracovanými v zmysle Systému riadenia EŠIF, Systému finančného riadenia a ostatnými relevantnými riadiacimi dokumentmi v súlade so vzorom</w:t>
      </w:r>
      <w:r>
        <w:rPr>
          <w:rStyle w:val="Odkaznapoznmkupodiarou"/>
        </w:rPr>
        <w:footnoteReference w:id="26"/>
      </w:r>
      <w:r>
        <w:t xml:space="preserve"> vydaným CKO, ktorý definuje minimálne požiadavky na jeho obsah. 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r w:rsidR="00760B8C">
        <w:t>.</w:t>
      </w:r>
    </w:p>
    <w:p w14:paraId="3DC9F3D0" w14:textId="77777777" w:rsidR="00B650E5" w:rsidRDefault="00B650E5">
      <w:pPr>
        <w:numPr>
          <w:ilvl w:val="0"/>
          <w:numId w:val="295"/>
        </w:numPr>
        <w:spacing w:before="120" w:after="120"/>
        <w:ind w:left="426" w:hanging="426"/>
        <w:jc w:val="both"/>
      </w:pPr>
      <w:r>
        <w:t>Za jednotlivými kapitolami manuálu procedúr popisujúcimi procesy a postupy alebo ako samostatnú komplexnú časť manuálu procedúr, RO doplní názorný audit trail jednotlivých procesov a postupov.</w:t>
      </w:r>
    </w:p>
    <w:p w14:paraId="079B473C" w14:textId="77777777" w:rsidR="00B650E5" w:rsidRDefault="00B650E5">
      <w:pPr>
        <w:numPr>
          <w:ilvl w:val="0"/>
          <w:numId w:val="295"/>
        </w:numPr>
        <w:spacing w:before="120" w:after="120"/>
        <w:ind w:left="426" w:hanging="426"/>
        <w:jc w:val="both"/>
      </w:pPr>
      <w:r>
        <w:t>Forma popisu jednotlivých procesov musí spĺňať podmienku dostatočnej prehľadnosti a najmä úplnosti informácie. To znamená, že popis procesu, resp. kombinácia popisov k procesu obsahuje minimálne nasledujúce prvky:</w:t>
      </w:r>
    </w:p>
    <w:p w14:paraId="6B088603" w14:textId="77777777" w:rsidR="00B650E5" w:rsidRDefault="00B650E5">
      <w:pPr>
        <w:pStyle w:val="Odsekzoznamu"/>
        <w:numPr>
          <w:ilvl w:val="2"/>
          <w:numId w:val="296"/>
        </w:numPr>
        <w:spacing w:before="120" w:after="120"/>
        <w:ind w:left="850" w:hanging="425"/>
        <w:contextualSpacing w:val="0"/>
        <w:jc w:val="both"/>
      </w:pPr>
      <w:r>
        <w:t>názov procesu;</w:t>
      </w:r>
    </w:p>
    <w:p w14:paraId="410A0A4A" w14:textId="77777777" w:rsidR="00B650E5" w:rsidRDefault="00B650E5" w:rsidP="001B709E">
      <w:pPr>
        <w:pStyle w:val="Odsekzoznamu"/>
        <w:numPr>
          <w:ilvl w:val="2"/>
          <w:numId w:val="296"/>
        </w:numPr>
        <w:spacing w:before="120" w:after="120"/>
        <w:ind w:left="851" w:hanging="425"/>
        <w:contextualSpacing w:val="0"/>
        <w:jc w:val="both"/>
      </w:pPr>
      <w:r>
        <w:t xml:space="preserve">zodpovednosť (jednoznačne definovaná na úrovni pracovnej pozície, nesúcej zodpovednosť za danú činnosť v súlade s MP </w:t>
      </w:r>
      <w:r w:rsidR="00760B8C">
        <w:t xml:space="preserve">ÚV SR </w:t>
      </w:r>
      <w:r>
        <w:t>č. 22 k </w:t>
      </w:r>
      <w:r w:rsidR="00760B8C" w:rsidRPr="00760B8C">
        <w:t xml:space="preserve">administratívnym kapacitám </w:t>
      </w:r>
      <w:r w:rsidR="00760B8C">
        <w:t>EŠIF</w:t>
      </w:r>
      <w:r w:rsidR="00760B8C" w:rsidRPr="00760B8C">
        <w:t xml:space="preserve"> subjektov zapojených do riadenia, implementácie, kontroly a auditu</w:t>
      </w:r>
      <w:r>
        <w:t xml:space="preserve"> EŠIF v </w:t>
      </w:r>
      <w:r w:rsidR="00760B8C">
        <w:t>PO</w:t>
      </w:r>
      <w:r>
        <w:t xml:space="preserve"> 2014</w:t>
      </w:r>
      <w:r w:rsidR="0023261D">
        <w:t xml:space="preserve"> </w:t>
      </w:r>
      <w:r>
        <w:t>-</w:t>
      </w:r>
      <w:r w:rsidR="0023261D">
        <w:t xml:space="preserve"> </w:t>
      </w:r>
      <w:r>
        <w:t>2020; ak je to nevyhnuté pre jednoznačné definovanie činnosti, je možné zadefinovať aj participujúce pracovné pozície s jasným vyznačením, že na uvedenej činnosti iba participujú);</w:t>
      </w:r>
    </w:p>
    <w:p w14:paraId="3939939F" w14:textId="0F2FE665" w:rsidR="00B650E5" w:rsidRDefault="00B650E5">
      <w:pPr>
        <w:pStyle w:val="Odsekzoznamu"/>
        <w:numPr>
          <w:ilvl w:val="2"/>
          <w:numId w:val="296"/>
        </w:numPr>
        <w:spacing w:before="120" w:after="120"/>
        <w:ind w:left="850" w:hanging="425"/>
        <w:contextualSpacing w:val="0"/>
        <w:jc w:val="both"/>
      </w:pPr>
      <w:r>
        <w:t xml:space="preserve">časový limit (lehota na vykonanie danej činnosti, daná zmluvnými vzťahmi, predpismi alebo je z nich odvodená napr. </w:t>
      </w:r>
      <w:r w:rsidR="00C5057A">
        <w:t>bezodkladne</w:t>
      </w:r>
      <w:r>
        <w:t>, 5 pracovných dní a pod.). Lehota môže byť aj podmienená, napr. 5 dní po doručení dokumentu, avšak celkový proces, resp. jeho trvanie musí byť časovo riadené. Lehoty počítané podľa dní sú v manuáli procedúr určované v pracovných dňoch;</w:t>
      </w:r>
    </w:p>
    <w:p w14:paraId="70E11353" w14:textId="77777777" w:rsidR="00B650E5" w:rsidRDefault="00B650E5">
      <w:pPr>
        <w:pStyle w:val="Odsekzoznamu"/>
        <w:numPr>
          <w:ilvl w:val="2"/>
          <w:numId w:val="296"/>
        </w:numPr>
        <w:spacing w:before="120" w:after="120"/>
        <w:ind w:left="850" w:hanging="425"/>
        <w:contextualSpacing w:val="0"/>
        <w:jc w:val="both"/>
      </w:pPr>
      <w:r>
        <w:t>dokumenty (dokumenty, ktoré iniciujú danú činnosť (vstupy) a dokumenty, ktoré sa vygenerujú/modifikujú ako výstup činnosti);</w:t>
      </w:r>
    </w:p>
    <w:p w14:paraId="05AF4BD2" w14:textId="77777777" w:rsidR="00B650E5" w:rsidRDefault="00B650E5">
      <w:pPr>
        <w:pStyle w:val="Odsekzoznamu"/>
        <w:numPr>
          <w:ilvl w:val="2"/>
          <w:numId w:val="296"/>
        </w:numPr>
        <w:spacing w:before="120" w:after="120"/>
        <w:ind w:left="850" w:hanging="425"/>
        <w:contextualSpacing w:val="0"/>
        <w:jc w:val="both"/>
      </w:pPr>
      <w:r>
        <w:t>podpora ITMS 2014+ (status procesného prechodu v ITMS 2014+ dosiahnutý danou činnosťou, ak relevantné).</w:t>
      </w:r>
    </w:p>
    <w:p w14:paraId="30FC63B9" w14:textId="77777777" w:rsidR="00B650E5" w:rsidRDefault="00B650E5">
      <w:pPr>
        <w:numPr>
          <w:ilvl w:val="0"/>
          <w:numId w:val="295"/>
        </w:numPr>
        <w:spacing w:before="120" w:after="120"/>
        <w:ind w:left="426" w:hanging="426"/>
        <w:jc w:val="both"/>
      </w:pPr>
      <w:r>
        <w:t xml:space="preserve">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v priebehu kalendárneho roka tak, že akákoľvek zmena bude </w:t>
      </w:r>
      <w:r>
        <w:lastRenderedPageBreak/>
        <w:t>vykonaná vydaním konsolidovanej verzie. RO konsolidovanú verziu uchováva minimálne v elektronickej podobe, pričom schváleniu a podpisu podlieha úvodná strana dokumentu s</w:t>
      </w:r>
      <w:r w:rsidR="00760B8C">
        <w:t> </w:t>
      </w:r>
      <w:r>
        <w:t>uvedením dátumu platnosti a zoznamom vykonaných zmien. RO konsolidovanú verziu v papierovej podobe v počte rovnopisov podľa vnútorných pravidiel vydáva minimálne vždy pri</w:t>
      </w:r>
      <w:r w:rsidR="00760B8C">
        <w:t> </w:t>
      </w:r>
      <w:r>
        <w:t>prvej potrebnej aktualizácii v rámci kalendárneho roka. Pri distribúcii manuálu procedúr RO dodržiava povinnosti uvedené v úlohách RO stanovených v </w:t>
      </w:r>
      <w:hyperlink w:anchor="kapitola_1321" w:tooltip="kapitole 1.3.2.1" w:history="1">
        <w:r>
          <w:rPr>
            <w:rStyle w:val="Hypertextovprepojenie"/>
          </w:rPr>
          <w:t>kapitole 1.3.2.1</w:t>
        </w:r>
      </w:hyperlink>
      <w:r>
        <w:t>.</w:t>
      </w:r>
    </w:p>
    <w:p w14:paraId="5D8A7F08" w14:textId="77777777" w:rsidR="00B650E5" w:rsidRDefault="00B650E5">
      <w:pPr>
        <w:numPr>
          <w:ilvl w:val="0"/>
          <w:numId w:val="295"/>
        </w:numPr>
        <w:spacing w:before="120" w:after="120"/>
        <w:ind w:left="426" w:hanging="426"/>
        <w:jc w:val="both"/>
      </w:pPr>
      <w:r>
        <w:t>Ustanovenia definované v tejto podkapitole a vo vzore</w:t>
      </w:r>
      <w:r>
        <w:rPr>
          <w:rStyle w:val="Odkaznapoznmkupodiarou"/>
        </w:rPr>
        <w:footnoteReference w:id="27"/>
      </w:r>
      <w:r>
        <w:t xml:space="preserve"> manuálu procedúr sa v prípade manuálov procedúr gestorov HP a CKO aplikujú primerane s ohľadom na ich úlohy vykonávané v rámci implementácie PD a jednotlivých OP.</w:t>
      </w:r>
    </w:p>
    <w:p w14:paraId="2538330B" w14:textId="3BA65A21" w:rsidR="00B650E5" w:rsidRDefault="00B650E5">
      <w:pPr>
        <w:pStyle w:val="SRK3"/>
      </w:pPr>
      <w:bookmarkStart w:id="120" w:name="_Toc453233969"/>
      <w:bookmarkStart w:id="121" w:name="_Toc501630021"/>
      <w:r>
        <w:t>2.3.2 Opis systém</w:t>
      </w:r>
      <w:r w:rsidR="00FB1BE9">
        <w:t>ov</w:t>
      </w:r>
      <w:r>
        <w:t xml:space="preserve"> riadenia a kontroly</w:t>
      </w:r>
      <w:bookmarkEnd w:id="119"/>
      <w:bookmarkEnd w:id="120"/>
      <w:bookmarkEnd w:id="121"/>
    </w:p>
    <w:p w14:paraId="780AFE5D" w14:textId="5DA68449" w:rsidR="00B650E5" w:rsidRDefault="00B650E5">
      <w:pPr>
        <w:numPr>
          <w:ilvl w:val="0"/>
          <w:numId w:val="297"/>
        </w:numPr>
        <w:spacing w:before="120" w:after="120"/>
        <w:ind w:left="425" w:hanging="425"/>
        <w:jc w:val="both"/>
        <w:rPr>
          <w:szCs w:val="22"/>
          <w:lang w:eastAsia="en-US"/>
        </w:rPr>
      </w:pPr>
      <w:bookmarkStart w:id="122" w:name="_Toc378947485"/>
      <w:r>
        <w:t xml:space="preserve">Predpokladom pre výkon audítorskej činnosti, ktorú vykonáva nezávislý auditný subjekt počas auditu pripravenosti je </w:t>
      </w:r>
      <w:r w:rsidR="00B73E06">
        <w:t xml:space="preserve">okrem iného aj </w:t>
      </w:r>
      <w:r>
        <w:t>predloženie opisu systémov riadenia a kontroly na úrovni RO. Za prípravu opisu systémov riadenia a kontroly je zodpovedný RO. V závislosti od</w:t>
      </w:r>
      <w:r w:rsidR="00760B8C">
        <w:t> </w:t>
      </w:r>
      <w:r>
        <w:t>nastavenia riadiacich a kontrolných systémov, za prípravu jednotlivých častí opis</w:t>
      </w:r>
      <w:r w:rsidR="00FB1BE9">
        <w:t>u</w:t>
      </w:r>
      <w:r>
        <w:t xml:space="preserve"> </w:t>
      </w:r>
      <w:r w:rsidR="00FB1BE9">
        <w:t xml:space="preserve">systémov </w:t>
      </w:r>
      <w:r>
        <w:t>riadenia a kontroly môžu byť zodpovedné rôzne orgány alebo organizácie. RO je zodpovedný za</w:t>
      </w:r>
      <w:r w:rsidR="00760B8C">
        <w:t> </w:t>
      </w:r>
      <w:r>
        <w:t>opis funkcií delegovaných na SO pod jeho dohľadom.</w:t>
      </w:r>
    </w:p>
    <w:p w14:paraId="58CD4007" w14:textId="582DCD58" w:rsidR="00B650E5" w:rsidRDefault="00B650E5">
      <w:pPr>
        <w:numPr>
          <w:ilvl w:val="0"/>
          <w:numId w:val="297"/>
        </w:numPr>
        <w:spacing w:before="120" w:after="120"/>
        <w:jc w:val="both"/>
        <w:rPr>
          <w:szCs w:val="22"/>
          <w:lang w:eastAsia="en-US"/>
        </w:rPr>
      </w:pPr>
      <w:r>
        <w:rPr>
          <w:szCs w:val="22"/>
          <w:lang w:eastAsia="en-US"/>
        </w:rPr>
        <w:t xml:space="preserve">RO vypracúva opis </w:t>
      </w:r>
      <w:r w:rsidR="00FB1BE9">
        <w:rPr>
          <w:szCs w:val="22"/>
          <w:lang w:eastAsia="en-US"/>
        </w:rPr>
        <w:t xml:space="preserve">systémov </w:t>
      </w:r>
      <w:r>
        <w:rPr>
          <w:szCs w:val="22"/>
          <w:lang w:eastAsia="en-US"/>
        </w:rPr>
        <w:t>riadenia a kontroly v súlade so vzorom</w:t>
      </w:r>
      <w:r>
        <w:rPr>
          <w:rStyle w:val="Odkaznapoznmkupodiarou"/>
          <w:szCs w:val="22"/>
          <w:lang w:eastAsia="en-US"/>
        </w:rPr>
        <w:footnoteReference w:id="28"/>
      </w:r>
      <w:r>
        <w:rPr>
          <w:szCs w:val="22"/>
          <w:lang w:eastAsia="en-US"/>
        </w:rPr>
        <w:t xml:space="preserve"> a postupom stanoveným CKO v metodickom pokyne</w:t>
      </w:r>
      <w:r>
        <w:rPr>
          <w:rStyle w:val="Odkaznapoznmkupodiarou"/>
          <w:szCs w:val="22"/>
          <w:lang w:eastAsia="en-US"/>
        </w:rPr>
        <w:footnoteReference w:id="29"/>
      </w:r>
      <w:r>
        <w:rPr>
          <w:szCs w:val="22"/>
          <w:lang w:eastAsia="en-US"/>
        </w:rPr>
        <w:t>.</w:t>
      </w:r>
    </w:p>
    <w:p w14:paraId="551E2B54" w14:textId="702B873A" w:rsidR="00B650E5" w:rsidRDefault="00B650E5">
      <w:pPr>
        <w:numPr>
          <w:ilvl w:val="0"/>
          <w:numId w:val="297"/>
        </w:numPr>
        <w:spacing w:before="120" w:after="120"/>
        <w:ind w:left="425" w:hanging="425"/>
        <w:jc w:val="both"/>
        <w:rPr>
          <w:szCs w:val="22"/>
          <w:lang w:eastAsia="en-US"/>
        </w:rPr>
      </w:pPr>
      <w:r>
        <w:rPr>
          <w:szCs w:val="22"/>
          <w:lang w:eastAsia="en-US"/>
        </w:rPr>
        <w:t xml:space="preserve">Ustanovenia, ktoré sú súčasťou opisu </w:t>
      </w:r>
      <w:r w:rsidR="00B73E06">
        <w:rPr>
          <w:szCs w:val="22"/>
          <w:lang w:eastAsia="en-US"/>
        </w:rPr>
        <w:t xml:space="preserve">systémov </w:t>
      </w:r>
      <w:r>
        <w:rPr>
          <w:szCs w:val="22"/>
          <w:lang w:eastAsia="en-US"/>
        </w:rPr>
        <w:t>riadenia a kontroly a ktoré vyžadujú podrobnejšiu úpravu procesu, RO upraví v manuáli procedúr. RO zabezpečí, aby nedochádzalo k duplicitnému uvádzaniu totožných údajov v rámci manuálu procedúr a opisu systém</w:t>
      </w:r>
      <w:r w:rsidR="00FB1BE9">
        <w:rPr>
          <w:szCs w:val="22"/>
          <w:lang w:eastAsia="en-US"/>
        </w:rPr>
        <w:t>ov</w:t>
      </w:r>
      <w:r>
        <w:rPr>
          <w:szCs w:val="22"/>
          <w:lang w:eastAsia="en-US"/>
        </w:rPr>
        <w:t xml:space="preserve"> riadenia a kontroly.</w:t>
      </w:r>
    </w:p>
    <w:p w14:paraId="017106BE" w14:textId="77777777" w:rsidR="00B650E5" w:rsidRPr="00E17A30" w:rsidRDefault="00B650E5">
      <w:pPr>
        <w:numPr>
          <w:ilvl w:val="0"/>
          <w:numId w:val="297"/>
        </w:numPr>
        <w:spacing w:before="120" w:after="120"/>
        <w:ind w:left="425" w:hanging="425"/>
        <w:jc w:val="both"/>
        <w:rPr>
          <w:szCs w:val="22"/>
          <w:lang w:eastAsia="en-US"/>
        </w:rPr>
      </w:pPr>
      <w:r w:rsidRPr="00E17A30">
        <w:rPr>
          <w:szCs w:val="22"/>
          <w:lang w:eastAsia="en-US"/>
        </w:rPr>
        <w:t>Práva a povinnosti subjektov zapojených do procesu určenia RO a CO sú predmetom úpravy v</w:t>
      </w:r>
      <w:r w:rsidR="00E17A30" w:rsidRPr="00E17A30">
        <w:rPr>
          <w:szCs w:val="22"/>
          <w:lang w:eastAsia="en-US"/>
        </w:rPr>
        <w:t> </w:t>
      </w:r>
      <w:r w:rsidRPr="00E17A30">
        <w:rPr>
          <w:szCs w:val="22"/>
          <w:lang w:eastAsia="en-US"/>
        </w:rPr>
        <w:t xml:space="preserve">metodickom </w:t>
      </w:r>
      <w:r w:rsidRPr="003569B9">
        <w:rPr>
          <w:szCs w:val="22"/>
          <w:lang w:eastAsia="en-US"/>
        </w:rPr>
        <w:t>pokyne</w:t>
      </w:r>
      <w:r w:rsidR="00E17A30">
        <w:rPr>
          <w:rStyle w:val="Odkaznapoznmkupodiarou"/>
          <w:szCs w:val="22"/>
          <w:lang w:eastAsia="en-US"/>
        </w:rPr>
        <w:footnoteReference w:id="30"/>
      </w:r>
      <w:r w:rsidRPr="00E17A30">
        <w:rPr>
          <w:szCs w:val="22"/>
          <w:lang w:eastAsia="en-US"/>
        </w:rPr>
        <w:t>.</w:t>
      </w:r>
    </w:p>
    <w:p w14:paraId="681C569A" w14:textId="77777777" w:rsidR="00B650E5" w:rsidRDefault="00B650E5">
      <w:pPr>
        <w:pStyle w:val="SRK3"/>
      </w:pPr>
      <w:bookmarkStart w:id="123" w:name="_Toc453233970"/>
      <w:bookmarkStart w:id="124" w:name="_Toc501630022"/>
      <w:r>
        <w:t xml:space="preserve">2.3.3 </w:t>
      </w:r>
      <w:bookmarkEnd w:id="122"/>
      <w:r>
        <w:t>Schémy pomoci</w:t>
      </w:r>
      <w:bookmarkEnd w:id="123"/>
      <w:bookmarkEnd w:id="124"/>
    </w:p>
    <w:p w14:paraId="223338E6" w14:textId="77777777" w:rsidR="00B650E5" w:rsidRDefault="00B650E5">
      <w:pPr>
        <w:pStyle w:val="Odsekzoznamu"/>
        <w:numPr>
          <w:ilvl w:val="0"/>
          <w:numId w:val="298"/>
        </w:numPr>
        <w:spacing w:before="120" w:after="120"/>
        <w:ind w:left="425" w:hanging="425"/>
        <w:contextualSpacing w:val="0"/>
        <w:jc w:val="both"/>
      </w:pPr>
      <w:bookmarkStart w:id="125" w:name="_Toc378947487"/>
      <w:r>
        <w:t>V prípade, ak budú prostriedky poskytované v súlade s pravidlami v oblasti štátnej pomoci, resp. pomoci de minimis</w:t>
      </w:r>
      <w:r w:rsidR="00E17A30">
        <w:t>,</w:t>
      </w:r>
      <w:r>
        <w:t xml:space="preserve"> RO vypracuje v prípade relevantnosti príslušné schémy pomoci.</w:t>
      </w:r>
    </w:p>
    <w:p w14:paraId="221AA487" w14:textId="77777777" w:rsidR="00B650E5" w:rsidRDefault="00B650E5">
      <w:pPr>
        <w:pStyle w:val="Odsekzoznamu"/>
        <w:numPr>
          <w:ilvl w:val="0"/>
          <w:numId w:val="298"/>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14:paraId="732681C4" w14:textId="77777777" w:rsidR="00B650E5" w:rsidRDefault="00B650E5">
      <w:pPr>
        <w:pStyle w:val="SRK2"/>
        <w:rPr>
          <w:rStyle w:val="Nadpis1Char"/>
          <w:sz w:val="36"/>
          <w:szCs w:val="26"/>
        </w:rPr>
      </w:pPr>
      <w:bookmarkStart w:id="126" w:name="_Toc378947488"/>
      <w:bookmarkStart w:id="127" w:name="_Toc453233971"/>
      <w:bookmarkStart w:id="128" w:name="_Toc501630023"/>
      <w:bookmarkEnd w:id="125"/>
      <w:r>
        <w:rPr>
          <w:rStyle w:val="Nadpis1Char"/>
          <w:bCs/>
          <w:sz w:val="36"/>
          <w:szCs w:val="26"/>
        </w:rPr>
        <w:t>2.4 Riadiaca dokumentácia pre výber a implementáciu projektov</w:t>
      </w:r>
      <w:bookmarkEnd w:id="126"/>
      <w:bookmarkEnd w:id="127"/>
      <w:bookmarkEnd w:id="128"/>
    </w:p>
    <w:p w14:paraId="274D3B4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i w:val="0"/>
          <w:color w:val="auto"/>
          <w:u w:val="single"/>
        </w:rPr>
      </w:pPr>
      <w:bookmarkStart w:id="129" w:name="_Toc378947489"/>
      <w:r>
        <w:rPr>
          <w:rStyle w:val="Intenzvnezvraznenie"/>
          <w:b w:val="0"/>
          <w:i w:val="0"/>
          <w:color w:val="auto"/>
          <w:u w:val="single"/>
        </w:rPr>
        <w:t>Relevantná úprava v legislatíve EÚ:</w:t>
      </w:r>
    </w:p>
    <w:p w14:paraId="58E8156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125 ods. 3 všeobecného nariadenia</w:t>
      </w:r>
    </w:p>
    <w:p w14:paraId="5A898E2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19, 21 – 22, 27 ods. 4, 96 ods. 2 všeobecného nariadenia </w:t>
      </w:r>
    </w:p>
    <w:p w14:paraId="6A1FF69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6 nariadenia o ERDF a Príloha č. 1 nariadenia o EFRR</w:t>
      </w:r>
    </w:p>
    <w:p w14:paraId="6743D91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5 nariadenia o KF a Príloha č. 1 nariadenia o KF</w:t>
      </w:r>
    </w:p>
    <w:p w14:paraId="30EB55B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lastRenderedPageBreak/>
        <w:t>Čl. 5 nariadenia o ESF a Príloha č. 1 nariadenia o ESF</w:t>
      </w:r>
    </w:p>
    <w:p w14:paraId="4F432C1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12 nariadenia o EÚS</w:t>
      </w:r>
    </w:p>
    <w:p w14:paraId="5EFF1817"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pPr>
      <w:r>
        <w:rPr>
          <w:rStyle w:val="Intenzvnezvraznenie"/>
          <w:b w:val="0"/>
          <w:i w:val="0"/>
          <w:color w:val="auto"/>
          <w:u w:val="single"/>
        </w:rPr>
        <w:t>Relevantná úprava v legislatíve SR:</w:t>
      </w:r>
      <w:r>
        <w:t xml:space="preserve"> </w:t>
      </w:r>
    </w:p>
    <w:p w14:paraId="7B4C0ADC"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 15 až § 19 zákon a príspevku z EŠIF</w:t>
      </w:r>
    </w:p>
    <w:p w14:paraId="2F499854"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i w:val="0"/>
          <w:color w:val="auto"/>
          <w:u w:val="single"/>
        </w:rPr>
      </w:pPr>
      <w:r>
        <w:rPr>
          <w:rStyle w:val="Intenzvnezvraznenie"/>
          <w:b w:val="0"/>
          <w:i w:val="0"/>
          <w:color w:val="auto"/>
          <w:u w:val="single"/>
        </w:rPr>
        <w:t>Relevantné usmernenia EK:</w:t>
      </w:r>
    </w:p>
    <w:p w14:paraId="3565927A" w14:textId="77777777" w:rsidR="00B650E5" w:rsidRDefault="00B650E5">
      <w:pPr>
        <w:pBdr>
          <w:top w:val="single" w:sz="4" w:space="1" w:color="auto"/>
          <w:left w:val="single" w:sz="4" w:space="4" w:color="auto"/>
          <w:bottom w:val="single" w:sz="4" w:space="1" w:color="auto"/>
          <w:right w:val="single" w:sz="4" w:space="4" w:color="auto"/>
        </w:pBdr>
        <w:shd w:val="clear" w:color="auto" w:fill="DBE5F1"/>
        <w:tabs>
          <w:tab w:val="left" w:pos="3975"/>
        </w:tabs>
        <w:spacing w:before="120" w:after="120"/>
        <w:jc w:val="both"/>
        <w:rPr>
          <w:rStyle w:val="Intenzvnezvraznenie"/>
          <w:b w:val="0"/>
          <w:color w:val="auto"/>
        </w:rPr>
      </w:pPr>
      <w:r>
        <w:rPr>
          <w:rStyle w:val="Intenzvnezvraznenie"/>
          <w:b w:val="0"/>
          <w:color w:val="auto"/>
        </w:rPr>
        <w:t>Usmernenia EK k Monitorovaniu a hodnoteniu Európskej kohéznej politiky</w:t>
      </w:r>
    </w:p>
    <w:p w14:paraId="14B1227F" w14:textId="77777777" w:rsidR="00B650E5" w:rsidRDefault="00B650E5">
      <w:pPr>
        <w:numPr>
          <w:ilvl w:val="0"/>
          <w:numId w:val="58"/>
        </w:numPr>
        <w:spacing w:before="120" w:after="120"/>
        <w:ind w:left="425" w:hanging="425"/>
        <w:jc w:val="both"/>
        <w:rPr>
          <w:szCs w:val="22"/>
          <w:lang w:eastAsia="en-US"/>
        </w:rPr>
      </w:pPr>
      <w:r>
        <w:rPr>
          <w:szCs w:val="22"/>
          <w:lang w:eastAsia="en-US"/>
        </w:rPr>
        <w:t>RO v súvislosti s výberom projektov a ich implementáciou vypracuje relevantné časti riadiacej dokumentácie</w:t>
      </w:r>
      <w:r>
        <w:rPr>
          <w:b/>
          <w:bCs/>
          <w:i/>
          <w:iCs/>
          <w:color w:val="4F81BD"/>
          <w:szCs w:val="22"/>
          <w:lang w:eastAsia="en-US"/>
        </w:rPr>
        <w:t xml:space="preserve"> </w:t>
      </w:r>
      <w:r>
        <w:rPr>
          <w:szCs w:val="22"/>
          <w:lang w:eastAsia="en-US"/>
        </w:rPr>
        <w:t xml:space="preserve">za účelom definovania záväzných pravidiel týkajúcich sa nastavenia správneho výberového procesu s ohľadom na požiadavky uvedené v čl. 125 ods. 3 všeobecného nariadenia a implementácie vybraných projektov, s ohľadom na dodržanie zásady riadneho finančného hospodárenia. </w:t>
      </w:r>
    </w:p>
    <w:p w14:paraId="6A85233F"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14:paraId="10A6222C" w14:textId="77777777" w:rsidR="00B650E5" w:rsidRDefault="00B650E5">
      <w:pPr>
        <w:numPr>
          <w:ilvl w:val="0"/>
          <w:numId w:val="58"/>
        </w:numPr>
        <w:spacing w:before="120" w:after="120"/>
        <w:ind w:left="425" w:hanging="425"/>
        <w:jc w:val="both"/>
        <w:rPr>
          <w:bCs/>
          <w:iCs/>
          <w:szCs w:val="22"/>
          <w:lang w:eastAsia="en-US"/>
        </w:rPr>
      </w:pPr>
      <w:r>
        <w:rPr>
          <w:bCs/>
          <w:iCs/>
          <w:szCs w:val="22"/>
          <w:lang w:eastAsia="en-US"/>
        </w:rPr>
        <w:t>Riadiaca dokumentácia vypracovávaná RO pre účely výberu a implementácie projektov je tvorená nasledovným súborom dokumentov:</w:t>
      </w:r>
    </w:p>
    <w:p w14:paraId="5079B63E"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formulár projektového zámeru (ak relevantné) a formulár ŽoNFP, vrátane identifikovania rozsahu povinných príloh oboch dokumentov,</w:t>
      </w:r>
    </w:p>
    <w:p w14:paraId="68515491"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žiadateľa,</w:t>
      </w:r>
    </w:p>
    <w:p w14:paraId="13263C09"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kritériá pre výber projektov a príručka pre odborného hodnotiteľa,</w:t>
      </w:r>
    </w:p>
    <w:p w14:paraId="3CD9D453"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príručka pre prijímateľa a zmluva o NFP,</w:t>
      </w:r>
    </w:p>
    <w:p w14:paraId="0BB350B1"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merateľné ukazovatele,</w:t>
      </w:r>
    </w:p>
    <w:p w14:paraId="792B5649" w14:textId="77777777" w:rsidR="00B650E5" w:rsidRDefault="00B650E5">
      <w:pPr>
        <w:numPr>
          <w:ilvl w:val="1"/>
          <w:numId w:val="218"/>
        </w:numPr>
        <w:spacing w:before="120" w:after="120"/>
        <w:ind w:left="850" w:hanging="425"/>
        <w:jc w:val="both"/>
        <w:rPr>
          <w:bCs/>
          <w:iCs/>
          <w:szCs w:val="22"/>
          <w:lang w:eastAsia="en-US"/>
        </w:rPr>
      </w:pPr>
      <w:r>
        <w:rPr>
          <w:bCs/>
          <w:iCs/>
          <w:szCs w:val="22"/>
          <w:lang w:eastAsia="en-US"/>
        </w:rPr>
        <w:t>ďalšia dokumentácia na úrovni projektov.</w:t>
      </w:r>
    </w:p>
    <w:p w14:paraId="0E9A335F" w14:textId="77777777" w:rsidR="00B650E5" w:rsidRDefault="00B650E5">
      <w:pPr>
        <w:pStyle w:val="SRK3"/>
      </w:pPr>
      <w:bookmarkStart w:id="130" w:name="_Toc453233972"/>
      <w:bookmarkStart w:id="131" w:name="_Toc501630024"/>
      <w:r>
        <w:t>2.4.1 Formulár projektového zámeru</w:t>
      </w:r>
      <w:bookmarkEnd w:id="129"/>
      <w:bookmarkEnd w:id="130"/>
      <w:bookmarkEnd w:id="131"/>
    </w:p>
    <w:p w14:paraId="4CB178EF"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Formulár projektového zámeru je základným dokumentom, ktorý predkladá žiadateľ na RO na</w:t>
      </w:r>
      <w:r w:rsidR="00E17A30">
        <w:rPr>
          <w:bCs/>
          <w:iCs/>
          <w:szCs w:val="22"/>
          <w:lang w:eastAsia="en-US"/>
        </w:rPr>
        <w:t> </w:t>
      </w:r>
      <w:r>
        <w:rPr>
          <w:bCs/>
          <w:iCs/>
          <w:szCs w:val="22"/>
          <w:lang w:eastAsia="en-US"/>
        </w:rPr>
        <w:t>základe vyhlásenej výzvy na predkladanie projektových zámerov s cieľom preukázať splnenie podmienok na vydanie kladnej hodnotiacej správy projektového zámeru.</w:t>
      </w:r>
    </w:p>
    <w:p w14:paraId="4F795638"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p>
    <w:p w14:paraId="7CED83AC"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obsahuje informácie potrebné na posúdenie projektového zámeru a overenie podmienok stanovených RO vo výzve na predkladanie projektových zámerov.</w:t>
      </w:r>
    </w:p>
    <w:p w14:paraId="3EE15BD0"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Koncepcia formulára projektového zámeru vychádza z posúdenia hlavných obsahových atribútov potrebných na jednoznačnú selekciu navrhovaných projektových zámerov za účelom výberu projektových zámerov s najväčším potenciálom príspevku k napĺňaniu cieľov OP.</w:t>
      </w:r>
    </w:p>
    <w:p w14:paraId="668C1DFE"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Projektový zámer sa zameriava najmä na posúdenie vhodnosti navrhovaného projektu vo vzťahu k napĺňaniu cieľov OP a realizovateľnosti navrhovaného projektu.</w:t>
      </w:r>
    </w:p>
    <w:p w14:paraId="2867748A"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lastRenderedPageBreak/>
        <w:t xml:space="preserve">Projektový zámer </w:t>
      </w:r>
      <w:r w:rsidR="00D661EE">
        <w:rPr>
          <w:bCs/>
          <w:iCs/>
          <w:szCs w:val="22"/>
          <w:lang w:eastAsia="en-US"/>
        </w:rPr>
        <w:t>môže vychádzať z </w:t>
      </w:r>
      <w:r>
        <w:rPr>
          <w:bCs/>
          <w:iCs/>
          <w:szCs w:val="22"/>
          <w:lang w:eastAsia="en-US"/>
        </w:rPr>
        <w:t>formulára</w:t>
      </w:r>
      <w:r w:rsidR="00D661EE">
        <w:rPr>
          <w:bCs/>
          <w:iCs/>
          <w:szCs w:val="22"/>
          <w:lang w:eastAsia="en-US"/>
        </w:rPr>
        <w:t xml:space="preserve"> ŽoNFP</w:t>
      </w:r>
      <w:r>
        <w:rPr>
          <w:bCs/>
          <w:iCs/>
          <w:szCs w:val="22"/>
          <w:lang w:eastAsia="en-US"/>
        </w:rPr>
        <w:t xml:space="preserve">. RO </w:t>
      </w:r>
      <w:r w:rsidR="00D661EE">
        <w:rPr>
          <w:bCs/>
          <w:iCs/>
          <w:szCs w:val="22"/>
          <w:lang w:eastAsia="en-US"/>
        </w:rPr>
        <w:t>upraví formulár s ohľadom na znenie</w:t>
      </w:r>
      <w:r>
        <w:rPr>
          <w:bCs/>
          <w:iCs/>
          <w:szCs w:val="22"/>
          <w:lang w:eastAsia="en-US"/>
        </w:rPr>
        <w:t xml:space="preserve"> výzvy na predkladanie projektových zámerov. RO je oprávnený definovať povinné prílohy projektového zámeru v nevyhnutnom rozsahu potrebnom na overenie vybraných podmienok pre</w:t>
      </w:r>
      <w:r w:rsidR="00E17A30">
        <w:rPr>
          <w:bCs/>
          <w:iCs/>
          <w:szCs w:val="22"/>
          <w:lang w:eastAsia="en-US"/>
        </w:rPr>
        <w:t> </w:t>
      </w:r>
      <w:r>
        <w:rPr>
          <w:bCs/>
          <w:iCs/>
          <w:szCs w:val="22"/>
          <w:lang w:eastAsia="en-US"/>
        </w:rPr>
        <w:t xml:space="preserve">posúdenie projektového zámeru. </w:t>
      </w:r>
    </w:p>
    <w:p w14:paraId="23EE8EC0"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stanoviť ako povinnú prílohu aj relevantné povolenia alebo iné úradné dokumenty, ktoré preukazujú oprávnenie žiadateľa na realizáciu navrhovaných aktivít, a ktorých preukázanie už vo fáze projektového zámeru je nevyhnutné na posúdenie projektového zámeru.</w:t>
      </w:r>
    </w:p>
    <w:p w14:paraId="11E73392"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definuje rozsah prípadných povinných príloh tak, aby bolo možné posúdiť splnenie všetkých podmienok pre posúdenie projektového zámeru definovaných vo výzve na predkladanie projektových zámerov.</w:t>
      </w:r>
    </w:p>
    <w:p w14:paraId="6DB21704"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p>
    <w:p w14:paraId="6429F062" w14:textId="77777777" w:rsidR="00B650E5" w:rsidRDefault="00B650E5">
      <w:pPr>
        <w:numPr>
          <w:ilvl w:val="0"/>
          <w:numId w:val="305"/>
        </w:numPr>
        <w:spacing w:before="120" w:after="120"/>
        <w:ind w:left="425" w:hanging="425"/>
        <w:jc w:val="both"/>
        <w:rPr>
          <w:bCs/>
          <w:iCs/>
          <w:szCs w:val="22"/>
          <w:lang w:eastAsia="en-US"/>
        </w:rPr>
      </w:pPr>
      <w:r>
        <w:rPr>
          <w:bCs/>
          <w:iCs/>
          <w:szCs w:val="22"/>
          <w:lang w:eastAsia="en-US"/>
        </w:rPr>
        <w:t>RO je oprávnený v prípade potreby detailnejších informácií zadefinovať vo výzve na</w:t>
      </w:r>
      <w:r w:rsidR="009A7FA5">
        <w:rPr>
          <w:bCs/>
          <w:iCs/>
          <w:szCs w:val="22"/>
          <w:lang w:eastAsia="en-US"/>
        </w:rPr>
        <w:t> </w:t>
      </w:r>
      <w:r>
        <w:rPr>
          <w:bCs/>
          <w:iCs/>
          <w:szCs w:val="22"/>
          <w:lang w:eastAsia="en-US"/>
        </w:rPr>
        <w:t xml:space="preserve">predkladanie projektového zámeru ako povinnú prílohu opis projektu. </w:t>
      </w:r>
    </w:p>
    <w:p w14:paraId="37F7CA3A" w14:textId="77777777" w:rsidR="00B650E5" w:rsidRDefault="00B650E5">
      <w:pPr>
        <w:pStyle w:val="SRK3"/>
      </w:pPr>
      <w:bookmarkStart w:id="132" w:name="_Toc453233973"/>
      <w:bookmarkStart w:id="133" w:name="_Toc501630025"/>
      <w:r>
        <w:t>2.4.2 Formulár žiadosti o poskytnutie nenávratného finančného príspevk</w:t>
      </w:r>
      <w:bookmarkEnd w:id="132"/>
      <w:r>
        <w:t>u</w:t>
      </w:r>
      <w:bookmarkEnd w:id="133"/>
    </w:p>
    <w:p w14:paraId="3815D8C1"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ŽoNFP je základným dokumentom, ktorým žiadateľ na základe vyhlásenej výzvy žiada RO o</w:t>
      </w:r>
      <w:r w:rsidR="009A7FA5">
        <w:rPr>
          <w:bCs/>
          <w:iCs/>
          <w:szCs w:val="22"/>
          <w:lang w:eastAsia="en-US"/>
        </w:rPr>
        <w:t> </w:t>
      </w:r>
      <w:r>
        <w:rPr>
          <w:bCs/>
          <w:iCs/>
          <w:szCs w:val="22"/>
          <w:lang w:eastAsia="en-US"/>
        </w:rPr>
        <w:t xml:space="preserve">spolufinancovanie projektu z finančných prostriedkov určených na výzvu. </w:t>
      </w:r>
    </w:p>
    <w:p w14:paraId="39293B1B"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V záujme zabezpečenia jednotnej štruktúry formuláru ŽoNFP pre všetkých žiadateľov a s</w:t>
      </w:r>
      <w:r w:rsidR="009A7FA5">
        <w:rPr>
          <w:bCs/>
          <w:iCs/>
          <w:szCs w:val="22"/>
          <w:lang w:eastAsia="en-US"/>
        </w:rPr>
        <w:t> </w:t>
      </w:r>
      <w:r>
        <w:rPr>
          <w:bCs/>
          <w:iCs/>
          <w:szCs w:val="22"/>
          <w:lang w:eastAsia="en-US"/>
        </w:rPr>
        <w:t>prihliadnutím na možnosť definovania špecifických požiadaviek RO v závislosti od charakteru jednotlivých OP/PO, je formulár ŽoNFP rovnaký pre všetky OP, pričom špecifiká potrebné na</w:t>
      </w:r>
      <w:r w:rsidR="00E83C30">
        <w:rPr>
          <w:bCs/>
          <w:iCs/>
          <w:szCs w:val="22"/>
          <w:lang w:eastAsia="en-US"/>
        </w:rPr>
        <w:t> </w:t>
      </w:r>
      <w:r>
        <w:rPr>
          <w:bCs/>
          <w:iCs/>
          <w:szCs w:val="22"/>
          <w:lang w:eastAsia="en-US"/>
        </w:rPr>
        <w:t xml:space="preserve">posúdenie jednotlivých podmienok poskytnutia príspevku stanovených vo výzve zohľadňuje RO v rámci povinných príloh ŽoNFP, </w:t>
      </w:r>
      <w:r w:rsidR="00B6510C">
        <w:rPr>
          <w:bCs/>
          <w:iCs/>
          <w:szCs w:val="22"/>
          <w:lang w:eastAsia="en-US"/>
        </w:rPr>
        <w:t xml:space="preserve">prípadne </w:t>
      </w:r>
      <w:r>
        <w:rPr>
          <w:bCs/>
          <w:iCs/>
          <w:szCs w:val="22"/>
          <w:lang w:eastAsia="en-US"/>
        </w:rPr>
        <w:t>v rámci prílohy, ktorou je Opis projektu. Vzor</w:t>
      </w:r>
      <w:r>
        <w:rPr>
          <w:rStyle w:val="Odkaznapoznmkupodiarou"/>
          <w:bCs/>
          <w:iCs/>
          <w:szCs w:val="22"/>
          <w:lang w:eastAsia="en-US"/>
        </w:rPr>
        <w:footnoteReference w:id="31"/>
      </w:r>
      <w:r>
        <w:rPr>
          <w:bCs/>
          <w:iCs/>
          <w:szCs w:val="22"/>
          <w:lang w:eastAsia="en-US"/>
        </w:rPr>
        <w:t xml:space="preserve"> formuláru  ŽoNFP vydáva CKO. ŽoNFP a jej prílohy obsahujú údaje, ktoré sú nevyhnutné pre</w:t>
      </w:r>
      <w:r w:rsidR="009A7FA5">
        <w:rPr>
          <w:bCs/>
          <w:iCs/>
          <w:szCs w:val="22"/>
          <w:lang w:eastAsia="en-US"/>
        </w:rPr>
        <w:t> </w:t>
      </w:r>
      <w:r>
        <w:rPr>
          <w:bCs/>
          <w:iCs/>
          <w:szCs w:val="22"/>
          <w:lang w:eastAsia="en-US"/>
        </w:rPr>
        <w:t xml:space="preserve">účely posúdenia splnenia podmienok poskytnutia príspevku definovaných vo výzve. ŽoNFP je tvorená formulárom ŽoNFP a prílohami ŽoNFP. </w:t>
      </w:r>
    </w:p>
    <w:p w14:paraId="7DCD5039"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14:paraId="488B9D9B"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s cieľom minimalizácie administratívnej záťaže na strane žiadateľov pri definovaní povinných príloh ŽoNFP prioritne využíva priame overenia jednotlivých údajov potrebných na</w:t>
      </w:r>
      <w:r w:rsidR="009A7FA5">
        <w:rPr>
          <w:bCs/>
          <w:iCs/>
          <w:szCs w:val="22"/>
          <w:lang w:eastAsia="en-US"/>
        </w:rPr>
        <w:t> </w:t>
      </w:r>
      <w:r>
        <w:rPr>
          <w:bCs/>
          <w:iCs/>
          <w:szCs w:val="22"/>
          <w:lang w:eastAsia="en-US"/>
        </w:rPr>
        <w:t>posúdenie splnenia podmienok poskytnutia  príspevku, bez ich potreby preukazovania zo</w:t>
      </w:r>
      <w:r w:rsidR="009A7FA5">
        <w:rPr>
          <w:bCs/>
          <w:iCs/>
          <w:szCs w:val="22"/>
          <w:lang w:eastAsia="en-US"/>
        </w:rPr>
        <w:t> </w:t>
      </w:r>
      <w:r>
        <w:rPr>
          <w:bCs/>
          <w:iCs/>
          <w:szCs w:val="22"/>
          <w:lang w:eastAsia="en-US"/>
        </w:rPr>
        <w:t>strany žiadateľov vo forme osobitne predkladaných príloh ŽoNFP.</w:t>
      </w:r>
      <w:r w:rsidR="00AD1CCE">
        <w:rPr>
          <w:bCs/>
          <w:iCs/>
          <w:szCs w:val="22"/>
          <w:lang w:eastAsia="en-US"/>
        </w:rPr>
        <w:t xml:space="preserve"> V prípade </w:t>
      </w:r>
      <w:r w:rsidR="003569B9">
        <w:t>funkčnej integrácie ITMS2014+ s inými informačnými systémami verejnej správy</w:t>
      </w:r>
      <w:r w:rsidR="003569B9">
        <w:rPr>
          <w:bCs/>
          <w:iCs/>
          <w:szCs w:val="22"/>
          <w:lang w:eastAsia="en-US"/>
        </w:rPr>
        <w:t xml:space="preserve"> postupuje RO pri </w:t>
      </w:r>
      <w:r w:rsidR="00AD1CCE">
        <w:rPr>
          <w:bCs/>
          <w:iCs/>
          <w:szCs w:val="22"/>
          <w:lang w:eastAsia="en-US"/>
        </w:rPr>
        <w:t>over</w:t>
      </w:r>
      <w:r w:rsidR="003569B9">
        <w:rPr>
          <w:bCs/>
          <w:iCs/>
          <w:szCs w:val="22"/>
          <w:lang w:eastAsia="en-US"/>
        </w:rPr>
        <w:t>ovaní</w:t>
      </w:r>
      <w:r w:rsidR="00AD1CCE">
        <w:rPr>
          <w:bCs/>
          <w:iCs/>
          <w:szCs w:val="22"/>
          <w:lang w:eastAsia="en-US"/>
        </w:rPr>
        <w:t xml:space="preserve"> podmienok poskytnutia príspevku</w:t>
      </w:r>
      <w:r w:rsidR="003569B9">
        <w:rPr>
          <w:bCs/>
          <w:iCs/>
          <w:szCs w:val="22"/>
          <w:lang w:eastAsia="en-US"/>
        </w:rPr>
        <w:t xml:space="preserve"> v súlade s MP CKO</w:t>
      </w:r>
      <w:r w:rsidR="003569B9">
        <w:rPr>
          <w:rStyle w:val="Odkaznapoznmkupodiarou"/>
          <w:bCs/>
          <w:iCs/>
          <w:szCs w:val="22"/>
          <w:lang w:eastAsia="en-US"/>
        </w:rPr>
        <w:footnoteReference w:id="32"/>
      </w:r>
      <w:r w:rsidR="003569B9">
        <w:rPr>
          <w:bCs/>
          <w:iCs/>
          <w:szCs w:val="22"/>
          <w:lang w:eastAsia="en-US"/>
        </w:rPr>
        <w:t xml:space="preserve">. </w:t>
      </w:r>
    </w:p>
    <w:p w14:paraId="2F2A29BD"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Podmienky poskytnutia príspevku, ktorých overenie zabezpečuje RO iným spôsobom ako na</w:t>
      </w:r>
      <w:r w:rsidR="009A7FA5">
        <w:rPr>
          <w:bCs/>
          <w:iCs/>
          <w:szCs w:val="22"/>
          <w:lang w:eastAsia="en-US"/>
        </w:rPr>
        <w:t> </w:t>
      </w:r>
      <w:r>
        <w:rPr>
          <w:bCs/>
          <w:iCs/>
          <w:szCs w:val="22"/>
          <w:lang w:eastAsia="en-US"/>
        </w:rPr>
        <w:t>základe informácií a dokladov predložených žiadateľmi, RO identifikuje ešte pred vyhlásením výzvy, pričom spôsob overenia jednotlivých podmienok je uvedený v rámci Príručky pre</w:t>
      </w:r>
      <w:r w:rsidR="009A7FA5">
        <w:rPr>
          <w:bCs/>
          <w:iCs/>
          <w:szCs w:val="22"/>
          <w:lang w:eastAsia="en-US"/>
        </w:rPr>
        <w:t> </w:t>
      </w:r>
      <w:r>
        <w:rPr>
          <w:bCs/>
          <w:iCs/>
          <w:szCs w:val="22"/>
          <w:lang w:eastAsia="en-US"/>
        </w:rPr>
        <w:t xml:space="preserve">žiadateľa. Bez ohľadu na spôsob preukázania splnenia podmienky poskytnutia príspevku je RO oprávnený v každom prípade vyžadovať preukázanie jej splnenia aj predložením </w:t>
      </w:r>
      <w:r>
        <w:rPr>
          <w:bCs/>
          <w:iCs/>
          <w:szCs w:val="22"/>
          <w:lang w:eastAsia="en-US"/>
        </w:rPr>
        <w:lastRenderedPageBreak/>
        <w:t>relevantného dokumentu alebo informácie zo strany žiadateľa (nevyhnutné najmä v prípade, ak by z technických dôvodov nebolo možné overenie relevantnej podmienky zo strany RO).</w:t>
      </w:r>
    </w:p>
    <w:p w14:paraId="7F8FF6BF"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Pre účely zisťovania splnenia podmienok poskytnutia príspevku a overenia súladu predložených dokumentov s osobitnými predpismi RO zabezpečí, aby zoznam povinných príloh ŽoNFP bol zostavený tak, aby boli relevantné prílohy priraditeľné ku konkrétnym podmienkam poskytnutia príspevku (jedna príloha môže byť relevantná pre overenie viacerých podmienok poskytnutia príspevku a naopak, viacero príloh môže byť relevantných pre overenie jednej podmienky poskytnutia príspevku).</w:t>
      </w:r>
    </w:p>
    <w:p w14:paraId="50F9FB57"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RO pri stanovení rozsahu povinných príloh identifikuje všetky podmienky poskytnutia príspevku a priradí k nim zodpovedajúci zdroj overenia. Pri tých podmienkach poskytnutia príspevku, kde je overenie potrebné na základe dokumentov predložených žiadateľom, RO definuje rozsah a formu povinnej prílohy ŽoNFP. </w:t>
      </w:r>
    </w:p>
    <w:p w14:paraId="212C1F7C" w14:textId="77777777" w:rsidR="00B650E5" w:rsidRPr="001B709E" w:rsidRDefault="00B650E5" w:rsidP="001B709E">
      <w:pPr>
        <w:numPr>
          <w:ilvl w:val="0"/>
          <w:numId w:val="219"/>
        </w:numPr>
        <w:spacing w:before="120" w:after="120"/>
        <w:ind w:left="425" w:hanging="425"/>
        <w:jc w:val="both"/>
        <w:rPr>
          <w:bCs/>
          <w:iCs/>
          <w:szCs w:val="22"/>
          <w:lang w:eastAsia="en-US"/>
        </w:rPr>
      </w:pPr>
      <w:r w:rsidRPr="001B709E">
        <w:rPr>
          <w:bCs/>
          <w:iCs/>
          <w:szCs w:val="22"/>
          <w:lang w:eastAsia="en-US"/>
        </w:rPr>
        <w:t>RO informuje žiadateľa vo výzve o</w:t>
      </w:r>
      <w:r w:rsidRPr="00F12951">
        <w:rPr>
          <w:bCs/>
          <w:iCs/>
          <w:szCs w:val="22"/>
          <w:lang w:eastAsia="en-US"/>
        </w:rPr>
        <w:t> </w:t>
      </w:r>
      <w:r w:rsidRPr="001B709E">
        <w:rPr>
          <w:bCs/>
          <w:iCs/>
          <w:szCs w:val="22"/>
          <w:lang w:eastAsia="en-US"/>
        </w:rPr>
        <w:t xml:space="preserve">možnosti </w:t>
      </w:r>
      <w:r w:rsidR="00FB1D18">
        <w:rPr>
          <w:bCs/>
          <w:iCs/>
          <w:szCs w:val="22"/>
          <w:lang w:eastAsia="en-US"/>
        </w:rPr>
        <w:t>ex ante</w:t>
      </w:r>
      <w:r w:rsidRPr="001B709E">
        <w:rPr>
          <w:bCs/>
          <w:iCs/>
          <w:szCs w:val="22"/>
          <w:lang w:eastAsia="en-US"/>
        </w:rPr>
        <w:t xml:space="preserve"> overenia splnenia podmienok poskytnutia príspevku zo strany žiadateľa v</w:t>
      </w:r>
      <w:r w:rsidRPr="00F12951">
        <w:rPr>
          <w:bCs/>
          <w:iCs/>
          <w:szCs w:val="22"/>
          <w:lang w:eastAsia="en-US"/>
        </w:rPr>
        <w:t> </w:t>
      </w:r>
      <w:r w:rsidRPr="001B709E">
        <w:rPr>
          <w:bCs/>
          <w:iCs/>
          <w:szCs w:val="22"/>
          <w:lang w:eastAsia="en-US"/>
        </w:rPr>
        <w:t>príslušných elektronických verejných registroch, resp. v</w:t>
      </w:r>
      <w:r>
        <w:rPr>
          <w:bCs/>
          <w:iCs/>
          <w:szCs w:val="22"/>
          <w:lang w:eastAsia="en-US"/>
        </w:rPr>
        <w:t> </w:t>
      </w:r>
      <w:r w:rsidRPr="001B709E">
        <w:rPr>
          <w:bCs/>
          <w:iCs/>
          <w:szCs w:val="22"/>
          <w:lang w:eastAsia="en-US"/>
        </w:rPr>
        <w:t>ITMS</w:t>
      </w:r>
      <w:r>
        <w:rPr>
          <w:bCs/>
          <w:iCs/>
          <w:szCs w:val="22"/>
          <w:lang w:eastAsia="en-US"/>
        </w:rPr>
        <w:t xml:space="preserve"> </w:t>
      </w:r>
      <w:r w:rsidRPr="001B709E">
        <w:rPr>
          <w:bCs/>
          <w:iCs/>
          <w:szCs w:val="22"/>
          <w:lang w:eastAsia="en-US"/>
        </w:rPr>
        <w:t>2014+</w:t>
      </w:r>
      <w:r w:rsidR="00797401">
        <w:rPr>
          <w:bCs/>
          <w:iCs/>
          <w:szCs w:val="22"/>
          <w:lang w:eastAsia="en-US"/>
        </w:rPr>
        <w:t xml:space="preserve"> (overenie slúži </w:t>
      </w:r>
      <w:r w:rsidR="00F94427">
        <w:rPr>
          <w:bCs/>
          <w:iCs/>
          <w:szCs w:val="22"/>
          <w:lang w:eastAsia="en-US"/>
        </w:rPr>
        <w:t>výhradne</w:t>
      </w:r>
      <w:r w:rsidR="00797401">
        <w:rPr>
          <w:bCs/>
          <w:iCs/>
          <w:szCs w:val="22"/>
          <w:lang w:eastAsia="en-US"/>
        </w:rPr>
        <w:t xml:space="preserve"> </w:t>
      </w:r>
      <w:r w:rsidR="009F6E1D">
        <w:rPr>
          <w:bCs/>
          <w:iCs/>
          <w:szCs w:val="22"/>
          <w:lang w:eastAsia="en-US"/>
        </w:rPr>
        <w:t>na</w:t>
      </w:r>
      <w:r w:rsidR="00797401">
        <w:rPr>
          <w:bCs/>
          <w:iCs/>
          <w:szCs w:val="22"/>
          <w:lang w:eastAsia="en-US"/>
        </w:rPr>
        <w:t xml:space="preserve"> uistenie sa žiadateľa o</w:t>
      </w:r>
      <w:r w:rsidR="00F94427">
        <w:rPr>
          <w:bCs/>
          <w:iCs/>
          <w:szCs w:val="22"/>
          <w:lang w:eastAsia="en-US"/>
        </w:rPr>
        <w:t xml:space="preserve"> jeho </w:t>
      </w:r>
      <w:r w:rsidR="00797401">
        <w:rPr>
          <w:bCs/>
          <w:iCs/>
          <w:szCs w:val="22"/>
          <w:lang w:eastAsia="en-US"/>
        </w:rPr>
        <w:t>sta</w:t>
      </w:r>
      <w:r w:rsidR="00F94427">
        <w:rPr>
          <w:bCs/>
          <w:iCs/>
          <w:szCs w:val="22"/>
          <w:lang w:eastAsia="en-US"/>
        </w:rPr>
        <w:t>tuse</w:t>
      </w:r>
      <w:r w:rsidR="00797401">
        <w:rPr>
          <w:bCs/>
          <w:iCs/>
          <w:szCs w:val="22"/>
          <w:lang w:eastAsia="en-US"/>
        </w:rPr>
        <w:t xml:space="preserve"> v</w:t>
      </w:r>
      <w:r w:rsidR="00F94427">
        <w:rPr>
          <w:bCs/>
          <w:iCs/>
          <w:szCs w:val="22"/>
          <w:lang w:eastAsia="en-US"/>
        </w:rPr>
        <w:t>o</w:t>
      </w:r>
      <w:r w:rsidR="00797401">
        <w:rPr>
          <w:bCs/>
          <w:iCs/>
          <w:szCs w:val="22"/>
          <w:lang w:eastAsia="en-US"/>
        </w:rPr>
        <w:t> </w:t>
      </w:r>
      <w:r w:rsidR="00F94427">
        <w:rPr>
          <w:bCs/>
          <w:iCs/>
          <w:szCs w:val="22"/>
          <w:lang w:eastAsia="en-US"/>
        </w:rPr>
        <w:t xml:space="preserve">verejnom </w:t>
      </w:r>
      <w:r w:rsidR="00797401">
        <w:rPr>
          <w:bCs/>
          <w:iCs/>
          <w:szCs w:val="22"/>
          <w:lang w:eastAsia="en-US"/>
        </w:rPr>
        <w:t>registri)</w:t>
      </w:r>
      <w:r w:rsidRPr="001B709E">
        <w:rPr>
          <w:bCs/>
          <w:iCs/>
          <w:szCs w:val="22"/>
          <w:lang w:eastAsia="en-US"/>
        </w:rPr>
        <w:t>. Ak žiadateľ zistí v</w:t>
      </w:r>
      <w:r w:rsidRPr="00F12951">
        <w:rPr>
          <w:bCs/>
          <w:iCs/>
          <w:szCs w:val="22"/>
          <w:lang w:eastAsia="en-US"/>
        </w:rPr>
        <w:t> </w:t>
      </w:r>
      <w:r w:rsidRPr="001B709E">
        <w:rPr>
          <w:bCs/>
          <w:iCs/>
          <w:szCs w:val="22"/>
          <w:lang w:eastAsia="en-US"/>
        </w:rPr>
        <w:t>elektronických verejných registroch/ITMS</w:t>
      </w:r>
      <w:r>
        <w:rPr>
          <w:bCs/>
          <w:iCs/>
          <w:szCs w:val="22"/>
          <w:lang w:eastAsia="en-US"/>
        </w:rPr>
        <w:t xml:space="preserve"> </w:t>
      </w:r>
      <w:r w:rsidRPr="001B709E">
        <w:rPr>
          <w:bCs/>
          <w:iCs/>
          <w:szCs w:val="22"/>
          <w:lang w:eastAsia="en-US"/>
        </w:rPr>
        <w:t>2014+ nesúlad s</w:t>
      </w:r>
      <w:r w:rsidRPr="00F12951">
        <w:rPr>
          <w:bCs/>
          <w:iCs/>
          <w:szCs w:val="22"/>
          <w:lang w:eastAsia="en-US"/>
        </w:rPr>
        <w:t> </w:t>
      </w:r>
      <w:r w:rsidRPr="001B709E">
        <w:rPr>
          <w:bCs/>
          <w:iCs/>
          <w:szCs w:val="22"/>
          <w:lang w:eastAsia="en-US"/>
        </w:rPr>
        <w:t>podmienkou poskytnutia príspevku, je oprávnený predložiť dokument (resp. zdôvodnenie absencie dokumentu) aj bez výzvy na doplnenie ŽoNFP, ako súčasť predkladanej ŽoNFP v</w:t>
      </w:r>
      <w:r>
        <w:rPr>
          <w:bCs/>
          <w:iCs/>
          <w:szCs w:val="22"/>
          <w:lang w:eastAsia="en-US"/>
        </w:rPr>
        <w:t> </w:t>
      </w:r>
      <w:r w:rsidRPr="001B709E">
        <w:rPr>
          <w:bCs/>
          <w:iCs/>
          <w:szCs w:val="22"/>
          <w:lang w:eastAsia="en-US"/>
        </w:rPr>
        <w:t>ITMS</w:t>
      </w:r>
      <w:r>
        <w:rPr>
          <w:bCs/>
          <w:iCs/>
          <w:szCs w:val="22"/>
          <w:lang w:eastAsia="en-US"/>
        </w:rPr>
        <w:t xml:space="preserve"> </w:t>
      </w:r>
      <w:r w:rsidRPr="001B709E">
        <w:rPr>
          <w:bCs/>
          <w:iCs/>
          <w:szCs w:val="22"/>
          <w:lang w:eastAsia="en-US"/>
        </w:rPr>
        <w:t>2014+. Ide napríklad o</w:t>
      </w:r>
      <w:r w:rsidRPr="00F12951">
        <w:rPr>
          <w:bCs/>
          <w:iCs/>
          <w:szCs w:val="22"/>
          <w:lang w:eastAsia="en-US"/>
        </w:rPr>
        <w:t> </w:t>
      </w:r>
      <w:r w:rsidRPr="001B709E">
        <w:rPr>
          <w:bCs/>
          <w:iCs/>
          <w:szCs w:val="22"/>
          <w:lang w:eastAsia="en-US"/>
        </w:rPr>
        <w:t>situácie, ak žiadateľ uzavrel s</w:t>
      </w:r>
      <w:r w:rsidRPr="00F12951">
        <w:rPr>
          <w:bCs/>
          <w:iCs/>
          <w:szCs w:val="22"/>
          <w:lang w:eastAsia="en-US"/>
        </w:rPr>
        <w:t> </w:t>
      </w:r>
      <w:r w:rsidRPr="001B709E">
        <w:rPr>
          <w:bCs/>
          <w:iCs/>
          <w:szCs w:val="22"/>
          <w:lang w:eastAsia="en-US"/>
        </w:rPr>
        <w:t>veriteľom dohodu o</w:t>
      </w:r>
      <w:r w:rsidRPr="00F12951">
        <w:rPr>
          <w:bCs/>
          <w:iCs/>
          <w:szCs w:val="22"/>
          <w:lang w:eastAsia="en-US"/>
        </w:rPr>
        <w:t> </w:t>
      </w:r>
      <w:r w:rsidRPr="001B709E">
        <w:rPr>
          <w:bCs/>
          <w:iCs/>
          <w:szCs w:val="22"/>
          <w:lang w:eastAsia="en-US"/>
        </w:rPr>
        <w:t>splátkach a</w:t>
      </w:r>
      <w:r w:rsidRPr="00F12951">
        <w:rPr>
          <w:bCs/>
          <w:iCs/>
          <w:szCs w:val="22"/>
          <w:lang w:eastAsia="en-US"/>
        </w:rPr>
        <w:t> </w:t>
      </w:r>
      <w:r w:rsidRPr="001B709E">
        <w:rPr>
          <w:bCs/>
          <w:iCs/>
          <w:szCs w:val="22"/>
          <w:lang w:eastAsia="en-US"/>
        </w:rPr>
        <w:t>RO akceptuje v</w:t>
      </w:r>
      <w:r w:rsidRPr="00F12951">
        <w:rPr>
          <w:bCs/>
          <w:iCs/>
          <w:szCs w:val="22"/>
          <w:lang w:eastAsia="en-US"/>
        </w:rPr>
        <w:t> </w:t>
      </w:r>
      <w:r w:rsidRPr="001B709E">
        <w:rPr>
          <w:bCs/>
          <w:iCs/>
          <w:szCs w:val="22"/>
          <w:lang w:eastAsia="en-US"/>
        </w:rPr>
        <w:t>zmysle výzvy dohodu o</w:t>
      </w:r>
      <w:r w:rsidRPr="00F12951">
        <w:rPr>
          <w:bCs/>
          <w:iCs/>
          <w:szCs w:val="22"/>
          <w:lang w:eastAsia="en-US"/>
        </w:rPr>
        <w:t> </w:t>
      </w:r>
      <w:r w:rsidRPr="001B709E">
        <w:rPr>
          <w:bCs/>
          <w:iCs/>
          <w:szCs w:val="22"/>
          <w:lang w:eastAsia="en-US"/>
        </w:rPr>
        <w:t>splátkach, ktorú riadne plní ako splnenie podmienky nebyť dlžníkom, ale v</w:t>
      </w:r>
      <w:r w:rsidRPr="00F12951">
        <w:rPr>
          <w:bCs/>
          <w:iCs/>
          <w:szCs w:val="22"/>
          <w:lang w:eastAsia="en-US"/>
        </w:rPr>
        <w:t> </w:t>
      </w:r>
      <w:r w:rsidRPr="001B709E">
        <w:rPr>
          <w:bCs/>
          <w:iCs/>
          <w:szCs w:val="22"/>
          <w:lang w:eastAsia="en-US"/>
        </w:rPr>
        <w:t>elektronickom verejnom registri/ITMS</w:t>
      </w:r>
      <w:r>
        <w:rPr>
          <w:bCs/>
          <w:iCs/>
          <w:szCs w:val="22"/>
          <w:lang w:eastAsia="en-US"/>
        </w:rPr>
        <w:t xml:space="preserve"> </w:t>
      </w:r>
      <w:r w:rsidRPr="001B709E">
        <w:rPr>
          <w:bCs/>
          <w:iCs/>
          <w:szCs w:val="22"/>
          <w:lang w:eastAsia="en-US"/>
        </w:rPr>
        <w:t>2014+ figuruje stále ako dlžník; ak v</w:t>
      </w:r>
      <w:r w:rsidRPr="00F12951">
        <w:rPr>
          <w:bCs/>
          <w:iCs/>
          <w:szCs w:val="22"/>
          <w:lang w:eastAsia="en-US"/>
        </w:rPr>
        <w:t> </w:t>
      </w:r>
      <w:r w:rsidRPr="001B709E">
        <w:rPr>
          <w:bCs/>
          <w:iCs/>
          <w:szCs w:val="22"/>
          <w:lang w:eastAsia="en-US"/>
        </w:rPr>
        <w:t>elektronickom verejnom</w:t>
      </w:r>
      <w:r w:rsidRPr="00F12951">
        <w:rPr>
          <w:bCs/>
          <w:iCs/>
          <w:szCs w:val="22"/>
          <w:lang w:eastAsia="en-US"/>
        </w:rPr>
        <w:t> </w:t>
      </w:r>
      <w:r w:rsidRPr="001B709E">
        <w:rPr>
          <w:bCs/>
          <w:iCs/>
          <w:szCs w:val="22"/>
          <w:lang w:eastAsia="en-US"/>
        </w:rPr>
        <w:t>registri/ITMS</w:t>
      </w:r>
      <w:r>
        <w:rPr>
          <w:bCs/>
          <w:iCs/>
          <w:szCs w:val="22"/>
          <w:lang w:eastAsia="en-US"/>
        </w:rPr>
        <w:t xml:space="preserve"> </w:t>
      </w:r>
      <w:r w:rsidRPr="001B709E">
        <w:rPr>
          <w:bCs/>
          <w:iCs/>
          <w:szCs w:val="22"/>
          <w:lang w:eastAsia="en-US"/>
        </w:rPr>
        <w:t>2014+ nie je dostupná účtovná závierka subjektu a pod.</w:t>
      </w:r>
    </w:p>
    <w:p w14:paraId="34C09A96" w14:textId="77777777" w:rsidR="00B650E5" w:rsidRDefault="00B650E5" w:rsidP="00CB2FF3">
      <w:pPr>
        <w:numPr>
          <w:ilvl w:val="0"/>
          <w:numId w:val="219"/>
        </w:numPr>
        <w:spacing w:before="120" w:after="120"/>
        <w:ind w:left="425" w:hanging="425"/>
        <w:jc w:val="both"/>
        <w:rPr>
          <w:bCs/>
          <w:iCs/>
          <w:szCs w:val="22"/>
          <w:lang w:eastAsia="en-US"/>
        </w:rPr>
      </w:pPr>
      <w:r w:rsidRPr="001B709E">
        <w:rPr>
          <w:bCs/>
          <w:iCs/>
          <w:szCs w:val="22"/>
          <w:lang w:eastAsia="en-US"/>
        </w:rPr>
        <w:t>Pri podmienkach poskytnutia príspevku, ktoré RO overuje prostredníctvom ITMS</w:t>
      </w:r>
      <w:r>
        <w:rPr>
          <w:bCs/>
          <w:iCs/>
          <w:szCs w:val="22"/>
          <w:lang w:eastAsia="en-US"/>
        </w:rPr>
        <w:t xml:space="preserve"> </w:t>
      </w:r>
      <w:r w:rsidRPr="001B709E">
        <w:rPr>
          <w:bCs/>
          <w:iCs/>
          <w:szCs w:val="22"/>
          <w:lang w:eastAsia="en-US"/>
        </w:rPr>
        <w:t>2014+ alebo v</w:t>
      </w:r>
      <w:r w:rsidRPr="00F12951">
        <w:rPr>
          <w:bCs/>
          <w:iCs/>
          <w:szCs w:val="22"/>
          <w:lang w:eastAsia="en-US"/>
        </w:rPr>
        <w:t> </w:t>
      </w:r>
      <w:r w:rsidRPr="001B709E">
        <w:rPr>
          <w:bCs/>
          <w:iCs/>
          <w:szCs w:val="22"/>
          <w:lang w:eastAsia="en-US"/>
        </w:rPr>
        <w:t>elektronických verejných registroch, RO zadefinuje vo výzve možnosť v</w:t>
      </w:r>
      <w:r w:rsidRPr="00F12951">
        <w:rPr>
          <w:bCs/>
          <w:iCs/>
          <w:szCs w:val="22"/>
          <w:lang w:eastAsia="en-US"/>
        </w:rPr>
        <w:t> </w:t>
      </w:r>
      <w:r w:rsidRPr="001B709E">
        <w:rPr>
          <w:bCs/>
          <w:iCs/>
          <w:szCs w:val="22"/>
          <w:lang w:eastAsia="en-US"/>
        </w:rPr>
        <w:t>prípade akýchkoľvek pochybností vyzvať žiadateľa na</w:t>
      </w:r>
      <w:r w:rsidRPr="00F12951">
        <w:rPr>
          <w:bCs/>
          <w:iCs/>
          <w:szCs w:val="22"/>
          <w:lang w:eastAsia="en-US"/>
        </w:rPr>
        <w:t> </w:t>
      </w:r>
      <w:r w:rsidRPr="001B709E">
        <w:rPr>
          <w:bCs/>
          <w:iCs/>
          <w:szCs w:val="22"/>
          <w:lang w:eastAsia="en-US"/>
        </w:rPr>
        <w:t xml:space="preserve">preukázanie splnenia podmienky. </w:t>
      </w:r>
    </w:p>
    <w:p w14:paraId="5BF72B5B" w14:textId="77777777" w:rsidR="00B650E5" w:rsidRPr="00CB2FF3" w:rsidRDefault="00B650E5" w:rsidP="00CB2FF3">
      <w:pPr>
        <w:numPr>
          <w:ilvl w:val="0"/>
          <w:numId w:val="219"/>
        </w:numPr>
        <w:spacing w:before="120" w:after="120"/>
        <w:ind w:left="425" w:hanging="425"/>
        <w:jc w:val="both"/>
        <w:rPr>
          <w:bCs/>
          <w:iCs/>
          <w:szCs w:val="22"/>
          <w:lang w:eastAsia="en-US"/>
        </w:rPr>
      </w:pPr>
      <w:r w:rsidRPr="00CB2FF3">
        <w:rPr>
          <w:bCs/>
          <w:iCs/>
          <w:szCs w:val="22"/>
          <w:lang w:eastAsia="en-US"/>
        </w:rPr>
        <w:t>V prípade zistenia nesplnenia podmienky poskytnutia príspevku na základe overenia v </w:t>
      </w:r>
      <w:r w:rsidRPr="001B709E">
        <w:rPr>
          <w:bCs/>
          <w:iCs/>
          <w:szCs w:val="22"/>
          <w:lang w:eastAsia="en-US"/>
        </w:rPr>
        <w:t>elektronických verejných registroch alebo v</w:t>
      </w:r>
      <w:r>
        <w:rPr>
          <w:bCs/>
          <w:iCs/>
          <w:szCs w:val="22"/>
          <w:lang w:eastAsia="en-US"/>
        </w:rPr>
        <w:t> </w:t>
      </w:r>
      <w:r w:rsidRPr="001B709E">
        <w:rPr>
          <w:bCs/>
          <w:iCs/>
          <w:szCs w:val="22"/>
          <w:lang w:eastAsia="en-US"/>
        </w:rPr>
        <w:t>ITMS</w:t>
      </w:r>
      <w:r w:rsidR="000141F4">
        <w:rPr>
          <w:bCs/>
          <w:iCs/>
          <w:szCs w:val="22"/>
          <w:lang w:eastAsia="en-US"/>
        </w:rPr>
        <w:t xml:space="preserve"> </w:t>
      </w:r>
      <w:r w:rsidRPr="001B709E">
        <w:rPr>
          <w:bCs/>
          <w:iCs/>
          <w:szCs w:val="22"/>
          <w:lang w:eastAsia="en-US"/>
        </w:rPr>
        <w:t>2014+ je RO povinný vyzvať žiadateľa na</w:t>
      </w:r>
      <w:r w:rsidRPr="00F12951">
        <w:rPr>
          <w:bCs/>
          <w:iCs/>
          <w:szCs w:val="22"/>
          <w:lang w:eastAsia="en-US"/>
        </w:rPr>
        <w:t> </w:t>
      </w:r>
      <w:r w:rsidRPr="001B709E">
        <w:rPr>
          <w:bCs/>
          <w:iCs/>
          <w:szCs w:val="22"/>
          <w:lang w:eastAsia="en-US"/>
        </w:rPr>
        <w:t xml:space="preserve">doplnenie ŽoNFP </w:t>
      </w:r>
      <w:r w:rsidRPr="00F12951">
        <w:rPr>
          <w:bCs/>
          <w:iCs/>
          <w:szCs w:val="22"/>
          <w:lang w:eastAsia="en-US"/>
        </w:rPr>
        <w:t>–</w:t>
      </w:r>
      <w:r w:rsidRPr="001B709E">
        <w:rPr>
          <w:bCs/>
          <w:iCs/>
          <w:szCs w:val="22"/>
          <w:lang w:eastAsia="en-US"/>
        </w:rPr>
        <w:t xml:space="preserve"> doručenie potvrdenia o</w:t>
      </w:r>
      <w:r w:rsidRPr="00F12951">
        <w:rPr>
          <w:bCs/>
          <w:iCs/>
          <w:szCs w:val="22"/>
          <w:lang w:eastAsia="en-US"/>
        </w:rPr>
        <w:t> </w:t>
      </w:r>
      <w:r w:rsidRPr="001B709E">
        <w:rPr>
          <w:bCs/>
          <w:iCs/>
          <w:szCs w:val="22"/>
          <w:lang w:eastAsia="en-US"/>
        </w:rPr>
        <w:t>splnení podmienky poskytnutia príspevku.</w:t>
      </w:r>
    </w:p>
    <w:p w14:paraId="34472B1C" w14:textId="77777777" w:rsidR="0093167C" w:rsidRDefault="0093167C" w:rsidP="0093167C">
      <w:pPr>
        <w:numPr>
          <w:ilvl w:val="0"/>
          <w:numId w:val="219"/>
        </w:numPr>
        <w:spacing w:before="120" w:after="120"/>
        <w:ind w:left="425" w:hanging="425"/>
        <w:jc w:val="both"/>
        <w:rPr>
          <w:bCs/>
          <w:iCs/>
          <w:szCs w:val="22"/>
          <w:lang w:eastAsia="en-US"/>
        </w:rPr>
      </w:pPr>
      <w:r w:rsidRPr="009078F6">
        <w:rPr>
          <w:bCs/>
          <w:iCs/>
          <w:szCs w:val="22"/>
          <w:lang w:eastAsia="en-US"/>
        </w:rPr>
        <w:t xml:space="preserve">Odporúčaný rozsah </w:t>
      </w:r>
      <w:r w:rsidRPr="007A00B7">
        <w:rPr>
          <w:bCs/>
          <w:iCs/>
          <w:szCs w:val="22"/>
          <w:lang w:eastAsia="en-US"/>
        </w:rPr>
        <w:t>podmienok poskytnutia príspevku, ktorých relevantnosť by mal RO posúdiť v rámci prípravy každej výzvy je uvádzaný v tabuľke nižšie. RO definuje v konkrétnej výzve iba relevantné podmienky s ohľadom na charakter konkrétnej výzvy. Pri definovaní podmienok poskytnutia príspevku vo výzve je RO povinný dodržať minimálne povinný rozsah podmienok poskytnutia príspevku v súlade s § 17 ods. 3 zákona o príspevku z EŠIF.</w:t>
      </w:r>
    </w:p>
    <w:p w14:paraId="294D9DFA" w14:textId="77777777" w:rsidR="00D55F9D" w:rsidRDefault="00D55F9D" w:rsidP="0093167C">
      <w:pPr>
        <w:numPr>
          <w:ilvl w:val="0"/>
          <w:numId w:val="219"/>
        </w:numPr>
        <w:spacing w:before="120" w:after="120"/>
        <w:ind w:left="425" w:hanging="425"/>
        <w:jc w:val="both"/>
        <w:rPr>
          <w:bCs/>
          <w:iCs/>
          <w:szCs w:val="22"/>
          <w:lang w:eastAsia="en-US"/>
        </w:rPr>
      </w:pPr>
      <w:r>
        <w:rPr>
          <w:bCs/>
          <w:iCs/>
          <w:szCs w:val="22"/>
          <w:lang w:eastAsia="en-US"/>
        </w:rPr>
        <w:t>Odporúčaný rozsah podmienok poskytnutia príspevku:</w:t>
      </w:r>
    </w:p>
    <w:p w14:paraId="21B23A44" w14:textId="77777777" w:rsidR="00B650E5" w:rsidRPr="00333A38" w:rsidRDefault="00B650E5">
      <w:pPr>
        <w:numPr>
          <w:ilvl w:val="0"/>
          <w:numId w:val="219"/>
        </w:numPr>
        <w:spacing w:before="120" w:after="120"/>
        <w:ind w:left="425" w:hanging="425"/>
        <w:jc w:val="both"/>
        <w:rPr>
          <w:bCs/>
          <w:iCs/>
          <w:szCs w:val="22"/>
          <w:lang w:eastAsia="en-US"/>
        </w:rPr>
        <w:sectPr w:rsidR="00B650E5" w:rsidRPr="00333A38" w:rsidSect="00803C14">
          <w:headerReference w:type="default" r:id="rId40"/>
          <w:footerReference w:type="default" r:id="rId41"/>
          <w:pgSz w:w="11906" w:h="16838"/>
          <w:pgMar w:top="1440" w:right="991" w:bottom="1440" w:left="1080" w:header="708" w:footer="708" w:gutter="0"/>
          <w:cols w:space="708"/>
          <w:rtlGutter/>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483"/>
        <w:gridCol w:w="1881"/>
        <w:gridCol w:w="3165"/>
        <w:gridCol w:w="6946"/>
        <w:gridCol w:w="2836"/>
      </w:tblGrid>
      <w:tr w:rsidR="00B650E5" w14:paraId="2CED991C" w14:textId="77777777">
        <w:trPr>
          <w:trHeight w:val="1140"/>
        </w:trPr>
        <w:tc>
          <w:tcPr>
            <w:tcW w:w="483" w:type="dxa"/>
            <w:shd w:val="clear" w:color="000000" w:fill="4F81BD"/>
            <w:vAlign w:val="center"/>
          </w:tcPr>
          <w:p w14:paraId="4D721041" w14:textId="77777777" w:rsidR="00B650E5" w:rsidRDefault="00B650E5">
            <w:pPr>
              <w:jc w:val="center"/>
              <w:rPr>
                <w:b/>
                <w:bCs/>
                <w:color w:val="FFFFFF"/>
              </w:rPr>
            </w:pPr>
            <w:r>
              <w:rPr>
                <w:b/>
                <w:bCs/>
                <w:iCs/>
                <w:color w:val="FFFFFF"/>
                <w:sz w:val="22"/>
                <w:szCs w:val="22"/>
                <w:lang w:eastAsia="en-US"/>
              </w:rPr>
              <w:lastRenderedPageBreak/>
              <w:t>P.č.</w:t>
            </w:r>
          </w:p>
        </w:tc>
        <w:tc>
          <w:tcPr>
            <w:tcW w:w="1881" w:type="dxa"/>
            <w:shd w:val="clear" w:color="000000" w:fill="4F81BD"/>
            <w:vAlign w:val="center"/>
          </w:tcPr>
          <w:p w14:paraId="2BE66761" w14:textId="77777777" w:rsidR="00B650E5" w:rsidRDefault="00B650E5">
            <w:pPr>
              <w:jc w:val="center"/>
              <w:rPr>
                <w:b/>
                <w:bCs/>
                <w:color w:val="FFFFFF"/>
              </w:rPr>
            </w:pPr>
            <w:r>
              <w:rPr>
                <w:b/>
                <w:bCs/>
                <w:iCs/>
                <w:color w:val="FFFFFF"/>
                <w:sz w:val="22"/>
                <w:szCs w:val="22"/>
                <w:lang w:eastAsia="en-US"/>
              </w:rPr>
              <w:t>Kategória podmienok poskytnutia príspevku</w:t>
            </w:r>
          </w:p>
        </w:tc>
        <w:tc>
          <w:tcPr>
            <w:tcW w:w="3165" w:type="dxa"/>
            <w:shd w:val="clear" w:color="000000" w:fill="4F81BD"/>
            <w:vAlign w:val="center"/>
          </w:tcPr>
          <w:p w14:paraId="4118BEF1" w14:textId="77777777" w:rsidR="00B650E5" w:rsidRDefault="00B650E5">
            <w:pPr>
              <w:jc w:val="center"/>
              <w:rPr>
                <w:b/>
                <w:bCs/>
                <w:color w:val="FFFFFF"/>
              </w:rPr>
            </w:pPr>
            <w:r>
              <w:rPr>
                <w:b/>
                <w:bCs/>
                <w:iCs/>
                <w:color w:val="FFFFFF"/>
                <w:sz w:val="22"/>
                <w:szCs w:val="22"/>
                <w:lang w:eastAsia="en-US"/>
              </w:rPr>
              <w:t>Znenie podmienky poskytnutia príspevku</w:t>
            </w:r>
          </w:p>
        </w:tc>
        <w:tc>
          <w:tcPr>
            <w:tcW w:w="6946" w:type="dxa"/>
            <w:shd w:val="clear" w:color="000000" w:fill="4F81BD"/>
            <w:vAlign w:val="center"/>
          </w:tcPr>
          <w:p w14:paraId="6D62010F" w14:textId="77777777" w:rsidR="00B650E5" w:rsidRDefault="00B650E5">
            <w:pPr>
              <w:jc w:val="center"/>
              <w:rPr>
                <w:b/>
                <w:bCs/>
                <w:color w:val="FFFFFF"/>
              </w:rPr>
            </w:pPr>
            <w:r>
              <w:rPr>
                <w:b/>
                <w:bCs/>
                <w:iCs/>
                <w:color w:val="FFFFFF"/>
                <w:sz w:val="22"/>
                <w:szCs w:val="22"/>
                <w:lang w:eastAsia="en-US"/>
              </w:rPr>
              <w:t xml:space="preserve">Zadefinovanie možného spôsobu overenia a formy preukázania splnenia podmienky poskytnutia príspevku </w:t>
            </w:r>
            <w:r>
              <w:rPr>
                <w:rStyle w:val="Odkaznapoznmkupodiarou"/>
                <w:b/>
                <w:bCs/>
                <w:color w:val="FFFFFF"/>
                <w:sz w:val="22"/>
                <w:szCs w:val="22"/>
              </w:rPr>
              <w:footnoteReference w:id="33"/>
            </w:r>
          </w:p>
        </w:tc>
        <w:tc>
          <w:tcPr>
            <w:tcW w:w="2836" w:type="dxa"/>
            <w:shd w:val="clear" w:color="000000" w:fill="4F81BD"/>
            <w:vAlign w:val="center"/>
          </w:tcPr>
          <w:p w14:paraId="63CF90A9" w14:textId="77777777" w:rsidR="00B650E5" w:rsidRDefault="00B650E5">
            <w:pPr>
              <w:jc w:val="center"/>
              <w:rPr>
                <w:b/>
                <w:bCs/>
                <w:color w:val="FFFFFF"/>
              </w:rPr>
            </w:pPr>
            <w:r>
              <w:rPr>
                <w:b/>
                <w:bCs/>
                <w:iCs/>
                <w:color w:val="FFFFFF"/>
                <w:sz w:val="22"/>
                <w:szCs w:val="22"/>
                <w:lang w:eastAsia="en-US"/>
              </w:rPr>
              <w:t>Poznámka/Odporúčanie</w:t>
            </w:r>
          </w:p>
        </w:tc>
      </w:tr>
      <w:tr w:rsidR="00B650E5" w14:paraId="3F183C90" w14:textId="77777777">
        <w:trPr>
          <w:trHeight w:val="1523"/>
        </w:trPr>
        <w:tc>
          <w:tcPr>
            <w:tcW w:w="483" w:type="dxa"/>
            <w:vAlign w:val="center"/>
          </w:tcPr>
          <w:p w14:paraId="3217885C" w14:textId="77777777" w:rsidR="00B650E5" w:rsidRDefault="00B650E5">
            <w:pPr>
              <w:jc w:val="center"/>
              <w:rPr>
                <w:b/>
                <w:bCs/>
                <w:sz w:val="20"/>
                <w:szCs w:val="20"/>
              </w:rPr>
            </w:pPr>
            <w:r>
              <w:rPr>
                <w:b/>
                <w:bCs/>
                <w:iCs/>
                <w:sz w:val="20"/>
                <w:szCs w:val="20"/>
                <w:lang w:eastAsia="en-US"/>
              </w:rPr>
              <w:t>1.</w:t>
            </w:r>
          </w:p>
        </w:tc>
        <w:tc>
          <w:tcPr>
            <w:tcW w:w="1881" w:type="dxa"/>
            <w:vAlign w:val="center"/>
          </w:tcPr>
          <w:p w14:paraId="4BD70C4F" w14:textId="77777777" w:rsidR="00B650E5" w:rsidRDefault="00B650E5">
            <w:pPr>
              <w:jc w:val="center"/>
              <w:rPr>
                <w:sz w:val="20"/>
                <w:szCs w:val="20"/>
              </w:rPr>
            </w:pPr>
            <w:r>
              <w:rPr>
                <w:sz w:val="20"/>
                <w:szCs w:val="20"/>
              </w:rPr>
              <w:t>Oprávnenosť žiadateľa</w:t>
            </w:r>
          </w:p>
        </w:tc>
        <w:tc>
          <w:tcPr>
            <w:tcW w:w="3165" w:type="dxa"/>
            <w:vAlign w:val="center"/>
          </w:tcPr>
          <w:p w14:paraId="14001934" w14:textId="77777777" w:rsidR="00B650E5" w:rsidRDefault="00B650E5">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46" w:type="dxa"/>
            <w:vAlign w:val="center"/>
          </w:tcPr>
          <w:p w14:paraId="62D3A5F2" w14:textId="77777777" w:rsidR="00B650E5" w:rsidRDefault="00B650E5">
            <w:pPr>
              <w:rPr>
                <w:sz w:val="20"/>
                <w:szCs w:val="20"/>
              </w:rPr>
            </w:pPr>
            <w:r>
              <w:rPr>
                <w:b/>
                <w:bCs/>
                <w:sz w:val="20"/>
                <w:szCs w:val="20"/>
              </w:rPr>
              <w:t xml:space="preserve">Forma preukázania: </w:t>
            </w:r>
            <w:r w:rsidR="00DF0D33" w:rsidRPr="001B709E">
              <w:rPr>
                <w:bCs/>
                <w:sz w:val="20"/>
                <w:szCs w:val="20"/>
              </w:rPr>
              <w:t>nevyžaduje sa</w:t>
            </w:r>
            <w:r>
              <w:rPr>
                <w:sz w:val="20"/>
                <w:szCs w:val="20"/>
              </w:rPr>
              <w:br/>
            </w:r>
            <w:r w:rsidRPr="005243B9">
              <w:rPr>
                <w:b/>
                <w:sz w:val="20"/>
                <w:szCs w:val="20"/>
              </w:rPr>
              <w:t>Spôsob overenia:</w:t>
            </w:r>
            <w:r>
              <w:rPr>
                <w:sz w:val="20"/>
                <w:szCs w:val="20"/>
              </w:rPr>
              <w:t xml:space="preserve"> ITMS 2014+ / </w:t>
            </w:r>
            <w:r w:rsidRPr="005243B9">
              <w:rPr>
                <w:sz w:val="20"/>
                <w:szCs w:val="20"/>
              </w:rPr>
              <w:t>https://rpo.statistics.sk</w:t>
            </w:r>
          </w:p>
        </w:tc>
        <w:tc>
          <w:tcPr>
            <w:tcW w:w="2836" w:type="dxa"/>
            <w:vAlign w:val="center"/>
          </w:tcPr>
          <w:p w14:paraId="6C922EBF" w14:textId="77777777" w:rsidR="00B650E5" w:rsidRDefault="00B650E5">
            <w:pPr>
              <w:jc w:val="center"/>
              <w:rPr>
                <w:sz w:val="20"/>
                <w:szCs w:val="20"/>
              </w:rPr>
            </w:pPr>
          </w:p>
        </w:tc>
      </w:tr>
      <w:tr w:rsidR="00B650E5" w14:paraId="1984A363" w14:textId="77777777">
        <w:trPr>
          <w:trHeight w:val="1036"/>
        </w:trPr>
        <w:tc>
          <w:tcPr>
            <w:tcW w:w="483" w:type="dxa"/>
            <w:shd w:val="clear" w:color="000000" w:fill="C5D9F1"/>
            <w:vAlign w:val="center"/>
          </w:tcPr>
          <w:p w14:paraId="1FD83ECD" w14:textId="77777777" w:rsidR="00B650E5" w:rsidRDefault="00B650E5">
            <w:pPr>
              <w:jc w:val="center"/>
              <w:rPr>
                <w:b/>
                <w:bCs/>
                <w:sz w:val="20"/>
                <w:szCs w:val="20"/>
              </w:rPr>
            </w:pPr>
            <w:r>
              <w:rPr>
                <w:b/>
                <w:bCs/>
                <w:iCs/>
                <w:sz w:val="20"/>
                <w:szCs w:val="20"/>
                <w:lang w:eastAsia="en-US"/>
              </w:rPr>
              <w:t>2.</w:t>
            </w:r>
          </w:p>
        </w:tc>
        <w:tc>
          <w:tcPr>
            <w:tcW w:w="1881" w:type="dxa"/>
            <w:shd w:val="clear" w:color="000000" w:fill="C5D9F1"/>
            <w:vAlign w:val="center"/>
          </w:tcPr>
          <w:p w14:paraId="45EDF3D2"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54AFA5B7" w14:textId="77777777" w:rsidR="00B650E5" w:rsidRDefault="00B650E5" w:rsidP="009F1EAD">
            <w:pPr>
              <w:jc w:val="center"/>
              <w:rPr>
                <w:sz w:val="20"/>
                <w:szCs w:val="20"/>
              </w:rPr>
            </w:pPr>
            <w:r>
              <w:rPr>
                <w:sz w:val="20"/>
                <w:szCs w:val="20"/>
              </w:rPr>
              <w:t>Podmienka nebyť dlžníkom na daniach</w:t>
            </w:r>
            <w:r w:rsidR="009F1EAD">
              <w:rPr>
                <w:sz w:val="20"/>
                <w:szCs w:val="20"/>
              </w:rPr>
              <w:t>, vedených miestne príslušným daňovým úradom</w:t>
            </w:r>
          </w:p>
        </w:tc>
        <w:tc>
          <w:tcPr>
            <w:tcW w:w="6946" w:type="dxa"/>
            <w:shd w:val="clear" w:color="000000" w:fill="C5D9F1"/>
            <w:vAlign w:val="center"/>
          </w:tcPr>
          <w:p w14:paraId="717542EE" w14:textId="77777777" w:rsidR="00B650E5" w:rsidRPr="007A00B7" w:rsidRDefault="00B650E5" w:rsidP="00913352">
            <w:pPr>
              <w:rPr>
                <w:sz w:val="20"/>
                <w:szCs w:val="20"/>
              </w:rPr>
            </w:pPr>
            <w:r>
              <w:rPr>
                <w:b/>
                <w:bCs/>
                <w:sz w:val="20"/>
                <w:szCs w:val="20"/>
              </w:rPr>
              <w:t xml:space="preserve">Forma preukázania: </w:t>
            </w:r>
            <w:r w:rsidRPr="005243B9">
              <w:rPr>
                <w:bCs/>
                <w:sz w:val="20"/>
                <w:szCs w:val="20"/>
                <w:lang w:eastAsia="en-US"/>
              </w:rPr>
              <w:t>Čestné vyhlásenie</w:t>
            </w:r>
            <w:r w:rsidRPr="009078F6">
              <w:rPr>
                <w:sz w:val="20"/>
                <w:szCs w:val="20"/>
                <w:lang w:eastAsia="en-US"/>
              </w:rPr>
              <w:br/>
            </w:r>
            <w:r w:rsidRPr="000B18B1">
              <w:rPr>
                <w:b/>
                <w:sz w:val="20"/>
                <w:szCs w:val="20"/>
              </w:rPr>
              <w:t>Spôsob overenia:</w:t>
            </w:r>
            <w:r>
              <w:rPr>
                <w:sz w:val="20"/>
                <w:szCs w:val="20"/>
              </w:rPr>
              <w:t xml:space="preserve"> </w:t>
            </w:r>
            <w:r w:rsidRPr="009078F6">
              <w:rPr>
                <w:sz w:val="20"/>
                <w:szCs w:val="20"/>
                <w:lang w:eastAsia="en-US"/>
              </w:rPr>
              <w:t>ITMS</w:t>
            </w:r>
            <w:r>
              <w:rPr>
                <w:sz w:val="20"/>
                <w:szCs w:val="20"/>
                <w:lang w:eastAsia="en-US"/>
              </w:rPr>
              <w:t xml:space="preserve"> </w:t>
            </w:r>
            <w:r w:rsidRPr="009078F6">
              <w:rPr>
                <w:sz w:val="20"/>
                <w:szCs w:val="20"/>
                <w:lang w:eastAsia="en-US"/>
              </w:rPr>
              <w:t>2014+</w:t>
            </w:r>
          </w:p>
        </w:tc>
        <w:tc>
          <w:tcPr>
            <w:tcW w:w="2836" w:type="dxa"/>
            <w:shd w:val="clear" w:color="000000" w:fill="C5D9F1"/>
            <w:vAlign w:val="center"/>
          </w:tcPr>
          <w:p w14:paraId="3A95A26B" w14:textId="77777777" w:rsidR="00B650E5" w:rsidRPr="007A00B7" w:rsidRDefault="00B650E5">
            <w:pPr>
              <w:jc w:val="center"/>
              <w:rPr>
                <w:sz w:val="20"/>
                <w:szCs w:val="20"/>
              </w:rPr>
            </w:pPr>
            <w:r w:rsidRPr="007A00B7">
              <w:rPr>
                <w:iCs/>
                <w:sz w:val="20"/>
                <w:szCs w:val="20"/>
                <w:lang w:eastAsia="en-US"/>
              </w:rPr>
              <w:t> </w:t>
            </w:r>
          </w:p>
        </w:tc>
      </w:tr>
      <w:tr w:rsidR="00B650E5" w14:paraId="4E5D8253" w14:textId="77777777">
        <w:trPr>
          <w:trHeight w:val="981"/>
        </w:trPr>
        <w:tc>
          <w:tcPr>
            <w:tcW w:w="483" w:type="dxa"/>
            <w:vAlign w:val="center"/>
          </w:tcPr>
          <w:p w14:paraId="107CCF81" w14:textId="77777777" w:rsidR="00B650E5" w:rsidRDefault="00B650E5">
            <w:pPr>
              <w:jc w:val="center"/>
              <w:rPr>
                <w:b/>
                <w:bCs/>
                <w:sz w:val="20"/>
                <w:szCs w:val="20"/>
              </w:rPr>
            </w:pPr>
            <w:r>
              <w:rPr>
                <w:b/>
                <w:bCs/>
                <w:iCs/>
                <w:sz w:val="20"/>
                <w:szCs w:val="20"/>
                <w:lang w:eastAsia="en-US"/>
              </w:rPr>
              <w:t>3.</w:t>
            </w:r>
          </w:p>
        </w:tc>
        <w:tc>
          <w:tcPr>
            <w:tcW w:w="1881" w:type="dxa"/>
            <w:vAlign w:val="center"/>
          </w:tcPr>
          <w:p w14:paraId="1F3146BB" w14:textId="77777777" w:rsidR="00B650E5" w:rsidRDefault="00B650E5">
            <w:pPr>
              <w:jc w:val="center"/>
              <w:rPr>
                <w:sz w:val="20"/>
                <w:szCs w:val="20"/>
              </w:rPr>
            </w:pPr>
            <w:r>
              <w:rPr>
                <w:bCs/>
                <w:iCs/>
                <w:sz w:val="20"/>
                <w:szCs w:val="20"/>
                <w:lang w:eastAsia="en-US"/>
              </w:rPr>
              <w:t> </w:t>
            </w:r>
          </w:p>
        </w:tc>
        <w:tc>
          <w:tcPr>
            <w:tcW w:w="3165" w:type="dxa"/>
            <w:vAlign w:val="center"/>
          </w:tcPr>
          <w:p w14:paraId="4073369F" w14:textId="77777777" w:rsidR="00B650E5" w:rsidRDefault="00B650E5">
            <w:pPr>
              <w:jc w:val="center"/>
              <w:rPr>
                <w:sz w:val="20"/>
                <w:szCs w:val="20"/>
              </w:rPr>
            </w:pPr>
            <w:r>
              <w:rPr>
                <w:sz w:val="20"/>
                <w:szCs w:val="20"/>
              </w:rPr>
              <w:t>Podmienka nebyť dlžníkom poistného na zdravotnom poistení</w:t>
            </w:r>
          </w:p>
        </w:tc>
        <w:tc>
          <w:tcPr>
            <w:tcW w:w="6946" w:type="dxa"/>
            <w:vAlign w:val="center"/>
          </w:tcPr>
          <w:p w14:paraId="1F033E91"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5A83FB1E" w14:textId="77777777" w:rsidR="00B650E5" w:rsidRPr="009078F6" w:rsidRDefault="00B650E5" w:rsidP="00CB2FF3">
            <w:pPr>
              <w:rPr>
                <w:sz w:val="20"/>
                <w:szCs w:val="20"/>
              </w:rPr>
            </w:pPr>
            <w:r w:rsidRPr="000B18B1">
              <w:rPr>
                <w:b/>
                <w:sz w:val="20"/>
                <w:szCs w:val="20"/>
              </w:rPr>
              <w:t>Spôsob overenia:</w:t>
            </w:r>
            <w:r>
              <w:rPr>
                <w:sz w:val="20"/>
                <w:szCs w:val="20"/>
                <w:lang w:eastAsia="en-US"/>
              </w:rPr>
              <w:t xml:space="preserve"> </w:t>
            </w:r>
            <w:r w:rsidRPr="009078F6">
              <w:rPr>
                <w:sz w:val="20"/>
                <w:szCs w:val="20"/>
                <w:lang w:eastAsia="en-US"/>
              </w:rPr>
              <w:t>ITMS</w:t>
            </w:r>
            <w:r>
              <w:rPr>
                <w:sz w:val="20"/>
                <w:szCs w:val="20"/>
                <w:lang w:eastAsia="en-US"/>
              </w:rPr>
              <w:t xml:space="preserve"> </w:t>
            </w:r>
            <w:r w:rsidRPr="009078F6">
              <w:rPr>
                <w:sz w:val="20"/>
                <w:szCs w:val="20"/>
                <w:lang w:eastAsia="en-US"/>
              </w:rPr>
              <w:t>2014+</w:t>
            </w:r>
            <w:r>
              <w:rPr>
                <w:sz w:val="20"/>
                <w:szCs w:val="20"/>
                <w:lang w:eastAsia="en-US"/>
              </w:rPr>
              <w:t xml:space="preserve"> </w:t>
            </w:r>
            <w:r w:rsidRPr="009078F6">
              <w:rPr>
                <w:sz w:val="20"/>
                <w:szCs w:val="20"/>
                <w:lang w:eastAsia="en-US"/>
              </w:rPr>
              <w:t>/</w:t>
            </w:r>
            <w:r>
              <w:rPr>
                <w:sz w:val="20"/>
                <w:szCs w:val="20"/>
                <w:lang w:eastAsia="en-US"/>
              </w:rPr>
              <w:t xml:space="preserve"> </w:t>
            </w:r>
            <w:hyperlink r:id="rId42" w:history="1">
              <w:r w:rsidRPr="000E6473">
                <w:rPr>
                  <w:rStyle w:val="Hypertextovprepojenie"/>
                  <w:sz w:val="20"/>
                  <w:szCs w:val="20"/>
                </w:rPr>
                <w:t>https://www.vszp.sk/platitelia/platenie-poistneho/zoznam-dlznikov.html</w:t>
              </w:r>
            </w:hyperlink>
            <w:r w:rsidRPr="005243B9">
              <w:rPr>
                <w:sz w:val="20"/>
                <w:szCs w:val="20"/>
              </w:rPr>
              <w:t xml:space="preserve">; </w:t>
            </w:r>
            <w:hyperlink r:id="rId43" w:history="1">
              <w:r w:rsidRPr="000E6473">
                <w:rPr>
                  <w:rStyle w:val="Hypertextovprepojenie"/>
                  <w:sz w:val="20"/>
                  <w:szCs w:val="20"/>
                </w:rPr>
                <w:t>http://www.dovera.sk/overenia/dlznici/zoznam-dlznikov</w:t>
              </w:r>
            </w:hyperlink>
            <w:r w:rsidRPr="005243B9">
              <w:rPr>
                <w:sz w:val="20"/>
                <w:szCs w:val="20"/>
              </w:rPr>
              <w:t xml:space="preserve">; </w:t>
            </w:r>
            <w:hyperlink r:id="rId44" w:history="1">
              <w:r w:rsidRPr="000E6473">
                <w:rPr>
                  <w:rStyle w:val="Hypertextovprepojenie"/>
                  <w:sz w:val="20"/>
                  <w:szCs w:val="20"/>
                </w:rPr>
                <w:t>https://www.union.sk/zoznam-dlznikov</w:t>
              </w:r>
            </w:hyperlink>
            <w:r>
              <w:rPr>
                <w:sz w:val="20"/>
                <w:szCs w:val="20"/>
              </w:rPr>
              <w:t xml:space="preserve"> </w:t>
            </w:r>
            <w:r w:rsidRPr="005243B9">
              <w:rPr>
                <w:sz w:val="20"/>
                <w:szCs w:val="20"/>
              </w:rPr>
              <w:t>/ čestné vyhlásenie</w:t>
            </w:r>
          </w:p>
        </w:tc>
        <w:tc>
          <w:tcPr>
            <w:tcW w:w="2836" w:type="dxa"/>
            <w:vAlign w:val="center"/>
          </w:tcPr>
          <w:p w14:paraId="1445A1D1" w14:textId="77777777" w:rsidR="00B650E5" w:rsidRPr="007A00B7" w:rsidRDefault="00B650E5" w:rsidP="00913352">
            <w:pPr>
              <w:jc w:val="center"/>
              <w:rPr>
                <w:sz w:val="20"/>
                <w:szCs w:val="20"/>
              </w:rPr>
            </w:pPr>
            <w:r w:rsidRPr="005243B9">
              <w:rPr>
                <w:sz w:val="20"/>
                <w:szCs w:val="20"/>
              </w:rPr>
              <w:t>V prípade overenia iba na</w:t>
            </w:r>
            <w:r>
              <w:rPr>
                <w:sz w:val="20"/>
                <w:szCs w:val="20"/>
              </w:rPr>
              <w:t> </w:t>
            </w:r>
            <w:r w:rsidRPr="005243B9">
              <w:rPr>
                <w:sz w:val="20"/>
                <w:szCs w:val="20"/>
              </w:rPr>
              <w:t xml:space="preserve">základe čestného vyhlásenia je RO </w:t>
            </w:r>
            <w:r w:rsidRPr="00EF1320">
              <w:rPr>
                <w:sz w:val="20"/>
                <w:szCs w:val="20"/>
              </w:rPr>
              <w:t xml:space="preserve">povinný overiť podmienku </w:t>
            </w:r>
            <w:r w:rsidRPr="00450D3D">
              <w:rPr>
                <w:sz w:val="20"/>
                <w:szCs w:val="20"/>
              </w:rPr>
              <w:t>najn</w:t>
            </w:r>
            <w:r w:rsidRPr="000B18B1">
              <w:rPr>
                <w:sz w:val="20"/>
                <w:szCs w:val="20"/>
              </w:rPr>
              <w:t>eskôr do 6 mesiacov od</w:t>
            </w:r>
            <w:r>
              <w:rPr>
                <w:sz w:val="20"/>
                <w:szCs w:val="20"/>
              </w:rPr>
              <w:t> </w:t>
            </w:r>
            <w:r w:rsidRPr="000B18B1">
              <w:rPr>
                <w:sz w:val="20"/>
                <w:szCs w:val="20"/>
              </w:rPr>
              <w:t>začatia realizácie hlavných aktivít projektu</w:t>
            </w:r>
            <w:r>
              <w:rPr>
                <w:sz w:val="20"/>
                <w:szCs w:val="20"/>
              </w:rPr>
              <w:t>.</w:t>
            </w:r>
            <w:r w:rsidRPr="007A00B7">
              <w:rPr>
                <w:iCs/>
                <w:sz w:val="20"/>
                <w:szCs w:val="20"/>
                <w:lang w:eastAsia="en-US"/>
              </w:rPr>
              <w:t>  </w:t>
            </w:r>
          </w:p>
        </w:tc>
      </w:tr>
      <w:tr w:rsidR="00B650E5" w14:paraId="0A49FBF0" w14:textId="77777777">
        <w:trPr>
          <w:trHeight w:val="981"/>
        </w:trPr>
        <w:tc>
          <w:tcPr>
            <w:tcW w:w="483" w:type="dxa"/>
            <w:shd w:val="clear" w:color="000000" w:fill="C5D9F1"/>
            <w:vAlign w:val="center"/>
          </w:tcPr>
          <w:p w14:paraId="745D9B37" w14:textId="77777777" w:rsidR="00B650E5" w:rsidRDefault="00B650E5">
            <w:pPr>
              <w:jc w:val="center"/>
              <w:rPr>
                <w:b/>
                <w:bCs/>
                <w:sz w:val="20"/>
                <w:szCs w:val="20"/>
              </w:rPr>
            </w:pPr>
            <w:r>
              <w:rPr>
                <w:b/>
                <w:bCs/>
                <w:iCs/>
                <w:sz w:val="20"/>
                <w:szCs w:val="20"/>
                <w:lang w:eastAsia="en-US"/>
              </w:rPr>
              <w:t>4.</w:t>
            </w:r>
          </w:p>
        </w:tc>
        <w:tc>
          <w:tcPr>
            <w:tcW w:w="1881" w:type="dxa"/>
            <w:shd w:val="clear" w:color="000000" w:fill="C5D9F1"/>
            <w:vAlign w:val="center"/>
          </w:tcPr>
          <w:p w14:paraId="461890DB" w14:textId="77777777" w:rsidR="00B650E5" w:rsidRDefault="00B650E5">
            <w:pPr>
              <w:jc w:val="center"/>
              <w:rPr>
                <w:sz w:val="20"/>
                <w:szCs w:val="20"/>
              </w:rPr>
            </w:pPr>
            <w:r>
              <w:rPr>
                <w:iCs/>
                <w:sz w:val="20"/>
                <w:szCs w:val="20"/>
                <w:lang w:eastAsia="en-US"/>
              </w:rPr>
              <w:t> </w:t>
            </w:r>
          </w:p>
        </w:tc>
        <w:tc>
          <w:tcPr>
            <w:tcW w:w="3165" w:type="dxa"/>
            <w:shd w:val="clear" w:color="000000" w:fill="C5D9F1"/>
            <w:vAlign w:val="center"/>
          </w:tcPr>
          <w:p w14:paraId="3779EF69" w14:textId="77777777" w:rsidR="00B650E5" w:rsidRDefault="00B650E5">
            <w:pPr>
              <w:jc w:val="center"/>
              <w:rPr>
                <w:sz w:val="20"/>
                <w:szCs w:val="20"/>
              </w:rPr>
            </w:pPr>
            <w:r>
              <w:rPr>
                <w:sz w:val="20"/>
                <w:szCs w:val="20"/>
              </w:rPr>
              <w:t xml:space="preserve">Podmienka nebyť dlžníkom na sociálnom poistení </w:t>
            </w:r>
          </w:p>
        </w:tc>
        <w:tc>
          <w:tcPr>
            <w:tcW w:w="6946" w:type="dxa"/>
            <w:shd w:val="clear" w:color="000000" w:fill="C5D9F1"/>
            <w:vAlign w:val="center"/>
          </w:tcPr>
          <w:p w14:paraId="5BE25E6B"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164D0F75" w14:textId="77777777" w:rsidR="00B650E5" w:rsidRPr="009078F6" w:rsidRDefault="00B650E5" w:rsidP="00CB2FF3">
            <w:pPr>
              <w:rPr>
                <w:sz w:val="20"/>
                <w:szCs w:val="20"/>
              </w:rPr>
            </w:pPr>
            <w:r w:rsidRPr="000B18B1">
              <w:rPr>
                <w:b/>
                <w:sz w:val="20"/>
                <w:szCs w:val="20"/>
              </w:rPr>
              <w:t>Spôsob overenia:</w:t>
            </w:r>
            <w:r>
              <w:rPr>
                <w:sz w:val="20"/>
                <w:szCs w:val="20"/>
              </w:rPr>
              <w:t xml:space="preserve"> </w:t>
            </w:r>
            <w:r w:rsidRPr="009078F6">
              <w:rPr>
                <w:sz w:val="20"/>
                <w:szCs w:val="20"/>
              </w:rPr>
              <w:t>ITMS</w:t>
            </w:r>
            <w:r>
              <w:rPr>
                <w:sz w:val="20"/>
                <w:szCs w:val="20"/>
              </w:rPr>
              <w:t xml:space="preserve"> </w:t>
            </w:r>
            <w:r w:rsidRPr="009078F6">
              <w:rPr>
                <w:sz w:val="20"/>
                <w:szCs w:val="20"/>
              </w:rPr>
              <w:t>2014+</w:t>
            </w:r>
            <w:r>
              <w:rPr>
                <w:sz w:val="20"/>
                <w:szCs w:val="20"/>
              </w:rPr>
              <w:t xml:space="preserve"> </w:t>
            </w:r>
            <w:r w:rsidRPr="009078F6">
              <w:rPr>
                <w:sz w:val="20"/>
                <w:szCs w:val="20"/>
              </w:rPr>
              <w:t xml:space="preserve">/ </w:t>
            </w:r>
            <w:hyperlink r:id="rId45" w:history="1">
              <w:r w:rsidRPr="000E6473">
                <w:rPr>
                  <w:rStyle w:val="Hypertextovprepojenie"/>
                  <w:sz w:val="20"/>
                  <w:szCs w:val="20"/>
                </w:rPr>
                <w:t>http://www.socpoist.sk/zoznam-dlznikov-emw/487s</w:t>
              </w:r>
            </w:hyperlink>
            <w:r>
              <w:rPr>
                <w:sz w:val="20"/>
                <w:szCs w:val="20"/>
              </w:rPr>
              <w:t xml:space="preserve">  / čestné vyhlásenie</w:t>
            </w:r>
          </w:p>
        </w:tc>
        <w:tc>
          <w:tcPr>
            <w:tcW w:w="2836" w:type="dxa"/>
            <w:shd w:val="clear" w:color="000000" w:fill="C5D9F1"/>
            <w:vAlign w:val="center"/>
          </w:tcPr>
          <w:p w14:paraId="2556B427" w14:textId="77777777" w:rsidR="00B650E5" w:rsidRPr="007A00B7" w:rsidRDefault="00B650E5" w:rsidP="00913352">
            <w:pPr>
              <w:jc w:val="center"/>
              <w:rPr>
                <w:sz w:val="20"/>
                <w:szCs w:val="20"/>
              </w:rPr>
            </w:pPr>
            <w:r w:rsidRPr="000B18B1">
              <w:rPr>
                <w:sz w:val="20"/>
                <w:szCs w:val="20"/>
              </w:rPr>
              <w:t>V prípade overenia iba na</w:t>
            </w:r>
            <w:r>
              <w:rPr>
                <w:sz w:val="20"/>
                <w:szCs w:val="20"/>
              </w:rPr>
              <w:t> </w:t>
            </w:r>
            <w:r w:rsidRPr="000B18B1">
              <w:rPr>
                <w:sz w:val="20"/>
                <w:szCs w:val="20"/>
              </w:rPr>
              <w:t>základe čestného vyhlásenia je RO povinný overiť podmienku najneskôr do 6 mesiacov od</w:t>
            </w:r>
            <w:r>
              <w:rPr>
                <w:sz w:val="20"/>
                <w:szCs w:val="20"/>
              </w:rPr>
              <w:t> </w:t>
            </w:r>
            <w:r w:rsidRPr="000B18B1">
              <w:rPr>
                <w:sz w:val="20"/>
                <w:szCs w:val="20"/>
              </w:rPr>
              <w:t>začatia realizácie hlavných aktivít projektu</w:t>
            </w:r>
            <w:r>
              <w:rPr>
                <w:sz w:val="20"/>
                <w:szCs w:val="20"/>
              </w:rPr>
              <w:t>.</w:t>
            </w:r>
            <w:r w:rsidRPr="007A00B7">
              <w:rPr>
                <w:iCs/>
                <w:sz w:val="20"/>
                <w:szCs w:val="20"/>
                <w:lang w:eastAsia="en-US"/>
              </w:rPr>
              <w:t>  </w:t>
            </w:r>
          </w:p>
        </w:tc>
      </w:tr>
      <w:tr w:rsidR="00B650E5" w14:paraId="587F8854" w14:textId="77777777">
        <w:trPr>
          <w:trHeight w:val="952"/>
        </w:trPr>
        <w:tc>
          <w:tcPr>
            <w:tcW w:w="483" w:type="dxa"/>
            <w:vAlign w:val="center"/>
          </w:tcPr>
          <w:p w14:paraId="5352C967" w14:textId="77777777" w:rsidR="00B650E5" w:rsidRDefault="00B650E5">
            <w:pPr>
              <w:jc w:val="center"/>
              <w:rPr>
                <w:b/>
                <w:bCs/>
                <w:sz w:val="20"/>
                <w:szCs w:val="20"/>
              </w:rPr>
            </w:pPr>
            <w:r>
              <w:rPr>
                <w:b/>
                <w:bCs/>
                <w:iCs/>
                <w:sz w:val="20"/>
                <w:szCs w:val="20"/>
                <w:lang w:eastAsia="en-US"/>
              </w:rPr>
              <w:t>5.</w:t>
            </w:r>
          </w:p>
        </w:tc>
        <w:tc>
          <w:tcPr>
            <w:tcW w:w="1881" w:type="dxa"/>
            <w:vAlign w:val="center"/>
          </w:tcPr>
          <w:p w14:paraId="2A055C7F" w14:textId="77777777" w:rsidR="00B650E5" w:rsidRDefault="00B650E5">
            <w:pPr>
              <w:jc w:val="center"/>
              <w:rPr>
                <w:sz w:val="20"/>
                <w:szCs w:val="20"/>
              </w:rPr>
            </w:pPr>
            <w:r>
              <w:rPr>
                <w:bCs/>
                <w:iCs/>
                <w:sz w:val="20"/>
                <w:szCs w:val="20"/>
                <w:lang w:eastAsia="en-US"/>
              </w:rPr>
              <w:t> </w:t>
            </w:r>
          </w:p>
        </w:tc>
        <w:tc>
          <w:tcPr>
            <w:tcW w:w="3165" w:type="dxa"/>
            <w:vAlign w:val="center"/>
          </w:tcPr>
          <w:p w14:paraId="2ABA3314" w14:textId="77777777" w:rsidR="00B650E5" w:rsidRDefault="00B650E5">
            <w:pPr>
              <w:jc w:val="center"/>
              <w:rPr>
                <w:sz w:val="20"/>
                <w:szCs w:val="20"/>
              </w:rPr>
            </w:pPr>
            <w:r>
              <w:rPr>
                <w:sz w:val="20"/>
                <w:szCs w:val="20"/>
              </w:rPr>
              <w:t>Podmienka, že voči žiadateľovi nie je vedené konkurzné konanie, reštrukturalizačné konanie, nie  je v konkurze alebo v reštrukturalizácii</w:t>
            </w:r>
          </w:p>
        </w:tc>
        <w:tc>
          <w:tcPr>
            <w:tcW w:w="6946" w:type="dxa"/>
            <w:vAlign w:val="center"/>
          </w:tcPr>
          <w:p w14:paraId="44464FEC" w14:textId="77777777" w:rsidR="00B650E5" w:rsidRDefault="00B650E5" w:rsidP="00CB2FF3">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5874D96A" w14:textId="77777777" w:rsidR="00B650E5" w:rsidRPr="009078F6" w:rsidRDefault="00B650E5" w:rsidP="00913352">
            <w:pPr>
              <w:rPr>
                <w:sz w:val="20"/>
                <w:szCs w:val="20"/>
              </w:rPr>
            </w:pPr>
            <w:r w:rsidRPr="000B18B1">
              <w:rPr>
                <w:b/>
                <w:sz w:val="20"/>
                <w:szCs w:val="20"/>
              </w:rPr>
              <w:t>Spôsob overenia:</w:t>
            </w:r>
            <w:r>
              <w:rPr>
                <w:sz w:val="20"/>
                <w:szCs w:val="20"/>
              </w:rPr>
              <w:t xml:space="preserve"> </w:t>
            </w:r>
            <w:r w:rsidRPr="009078F6">
              <w:rPr>
                <w:sz w:val="20"/>
                <w:szCs w:val="20"/>
                <w:lang w:eastAsia="en-US"/>
              </w:rPr>
              <w:t>ITMS</w:t>
            </w:r>
            <w:r>
              <w:rPr>
                <w:sz w:val="20"/>
                <w:szCs w:val="20"/>
                <w:lang w:eastAsia="en-US"/>
              </w:rPr>
              <w:t xml:space="preserve"> </w:t>
            </w:r>
            <w:r w:rsidRPr="009078F6">
              <w:rPr>
                <w:sz w:val="20"/>
                <w:szCs w:val="20"/>
                <w:lang w:eastAsia="en-US"/>
              </w:rPr>
              <w:t xml:space="preserve">2014+ </w:t>
            </w:r>
          </w:p>
        </w:tc>
        <w:tc>
          <w:tcPr>
            <w:tcW w:w="2836" w:type="dxa"/>
            <w:vAlign w:val="center"/>
          </w:tcPr>
          <w:p w14:paraId="15C598B1" w14:textId="77777777" w:rsidR="00B650E5" w:rsidRPr="007A00B7" w:rsidRDefault="00B650E5">
            <w:pPr>
              <w:jc w:val="center"/>
              <w:rPr>
                <w:sz w:val="20"/>
                <w:szCs w:val="20"/>
              </w:rPr>
            </w:pPr>
            <w:r w:rsidRPr="009078F6">
              <w:rPr>
                <w:sz w:val="20"/>
                <w:szCs w:val="20"/>
              </w:rPr>
              <w:t xml:space="preserve">Podmienka sa nevzťahuje na </w:t>
            </w:r>
            <w:r>
              <w:rPr>
                <w:sz w:val="20"/>
                <w:szCs w:val="20"/>
              </w:rPr>
              <w:t>subjekty</w:t>
            </w:r>
            <w:r w:rsidRPr="007A00B7">
              <w:rPr>
                <w:sz w:val="20"/>
                <w:szCs w:val="20"/>
              </w:rPr>
              <w:t> podľa § 2 zákona  o konkurze a reštrukturalizácii</w:t>
            </w:r>
          </w:p>
        </w:tc>
      </w:tr>
      <w:tr w:rsidR="00B650E5" w14:paraId="085C2062" w14:textId="77777777">
        <w:trPr>
          <w:trHeight w:val="900"/>
        </w:trPr>
        <w:tc>
          <w:tcPr>
            <w:tcW w:w="483" w:type="dxa"/>
            <w:shd w:val="clear" w:color="000000" w:fill="C5D9F1"/>
            <w:vAlign w:val="center"/>
          </w:tcPr>
          <w:p w14:paraId="2F9DEA0A" w14:textId="77777777" w:rsidR="00B650E5" w:rsidRDefault="00B650E5">
            <w:pPr>
              <w:jc w:val="center"/>
              <w:rPr>
                <w:b/>
                <w:bCs/>
                <w:sz w:val="20"/>
                <w:szCs w:val="20"/>
              </w:rPr>
            </w:pPr>
            <w:r>
              <w:rPr>
                <w:b/>
                <w:bCs/>
                <w:iCs/>
                <w:sz w:val="20"/>
                <w:szCs w:val="20"/>
                <w:lang w:eastAsia="en-US"/>
              </w:rPr>
              <w:lastRenderedPageBreak/>
              <w:t>6.</w:t>
            </w:r>
          </w:p>
        </w:tc>
        <w:tc>
          <w:tcPr>
            <w:tcW w:w="1881" w:type="dxa"/>
            <w:shd w:val="clear" w:color="000000" w:fill="C5D9F1"/>
            <w:vAlign w:val="center"/>
          </w:tcPr>
          <w:p w14:paraId="58284E35"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1D4D3986" w14:textId="77777777" w:rsidR="00B650E5" w:rsidRDefault="00B650E5">
            <w:pPr>
              <w:jc w:val="center"/>
              <w:rPr>
                <w:sz w:val="20"/>
                <w:szCs w:val="20"/>
              </w:rPr>
            </w:pPr>
            <w:r>
              <w:rPr>
                <w:sz w:val="20"/>
                <w:szCs w:val="20"/>
              </w:rPr>
              <w:t xml:space="preserve">Podmienka zákazu vedenia výkonu rozhodnutia voči žiadateľovi  </w:t>
            </w:r>
          </w:p>
          <w:p w14:paraId="36A47D3B" w14:textId="77777777" w:rsidR="00B650E5" w:rsidRDefault="00B650E5">
            <w:pPr>
              <w:jc w:val="center"/>
              <w:rPr>
                <w:sz w:val="20"/>
                <w:szCs w:val="20"/>
              </w:rPr>
            </w:pPr>
          </w:p>
        </w:tc>
        <w:tc>
          <w:tcPr>
            <w:tcW w:w="6946" w:type="dxa"/>
            <w:shd w:val="clear" w:color="000000" w:fill="C5D9F1"/>
            <w:vAlign w:val="center"/>
          </w:tcPr>
          <w:p w14:paraId="5F651912" w14:textId="5A6C5EC6" w:rsidR="00B650E5" w:rsidRPr="007A00B7" w:rsidRDefault="00B650E5" w:rsidP="00913352">
            <w:pPr>
              <w:rPr>
                <w:sz w:val="20"/>
                <w:szCs w:val="20"/>
              </w:rPr>
            </w:pPr>
            <w:r>
              <w:rPr>
                <w:b/>
                <w:bCs/>
                <w:sz w:val="20"/>
                <w:szCs w:val="20"/>
              </w:rPr>
              <w:t xml:space="preserve">Forma preukázania: </w:t>
            </w:r>
            <w:r w:rsidRPr="001B709E">
              <w:rPr>
                <w:bCs/>
                <w:sz w:val="20"/>
                <w:szCs w:val="20"/>
                <w:lang w:eastAsia="en-US"/>
              </w:rPr>
              <w:t>Čestné vyhlásenie</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Čestné vyhlásenie</w:t>
            </w:r>
            <w:r w:rsidR="006242FC">
              <w:rPr>
                <w:sz w:val="20"/>
                <w:szCs w:val="20"/>
                <w:lang w:eastAsia="en-US"/>
              </w:rPr>
              <w:t xml:space="preserve"> / </w:t>
            </w:r>
            <w:r w:rsidR="006242FC" w:rsidRPr="006242FC">
              <w:rPr>
                <w:sz w:val="20"/>
                <w:szCs w:val="20"/>
                <w:lang w:eastAsia="en-US"/>
              </w:rPr>
              <w:t>www.centralnyregisterexekucii.sk</w:t>
            </w:r>
          </w:p>
        </w:tc>
        <w:tc>
          <w:tcPr>
            <w:tcW w:w="2836" w:type="dxa"/>
            <w:shd w:val="clear" w:color="000000" w:fill="C5D9F1"/>
            <w:vAlign w:val="center"/>
          </w:tcPr>
          <w:p w14:paraId="447FC32C" w14:textId="77777777" w:rsidR="00B650E5" w:rsidRPr="007A00B7" w:rsidRDefault="00B650E5">
            <w:pPr>
              <w:jc w:val="center"/>
              <w:rPr>
                <w:sz w:val="20"/>
                <w:szCs w:val="20"/>
              </w:rPr>
            </w:pPr>
            <w:r w:rsidRPr="007A00B7">
              <w:rPr>
                <w:sz w:val="20"/>
                <w:szCs w:val="20"/>
              </w:rPr>
              <w:t>V rámci tejto podmienky poskytnutia príspevku je RO povinný zabezpečiť, aby v prípade relevantných prípadov bola overená aj skutočnosť, že projekt nezahŕňa činnosti, ktoré boli súčasťou operácie,</w:t>
            </w:r>
          </w:p>
          <w:p w14:paraId="746F3D95" w14:textId="77777777" w:rsidR="00B650E5" w:rsidRPr="007A00B7" w:rsidRDefault="00B650E5">
            <w:pPr>
              <w:jc w:val="center"/>
              <w:rPr>
                <w:sz w:val="20"/>
                <w:szCs w:val="20"/>
              </w:rPr>
            </w:pPr>
            <w:r w:rsidRPr="007A00B7">
              <w:rPr>
                <w:sz w:val="20"/>
                <w:szCs w:val="20"/>
              </w:rPr>
              <w:t>v prípade ktorej sa začalo alebo malo začať vymáhacie</w:t>
            </w:r>
          </w:p>
          <w:p w14:paraId="6A9A6BB9" w14:textId="77777777" w:rsidR="00B650E5" w:rsidRPr="007A00B7" w:rsidRDefault="00B650E5">
            <w:pPr>
              <w:jc w:val="center"/>
              <w:rPr>
                <w:sz w:val="20"/>
                <w:szCs w:val="20"/>
              </w:rPr>
            </w:pPr>
            <w:r w:rsidRPr="007A00B7">
              <w:rPr>
                <w:sz w:val="20"/>
                <w:szCs w:val="20"/>
              </w:rPr>
              <w:t>konanie v súlade s článkom 71 všeobecného nariadenia po premiestnení výrobnej</w:t>
            </w:r>
          </w:p>
          <w:p w14:paraId="412375F1" w14:textId="77777777" w:rsidR="00B650E5" w:rsidRPr="007A00B7" w:rsidRDefault="00B650E5">
            <w:pPr>
              <w:jc w:val="center"/>
              <w:rPr>
                <w:sz w:val="20"/>
                <w:szCs w:val="20"/>
              </w:rPr>
            </w:pPr>
            <w:r w:rsidRPr="007A00B7">
              <w:rPr>
                <w:sz w:val="20"/>
                <w:szCs w:val="20"/>
              </w:rPr>
              <w:t xml:space="preserve">činnosti mimo oblasti programu. </w:t>
            </w:r>
          </w:p>
          <w:p w14:paraId="0870814F" w14:textId="77777777" w:rsidR="00B650E5" w:rsidRPr="007A00B7" w:rsidRDefault="00B650E5">
            <w:pPr>
              <w:jc w:val="center"/>
              <w:rPr>
                <w:sz w:val="20"/>
                <w:szCs w:val="20"/>
              </w:rPr>
            </w:pPr>
            <w:r w:rsidRPr="007A00B7">
              <w:rPr>
                <w:sz w:val="20"/>
                <w:szCs w:val="20"/>
              </w:rPr>
              <w:t xml:space="preserve">Podmienka sa netýka výkonu rozhodnutia voči členom riadiacich a dozorných orgánov žiadateľa, ale je relevantná vo vzťahu k subjektu žiadateľa. Nerelevantné pre ministerstvá, ostatné ústredné orgány štátnej správy a ostatné štátne rozpočtové organizácie. </w:t>
            </w:r>
          </w:p>
          <w:p w14:paraId="5F1D769C" w14:textId="77777777" w:rsidR="00B650E5" w:rsidRPr="007A00B7" w:rsidRDefault="00B650E5">
            <w:pPr>
              <w:jc w:val="center"/>
              <w:rPr>
                <w:sz w:val="20"/>
                <w:szCs w:val="20"/>
              </w:rPr>
            </w:pPr>
          </w:p>
        </w:tc>
      </w:tr>
      <w:tr w:rsidR="00B650E5" w14:paraId="779CD33C" w14:textId="77777777">
        <w:trPr>
          <w:trHeight w:val="1408"/>
        </w:trPr>
        <w:tc>
          <w:tcPr>
            <w:tcW w:w="483" w:type="dxa"/>
            <w:vAlign w:val="center"/>
          </w:tcPr>
          <w:p w14:paraId="5152FDAF" w14:textId="77777777" w:rsidR="00B650E5" w:rsidRDefault="00B650E5">
            <w:pPr>
              <w:jc w:val="center"/>
              <w:rPr>
                <w:b/>
                <w:bCs/>
                <w:sz w:val="20"/>
                <w:szCs w:val="20"/>
              </w:rPr>
            </w:pPr>
            <w:r>
              <w:rPr>
                <w:b/>
                <w:bCs/>
                <w:iCs/>
                <w:sz w:val="20"/>
                <w:szCs w:val="20"/>
                <w:lang w:eastAsia="en-US"/>
              </w:rPr>
              <w:t>7.</w:t>
            </w:r>
          </w:p>
        </w:tc>
        <w:tc>
          <w:tcPr>
            <w:tcW w:w="1881" w:type="dxa"/>
            <w:vAlign w:val="center"/>
          </w:tcPr>
          <w:p w14:paraId="77DAF13F" w14:textId="77777777" w:rsidR="00B650E5" w:rsidRDefault="00B650E5">
            <w:pPr>
              <w:jc w:val="center"/>
              <w:rPr>
                <w:sz w:val="20"/>
                <w:szCs w:val="20"/>
              </w:rPr>
            </w:pPr>
            <w:r>
              <w:rPr>
                <w:bCs/>
                <w:iCs/>
                <w:sz w:val="20"/>
                <w:szCs w:val="20"/>
                <w:lang w:eastAsia="en-US"/>
              </w:rPr>
              <w:t> </w:t>
            </w:r>
          </w:p>
        </w:tc>
        <w:tc>
          <w:tcPr>
            <w:tcW w:w="3165" w:type="dxa"/>
            <w:vAlign w:val="center"/>
          </w:tcPr>
          <w:p w14:paraId="2565F373" w14:textId="77777777" w:rsidR="00B650E5" w:rsidRPr="009078F6" w:rsidRDefault="00B650E5">
            <w:pPr>
              <w:jc w:val="center"/>
              <w:rPr>
                <w:sz w:val="20"/>
                <w:szCs w:val="20"/>
              </w:rPr>
            </w:pPr>
            <w:r w:rsidRPr="009078F6">
              <w:rPr>
                <w:sz w:val="20"/>
                <w:szCs w:val="20"/>
              </w:rPr>
              <w:t>Podmienka, že žiadateľ nie je podnikom v ťažkostiach</w:t>
            </w:r>
          </w:p>
        </w:tc>
        <w:tc>
          <w:tcPr>
            <w:tcW w:w="6946" w:type="dxa"/>
            <w:vAlign w:val="center"/>
          </w:tcPr>
          <w:p w14:paraId="53395C77" w14:textId="77777777" w:rsidR="00B650E5" w:rsidRDefault="00B650E5" w:rsidP="00913352">
            <w:pPr>
              <w:rPr>
                <w:sz w:val="20"/>
                <w:szCs w:val="20"/>
                <w:lang w:eastAsia="en-US"/>
              </w:rPr>
            </w:pPr>
            <w:r>
              <w:rPr>
                <w:b/>
                <w:bCs/>
                <w:sz w:val="20"/>
                <w:szCs w:val="20"/>
              </w:rPr>
              <w:t xml:space="preserve">Forma preukázania: </w:t>
            </w:r>
            <w:r w:rsidRPr="000B18B1">
              <w:rPr>
                <w:bCs/>
                <w:sz w:val="20"/>
                <w:szCs w:val="20"/>
                <w:lang w:eastAsia="en-US"/>
              </w:rPr>
              <w:t>Čestné vyhlásenie</w:t>
            </w:r>
            <w:r w:rsidRPr="009078F6">
              <w:rPr>
                <w:sz w:val="20"/>
                <w:szCs w:val="20"/>
                <w:lang w:eastAsia="en-US"/>
              </w:rPr>
              <w:br/>
            </w:r>
            <w:r w:rsidRPr="000B18B1">
              <w:rPr>
                <w:b/>
                <w:sz w:val="20"/>
                <w:szCs w:val="20"/>
              </w:rPr>
              <w:t>Spôsob overenia:</w:t>
            </w:r>
            <w:r>
              <w:rPr>
                <w:sz w:val="20"/>
                <w:szCs w:val="20"/>
              </w:rPr>
              <w:t xml:space="preserve"> </w:t>
            </w:r>
            <w:r>
              <w:rPr>
                <w:sz w:val="20"/>
                <w:szCs w:val="20"/>
                <w:lang w:eastAsia="en-US"/>
              </w:rPr>
              <w:t>I</w:t>
            </w:r>
            <w:r w:rsidRPr="009078F6">
              <w:rPr>
                <w:sz w:val="20"/>
                <w:szCs w:val="20"/>
                <w:lang w:eastAsia="en-US"/>
              </w:rPr>
              <w:t>nformáci</w:t>
            </w:r>
            <w:r>
              <w:rPr>
                <w:sz w:val="20"/>
                <w:szCs w:val="20"/>
                <w:lang w:eastAsia="en-US"/>
              </w:rPr>
              <w:t>e</w:t>
            </w:r>
            <w:r w:rsidRPr="009078F6">
              <w:rPr>
                <w:sz w:val="20"/>
                <w:szCs w:val="20"/>
                <w:lang w:eastAsia="en-US"/>
              </w:rPr>
              <w:t xml:space="preserve"> potrebn</w:t>
            </w:r>
            <w:r>
              <w:rPr>
                <w:sz w:val="20"/>
                <w:szCs w:val="20"/>
                <w:lang w:eastAsia="en-US"/>
              </w:rPr>
              <w:t>é</w:t>
            </w:r>
            <w:r w:rsidRPr="009078F6">
              <w:rPr>
                <w:sz w:val="20"/>
                <w:szCs w:val="20"/>
                <w:lang w:eastAsia="en-US"/>
              </w:rPr>
              <w:t xml:space="preserve"> pre overenie toho, že žiadateľ nie je podnikom v ťažko</w:t>
            </w:r>
            <w:r w:rsidRPr="007A00B7">
              <w:rPr>
                <w:sz w:val="20"/>
                <w:szCs w:val="20"/>
                <w:lang w:eastAsia="en-US"/>
              </w:rPr>
              <w:t>stiach v zmysle všeobecného nariadenie o skupinových výnimkách 651/2014, resp. Usmernenie o štátnej pomoci na záchranu a reštrukturalizáciu nefinančných podnikov v ťažkostiach (2014/C 249/01) v závislosti od toho, v režime ktorého nariadenia/usmernenia sa štátna pomoc poskytuje,  na základe údajov z účtovnej závierky (napr. zadefinovanie kritérií pre test  podniku v ťažkostiach)</w:t>
            </w:r>
            <w:r>
              <w:rPr>
                <w:sz w:val="20"/>
                <w:szCs w:val="20"/>
                <w:lang w:eastAsia="en-US"/>
              </w:rPr>
              <w:t>.</w:t>
            </w:r>
          </w:p>
          <w:p w14:paraId="5A9D2B54" w14:textId="50EFA93D" w:rsidR="00B650E5" w:rsidRPr="007A00B7" w:rsidRDefault="00B650E5" w:rsidP="00CA2631">
            <w:pPr>
              <w:rPr>
                <w:sz w:val="20"/>
                <w:szCs w:val="20"/>
              </w:rPr>
            </w:pPr>
            <w:r>
              <w:rPr>
                <w:sz w:val="20"/>
                <w:szCs w:val="20"/>
                <w:lang w:eastAsia="en-US"/>
              </w:rPr>
              <w:t>Účtovná závierka je získavaná prostredníctvom ITMS 2014+ (v</w:t>
            </w:r>
            <w:r w:rsidRPr="005243B9">
              <w:rPr>
                <w:sz w:val="20"/>
                <w:szCs w:val="20"/>
                <w:lang w:eastAsia="en-US"/>
              </w:rPr>
              <w:t> prípade, ak nie je účtovnú závierku</w:t>
            </w:r>
            <w:r w:rsidR="00CA2631">
              <w:rPr>
                <w:sz w:val="20"/>
                <w:szCs w:val="20"/>
                <w:lang w:eastAsia="en-US"/>
              </w:rPr>
              <w:t xml:space="preserve">, resp. jej časť </w:t>
            </w:r>
            <w:r w:rsidRPr="005243B9">
              <w:rPr>
                <w:sz w:val="20"/>
                <w:szCs w:val="20"/>
                <w:lang w:eastAsia="en-US"/>
              </w:rPr>
              <w:t>možné získať z</w:t>
            </w:r>
            <w:r>
              <w:rPr>
                <w:sz w:val="20"/>
                <w:szCs w:val="20"/>
                <w:lang w:eastAsia="en-US"/>
              </w:rPr>
              <w:t> </w:t>
            </w:r>
            <w:r w:rsidRPr="005243B9">
              <w:rPr>
                <w:sz w:val="20"/>
                <w:szCs w:val="20"/>
                <w:lang w:eastAsia="en-US"/>
              </w:rPr>
              <w:t>ITMS</w:t>
            </w:r>
            <w:r>
              <w:rPr>
                <w:sz w:val="20"/>
                <w:szCs w:val="20"/>
                <w:lang w:eastAsia="en-US"/>
              </w:rPr>
              <w:t xml:space="preserve"> </w:t>
            </w:r>
            <w:r w:rsidRPr="005243B9">
              <w:rPr>
                <w:sz w:val="20"/>
                <w:szCs w:val="20"/>
                <w:lang w:eastAsia="en-US"/>
              </w:rPr>
              <w:t xml:space="preserve">2014+, </w:t>
            </w:r>
            <w:r w:rsidR="006242FC">
              <w:rPr>
                <w:sz w:val="20"/>
                <w:szCs w:val="20"/>
                <w:lang w:eastAsia="en-US"/>
              </w:rPr>
              <w:t xml:space="preserve">RO ju môže získať na webovom sídle </w:t>
            </w:r>
            <w:hyperlink r:id="rId46" w:history="1">
              <w:r w:rsidR="00E878C1" w:rsidRPr="004F37D1">
                <w:rPr>
                  <w:rStyle w:val="Hypertextovprepojenie"/>
                  <w:sz w:val="20"/>
                  <w:szCs w:val="20"/>
                  <w:lang w:eastAsia="en-US"/>
                </w:rPr>
                <w:t>http://www.registeruz.sk/cruz-public/domain/accountingentity/simplesearch</w:t>
              </w:r>
            </w:hyperlink>
            <w:r w:rsidR="00E878C1">
              <w:rPr>
                <w:sz w:val="20"/>
                <w:szCs w:val="20"/>
                <w:lang w:eastAsia="en-US"/>
              </w:rPr>
              <w:t xml:space="preserve">, alebo </w:t>
            </w:r>
            <w:r w:rsidRPr="005243B9">
              <w:rPr>
                <w:sz w:val="20"/>
                <w:szCs w:val="20"/>
                <w:lang w:eastAsia="en-US"/>
              </w:rPr>
              <w:t>žiadateľ predkladá účtovnú závierku vo forme skenu)</w:t>
            </w:r>
          </w:p>
        </w:tc>
        <w:tc>
          <w:tcPr>
            <w:tcW w:w="2836" w:type="dxa"/>
            <w:vAlign w:val="center"/>
          </w:tcPr>
          <w:p w14:paraId="5A941725" w14:textId="77777777" w:rsidR="00B650E5" w:rsidRPr="007A00B7" w:rsidRDefault="00B650E5">
            <w:pPr>
              <w:jc w:val="center"/>
              <w:rPr>
                <w:sz w:val="20"/>
                <w:szCs w:val="20"/>
              </w:rPr>
            </w:pPr>
          </w:p>
          <w:p w14:paraId="7E48DA47" w14:textId="77777777" w:rsidR="00B650E5" w:rsidRPr="009078F6" w:rsidRDefault="00B650E5">
            <w:pPr>
              <w:jc w:val="center"/>
              <w:rPr>
                <w:sz w:val="20"/>
                <w:szCs w:val="20"/>
              </w:rPr>
            </w:pPr>
            <w:r w:rsidRPr="007A00B7">
              <w:rPr>
                <w:sz w:val="20"/>
                <w:szCs w:val="20"/>
              </w:rPr>
              <w:t xml:space="preserve">Nie je relevantné pre štátne rozpočtové organizácie. Nie je relevantné pre štátne príspevkové organizácie, obce a nimi zriadené rozpočtové a príspevkové organizácie, ak charakter ich činnosti, ktorú budú vykonávať v súvislosti s projektom, nemá charakter hospodárskej činnosti ako vyplýva z práva EÚ. Poskytovateľ sa môže rozhodnúť, že overenie, či štátna príspevková organizácia, obec alebo nimi zriadená rozpočtová alebo príspevková organizácia je </w:t>
            </w:r>
            <w:r w:rsidRPr="007A00B7">
              <w:rPr>
                <w:sz w:val="20"/>
                <w:szCs w:val="20"/>
              </w:rPr>
              <w:lastRenderedPageBreak/>
              <w:t>podnikom v ťažkostiach vykoná bez ohľadu na charakter činnosti, ktorú budú tieto subjekty vykonávať v súvislosti s </w:t>
            </w:r>
            <w:r w:rsidRPr="009078F6">
              <w:rPr>
                <w:sz w:val="20"/>
                <w:szCs w:val="20"/>
              </w:rPr>
              <w:t>projektom.</w:t>
            </w:r>
          </w:p>
          <w:p w14:paraId="4BEACEF4" w14:textId="77777777" w:rsidR="00B650E5" w:rsidRDefault="00B650E5">
            <w:pPr>
              <w:jc w:val="center"/>
              <w:rPr>
                <w:sz w:val="20"/>
                <w:szCs w:val="20"/>
              </w:rPr>
            </w:pPr>
            <w:r w:rsidRPr="009078F6">
              <w:rPr>
                <w:sz w:val="20"/>
                <w:szCs w:val="20"/>
              </w:rPr>
              <w:t>Podmienka sa týka osobitne aj  projektov financovaných z  Kohézneho fondu v nadväznosti na čl. 2, ods. 2, písm. e) nariadenia o </w:t>
            </w:r>
            <w:r w:rsidRPr="007A00B7">
              <w:rPr>
                <w:sz w:val="20"/>
                <w:szCs w:val="20"/>
              </w:rPr>
              <w:t>KF a projektov financovaných  Európskeho fondu regionálneho rozvoja podľa čl. 3 ods. 3, písm. d) nariadenia o</w:t>
            </w:r>
            <w:r>
              <w:rPr>
                <w:sz w:val="20"/>
                <w:szCs w:val="20"/>
              </w:rPr>
              <w:t> </w:t>
            </w:r>
            <w:r w:rsidRPr="007A00B7">
              <w:rPr>
                <w:sz w:val="20"/>
                <w:szCs w:val="20"/>
              </w:rPr>
              <w:t>EFRR</w:t>
            </w:r>
            <w:r>
              <w:rPr>
                <w:sz w:val="20"/>
                <w:szCs w:val="20"/>
              </w:rPr>
              <w:t xml:space="preserve">. </w:t>
            </w:r>
          </w:p>
          <w:p w14:paraId="0A12358B" w14:textId="77777777" w:rsidR="00B650E5" w:rsidRPr="007A00B7" w:rsidRDefault="00B650E5">
            <w:pPr>
              <w:jc w:val="center"/>
              <w:rPr>
                <w:sz w:val="20"/>
                <w:szCs w:val="20"/>
              </w:rPr>
            </w:pPr>
            <w:r w:rsidRPr="005243B9">
              <w:rPr>
                <w:sz w:val="20"/>
                <w:szCs w:val="20"/>
              </w:rPr>
              <w:t>Pri projektoch, financovaných z ESF a ENRF sa podmienka overuje iba v prípade, ak sú podporované v rámci schém štátnej pomoci</w:t>
            </w:r>
            <w:r>
              <w:rPr>
                <w:sz w:val="20"/>
                <w:szCs w:val="20"/>
              </w:rPr>
              <w:t>.</w:t>
            </w:r>
          </w:p>
        </w:tc>
      </w:tr>
      <w:tr w:rsidR="00B650E5" w14:paraId="7785A517" w14:textId="77777777">
        <w:trPr>
          <w:trHeight w:val="600"/>
        </w:trPr>
        <w:tc>
          <w:tcPr>
            <w:tcW w:w="483" w:type="dxa"/>
            <w:shd w:val="clear" w:color="000000" w:fill="C5D9F1"/>
            <w:vAlign w:val="center"/>
          </w:tcPr>
          <w:p w14:paraId="56609869" w14:textId="77777777" w:rsidR="00B650E5" w:rsidRDefault="00B650E5">
            <w:pPr>
              <w:jc w:val="center"/>
              <w:rPr>
                <w:b/>
                <w:bCs/>
                <w:sz w:val="20"/>
                <w:szCs w:val="20"/>
              </w:rPr>
            </w:pPr>
            <w:r>
              <w:rPr>
                <w:b/>
                <w:bCs/>
                <w:iCs/>
                <w:sz w:val="20"/>
                <w:szCs w:val="20"/>
                <w:lang w:eastAsia="en-US"/>
              </w:rPr>
              <w:lastRenderedPageBreak/>
              <w:t>8.</w:t>
            </w:r>
          </w:p>
        </w:tc>
        <w:tc>
          <w:tcPr>
            <w:tcW w:w="1881" w:type="dxa"/>
            <w:shd w:val="clear" w:color="000000" w:fill="C5D9F1"/>
            <w:vAlign w:val="center"/>
          </w:tcPr>
          <w:p w14:paraId="52C3D879"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3E547C1D" w14:textId="77777777" w:rsidR="00B650E5" w:rsidRPr="009078F6" w:rsidRDefault="00B650E5">
            <w:pPr>
              <w:jc w:val="center"/>
              <w:rPr>
                <w:sz w:val="20"/>
                <w:szCs w:val="20"/>
              </w:rPr>
            </w:pPr>
            <w:r w:rsidRPr="009078F6">
              <w:rPr>
                <w:sz w:val="20"/>
                <w:szCs w:val="20"/>
              </w:rPr>
              <w:t>Podmienka, že voči žiadateľovi sa nenárokuje vrátenie pomoci na základe rozhodnutia EK, ktorým bola pomoc označená za neoprávnenú a nezlučiteľnú so spoločným trhom</w:t>
            </w:r>
          </w:p>
        </w:tc>
        <w:tc>
          <w:tcPr>
            <w:tcW w:w="6946" w:type="dxa"/>
            <w:shd w:val="clear" w:color="000000" w:fill="C5D9F1"/>
            <w:vAlign w:val="center"/>
          </w:tcPr>
          <w:p w14:paraId="4A2A3C6D" w14:textId="77777777" w:rsidR="00B650E5" w:rsidRPr="007A00B7" w:rsidRDefault="00B650E5">
            <w:pPr>
              <w:rPr>
                <w:sz w:val="20"/>
                <w:szCs w:val="20"/>
              </w:rPr>
            </w:pPr>
            <w:r>
              <w:rPr>
                <w:b/>
                <w:bCs/>
                <w:sz w:val="20"/>
                <w:szCs w:val="20"/>
              </w:rPr>
              <w:t xml:space="preserve">Forma preukázania: </w:t>
            </w:r>
            <w:r w:rsidRPr="001B709E">
              <w:rPr>
                <w:bCs/>
                <w:sz w:val="20"/>
                <w:szCs w:val="20"/>
                <w:lang w:eastAsia="en-US"/>
              </w:rPr>
              <w:t>Čestné vyhlásenie</w:t>
            </w:r>
            <w:r w:rsidRPr="009078F6">
              <w:rPr>
                <w:sz w:val="20"/>
                <w:szCs w:val="20"/>
                <w:lang w:eastAsia="en-US"/>
              </w:rPr>
              <w:br/>
            </w:r>
            <w:r w:rsidRPr="000B18B1">
              <w:rPr>
                <w:b/>
                <w:sz w:val="20"/>
                <w:szCs w:val="20"/>
              </w:rPr>
              <w:t>Spôsob overenia:</w:t>
            </w:r>
            <w:r>
              <w:rPr>
                <w:b/>
                <w:sz w:val="20"/>
                <w:szCs w:val="20"/>
              </w:rPr>
              <w:t xml:space="preserve"> </w:t>
            </w:r>
            <w:r w:rsidR="00385D6F" w:rsidRPr="00385D6F">
              <w:rPr>
                <w:sz w:val="20"/>
                <w:szCs w:val="20"/>
              </w:rPr>
              <w:t>http://ec.europa.eu/competition/state_aid/studies_reports/recovery.html</w:t>
            </w:r>
          </w:p>
        </w:tc>
        <w:tc>
          <w:tcPr>
            <w:tcW w:w="2836" w:type="dxa"/>
            <w:shd w:val="clear" w:color="000000" w:fill="C5D9F1"/>
            <w:vAlign w:val="center"/>
          </w:tcPr>
          <w:p w14:paraId="515CFDE9" w14:textId="50E09B5A" w:rsidR="00B650E5" w:rsidRPr="007A00B7" w:rsidRDefault="00B650E5">
            <w:pPr>
              <w:jc w:val="center"/>
              <w:rPr>
                <w:sz w:val="20"/>
                <w:szCs w:val="20"/>
              </w:rPr>
            </w:pPr>
            <w:r w:rsidRPr="007A00B7">
              <w:rPr>
                <w:sz w:val="20"/>
                <w:szCs w:val="20"/>
              </w:rPr>
              <w:t>Relevantné v prípade subjektov, pre ktoré je v zmysle výzvy povinné preukázať splnenie predmetnej podmienky poskytnutia príspevku</w:t>
            </w:r>
            <w:r w:rsidR="008361E7">
              <w:rPr>
                <w:sz w:val="20"/>
                <w:szCs w:val="20"/>
              </w:rPr>
              <w:t>.</w:t>
            </w:r>
          </w:p>
        </w:tc>
      </w:tr>
      <w:tr w:rsidR="00B650E5" w14:paraId="17672177" w14:textId="77777777" w:rsidTr="001B709E">
        <w:trPr>
          <w:trHeight w:val="360"/>
        </w:trPr>
        <w:tc>
          <w:tcPr>
            <w:tcW w:w="483" w:type="dxa"/>
            <w:vAlign w:val="center"/>
          </w:tcPr>
          <w:p w14:paraId="5D1B4E34" w14:textId="77777777" w:rsidR="00B650E5" w:rsidRDefault="00B650E5">
            <w:pPr>
              <w:jc w:val="center"/>
              <w:rPr>
                <w:b/>
                <w:bCs/>
                <w:sz w:val="20"/>
                <w:szCs w:val="20"/>
              </w:rPr>
            </w:pPr>
            <w:r>
              <w:rPr>
                <w:b/>
                <w:bCs/>
                <w:iCs/>
                <w:sz w:val="20"/>
                <w:szCs w:val="20"/>
                <w:lang w:eastAsia="en-US"/>
              </w:rPr>
              <w:t>9.</w:t>
            </w:r>
          </w:p>
        </w:tc>
        <w:tc>
          <w:tcPr>
            <w:tcW w:w="1881" w:type="dxa"/>
            <w:vAlign w:val="center"/>
          </w:tcPr>
          <w:p w14:paraId="7B93FBA0" w14:textId="77777777" w:rsidR="00B650E5" w:rsidRDefault="00B650E5">
            <w:pPr>
              <w:jc w:val="center"/>
              <w:rPr>
                <w:sz w:val="20"/>
                <w:szCs w:val="20"/>
              </w:rPr>
            </w:pPr>
            <w:r>
              <w:rPr>
                <w:bCs/>
                <w:iCs/>
                <w:sz w:val="20"/>
                <w:szCs w:val="20"/>
                <w:lang w:eastAsia="en-US"/>
              </w:rPr>
              <w:t> </w:t>
            </w:r>
          </w:p>
        </w:tc>
        <w:tc>
          <w:tcPr>
            <w:tcW w:w="3165" w:type="dxa"/>
            <w:vAlign w:val="center"/>
          </w:tcPr>
          <w:p w14:paraId="7729280D" w14:textId="77777777" w:rsidR="00B650E5" w:rsidRPr="009078F6" w:rsidRDefault="00B650E5">
            <w:pPr>
              <w:jc w:val="center"/>
              <w:rPr>
                <w:sz w:val="20"/>
                <w:szCs w:val="20"/>
              </w:rPr>
            </w:pPr>
            <w:r w:rsidRPr="009078F6">
              <w:rPr>
                <w:sz w:val="20"/>
                <w:szCs w:val="20"/>
              </w:rPr>
              <w:t>Podmienka finančnej spôsobilosti spolufinancovania projektu</w:t>
            </w:r>
          </w:p>
        </w:tc>
        <w:tc>
          <w:tcPr>
            <w:tcW w:w="6946" w:type="dxa"/>
            <w:vAlign w:val="center"/>
          </w:tcPr>
          <w:p w14:paraId="00F26F8A" w14:textId="77777777" w:rsidR="00B650E5"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6FADBB80" w14:textId="77777777" w:rsidR="00B650E5" w:rsidRPr="005243B9" w:rsidRDefault="00B650E5" w:rsidP="00913352">
            <w:pPr>
              <w:rPr>
                <w:bCs/>
                <w:sz w:val="20"/>
                <w:szCs w:val="20"/>
                <w:lang w:eastAsia="en-US"/>
              </w:rPr>
            </w:pPr>
            <w:r w:rsidRPr="000B18B1">
              <w:rPr>
                <w:b/>
                <w:sz w:val="20"/>
                <w:szCs w:val="20"/>
              </w:rPr>
              <w:t>Spôsob overenia:</w:t>
            </w:r>
            <w:r>
              <w:rPr>
                <w:sz w:val="20"/>
                <w:szCs w:val="20"/>
              </w:rPr>
              <w:t xml:space="preserve"> </w:t>
            </w:r>
            <w:r w:rsidRPr="00EF1320">
              <w:rPr>
                <w:bCs/>
                <w:sz w:val="20"/>
                <w:szCs w:val="20"/>
                <w:lang w:eastAsia="en-US"/>
              </w:rPr>
              <w:t>ITMS</w:t>
            </w:r>
            <w:r>
              <w:rPr>
                <w:bCs/>
                <w:sz w:val="20"/>
                <w:szCs w:val="20"/>
                <w:lang w:eastAsia="en-US"/>
              </w:rPr>
              <w:t xml:space="preserve"> </w:t>
            </w:r>
            <w:r w:rsidRPr="00EF1320">
              <w:rPr>
                <w:bCs/>
                <w:sz w:val="20"/>
                <w:szCs w:val="20"/>
                <w:lang w:eastAsia="en-US"/>
              </w:rPr>
              <w:t>2014+ (</w:t>
            </w:r>
            <w:r>
              <w:rPr>
                <w:bCs/>
                <w:sz w:val="20"/>
                <w:szCs w:val="20"/>
                <w:lang w:eastAsia="en-US"/>
              </w:rPr>
              <w:t>ú</w:t>
            </w:r>
            <w:r w:rsidRPr="005243B9">
              <w:rPr>
                <w:bCs/>
                <w:sz w:val="20"/>
                <w:szCs w:val="20"/>
                <w:lang w:eastAsia="en-US"/>
              </w:rPr>
              <w:t>daje z účtovnej závierky)</w:t>
            </w:r>
            <w:r>
              <w:rPr>
                <w:bCs/>
                <w:sz w:val="20"/>
                <w:szCs w:val="20"/>
                <w:lang w:eastAsia="en-US"/>
              </w:rPr>
              <w:t xml:space="preserve"> /</w:t>
            </w:r>
            <w:r w:rsidRPr="005243B9">
              <w:rPr>
                <w:bCs/>
                <w:sz w:val="20"/>
                <w:szCs w:val="20"/>
                <w:lang w:eastAsia="en-US"/>
              </w:rPr>
              <w:t xml:space="preserve"> </w:t>
            </w:r>
            <w:r>
              <w:rPr>
                <w:bCs/>
                <w:sz w:val="20"/>
                <w:szCs w:val="20"/>
                <w:lang w:eastAsia="en-US"/>
              </w:rPr>
              <w:t xml:space="preserve">čestné vyhlásenie / </w:t>
            </w:r>
          </w:p>
          <w:p w14:paraId="76FF0A72" w14:textId="77777777" w:rsidR="00B650E5" w:rsidRPr="007A00B7" w:rsidRDefault="00B650E5" w:rsidP="00913352">
            <w:pPr>
              <w:rPr>
                <w:sz w:val="20"/>
                <w:szCs w:val="20"/>
              </w:rPr>
            </w:pPr>
            <w:r w:rsidRPr="005243B9">
              <w:rPr>
                <w:bCs/>
                <w:sz w:val="20"/>
                <w:szCs w:val="20"/>
                <w:lang w:eastAsia="en-US"/>
              </w:rPr>
              <w:t>údaje zo zoskenovaného dokumentu</w:t>
            </w:r>
            <w:r>
              <w:rPr>
                <w:bCs/>
                <w:sz w:val="20"/>
                <w:szCs w:val="20"/>
                <w:lang w:eastAsia="en-US"/>
              </w:rPr>
              <w:t xml:space="preserve"> (</w:t>
            </w:r>
            <w:r w:rsidRPr="007A00B7">
              <w:rPr>
                <w:sz w:val="20"/>
                <w:szCs w:val="20"/>
                <w:lang w:eastAsia="en-US"/>
              </w:rPr>
              <w:t xml:space="preserve">RO </w:t>
            </w:r>
            <w:r>
              <w:rPr>
                <w:sz w:val="20"/>
                <w:szCs w:val="20"/>
                <w:lang w:eastAsia="en-US"/>
              </w:rPr>
              <w:t xml:space="preserve">môže v prípade potreby </w:t>
            </w:r>
            <w:r w:rsidRPr="007A00B7">
              <w:rPr>
                <w:sz w:val="20"/>
                <w:szCs w:val="20"/>
                <w:lang w:eastAsia="en-US"/>
              </w:rPr>
              <w:t>defin</w:t>
            </w:r>
            <w:r>
              <w:rPr>
                <w:sz w:val="20"/>
                <w:szCs w:val="20"/>
                <w:lang w:eastAsia="en-US"/>
              </w:rPr>
              <w:t>ovať</w:t>
            </w:r>
            <w:r w:rsidRPr="007A00B7">
              <w:rPr>
                <w:sz w:val="20"/>
                <w:szCs w:val="20"/>
                <w:lang w:eastAsia="en-US"/>
              </w:rPr>
              <w:t xml:space="preserve"> povinnú prílohu predkladanú žiadateľom v závislosti od charakteru a veľkosti projektu a predpokladanej dĺžky realizácie projektu </w:t>
            </w:r>
            <w:r>
              <w:rPr>
                <w:sz w:val="20"/>
                <w:szCs w:val="20"/>
                <w:lang w:eastAsia="en-US"/>
              </w:rPr>
              <w:t>/</w:t>
            </w:r>
            <w:r w:rsidRPr="007A00B7">
              <w:rPr>
                <w:sz w:val="20"/>
                <w:szCs w:val="20"/>
                <w:lang w:eastAsia="en-US"/>
              </w:rPr>
              <w:t>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w:t>
            </w:r>
            <w:r>
              <w:rPr>
                <w:sz w:val="20"/>
                <w:szCs w:val="20"/>
                <w:lang w:eastAsia="en-US"/>
              </w:rPr>
              <w:t>/</w:t>
            </w:r>
            <w:r w:rsidRPr="007A00B7">
              <w:rPr>
                <w:sz w:val="20"/>
                <w:szCs w:val="20"/>
                <w:lang w:eastAsia="en-US"/>
              </w:rPr>
              <w:t xml:space="preserve">) </w:t>
            </w:r>
          </w:p>
        </w:tc>
        <w:tc>
          <w:tcPr>
            <w:tcW w:w="2836" w:type="dxa"/>
            <w:vAlign w:val="center"/>
          </w:tcPr>
          <w:p w14:paraId="3140A0D7" w14:textId="77777777" w:rsidR="00B650E5" w:rsidRPr="007A00B7" w:rsidRDefault="00B650E5">
            <w:pPr>
              <w:jc w:val="center"/>
              <w:rPr>
                <w:sz w:val="20"/>
                <w:szCs w:val="20"/>
              </w:rPr>
            </w:pPr>
            <w:r w:rsidRPr="007A00B7">
              <w:rPr>
                <w:bCs/>
                <w:iCs/>
                <w:sz w:val="20"/>
                <w:szCs w:val="20"/>
                <w:lang w:eastAsia="en-US"/>
              </w:rPr>
              <w:t xml:space="preserve">Relevantné pre prípady subjektov s povinným spolufinancovaním v zmysle podmienok určených vo výzve. Zadefinovanie podmienky poskytnutia príspevku je s ohľadom na rozhodnutie RO a charakter projektov možné napr. v podobe, </w:t>
            </w:r>
            <w:r>
              <w:rPr>
                <w:bCs/>
                <w:iCs/>
                <w:sz w:val="20"/>
                <w:szCs w:val="20"/>
                <w:lang w:eastAsia="en-US"/>
              </w:rPr>
              <w:t xml:space="preserve">že </w:t>
            </w:r>
            <w:r w:rsidRPr="007A00B7">
              <w:rPr>
                <w:bCs/>
                <w:iCs/>
                <w:sz w:val="20"/>
                <w:szCs w:val="20"/>
                <w:lang w:eastAsia="en-US"/>
              </w:rPr>
              <w:t>žiadateľ bude povinný preukázať spolufinancovanie, napr. minimálne vo výške 50</w:t>
            </w:r>
            <w:r w:rsidR="00C93F30">
              <w:rPr>
                <w:bCs/>
                <w:iCs/>
                <w:sz w:val="20"/>
                <w:szCs w:val="20"/>
                <w:lang w:eastAsia="en-US"/>
              </w:rPr>
              <w:t xml:space="preserve"> </w:t>
            </w:r>
            <w:r w:rsidRPr="007A00B7">
              <w:rPr>
                <w:bCs/>
                <w:iCs/>
                <w:sz w:val="20"/>
                <w:szCs w:val="20"/>
                <w:lang w:eastAsia="en-US"/>
              </w:rPr>
              <w:t>% výšky povinného spolufinancovania oprávnených výdavkov projektu.</w:t>
            </w:r>
          </w:p>
        </w:tc>
      </w:tr>
      <w:tr w:rsidR="00B650E5" w14:paraId="575E18FD" w14:textId="77777777" w:rsidTr="001B709E">
        <w:trPr>
          <w:trHeight w:val="1200"/>
        </w:trPr>
        <w:tc>
          <w:tcPr>
            <w:tcW w:w="483" w:type="dxa"/>
            <w:tcBorders>
              <w:bottom w:val="single" w:sz="4" w:space="0" w:color="auto"/>
            </w:tcBorders>
            <w:shd w:val="clear" w:color="000000" w:fill="C5D9F1"/>
            <w:vAlign w:val="center"/>
          </w:tcPr>
          <w:p w14:paraId="6A7B7F09" w14:textId="77777777" w:rsidR="00B650E5" w:rsidRDefault="00B650E5">
            <w:pPr>
              <w:jc w:val="center"/>
              <w:rPr>
                <w:b/>
                <w:bCs/>
                <w:sz w:val="20"/>
                <w:szCs w:val="20"/>
              </w:rPr>
            </w:pPr>
            <w:r>
              <w:rPr>
                <w:b/>
                <w:bCs/>
                <w:iCs/>
                <w:sz w:val="20"/>
                <w:szCs w:val="20"/>
                <w:lang w:eastAsia="en-US"/>
              </w:rPr>
              <w:lastRenderedPageBreak/>
              <w:t>10.</w:t>
            </w:r>
          </w:p>
        </w:tc>
        <w:tc>
          <w:tcPr>
            <w:tcW w:w="1881" w:type="dxa"/>
            <w:tcBorders>
              <w:bottom w:val="single" w:sz="4" w:space="0" w:color="auto"/>
            </w:tcBorders>
            <w:shd w:val="clear" w:color="000000" w:fill="C5D9F1"/>
            <w:vAlign w:val="center"/>
          </w:tcPr>
          <w:p w14:paraId="1EC56DF0" w14:textId="77777777" w:rsidR="00B650E5" w:rsidRDefault="00B650E5">
            <w:pPr>
              <w:jc w:val="center"/>
              <w:rPr>
                <w:sz w:val="20"/>
                <w:szCs w:val="20"/>
              </w:rPr>
            </w:pPr>
            <w:r>
              <w:rPr>
                <w:iCs/>
                <w:sz w:val="20"/>
                <w:szCs w:val="20"/>
                <w:lang w:eastAsia="en-US"/>
              </w:rPr>
              <w:t> </w:t>
            </w:r>
          </w:p>
        </w:tc>
        <w:tc>
          <w:tcPr>
            <w:tcW w:w="3165" w:type="dxa"/>
            <w:tcBorders>
              <w:bottom w:val="single" w:sz="4" w:space="0" w:color="auto"/>
            </w:tcBorders>
            <w:shd w:val="clear" w:color="000000" w:fill="C5D9F1"/>
            <w:vAlign w:val="center"/>
          </w:tcPr>
          <w:p w14:paraId="171758B9" w14:textId="77777777" w:rsidR="00B650E5" w:rsidRPr="007A00B7" w:rsidRDefault="00B650E5">
            <w:pPr>
              <w:jc w:val="center"/>
              <w:rPr>
                <w:sz w:val="20"/>
                <w:szCs w:val="20"/>
              </w:rPr>
            </w:pP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8a ods. 4 zákona o podpore regionálneho rozvoja</w:t>
            </w:r>
          </w:p>
        </w:tc>
        <w:tc>
          <w:tcPr>
            <w:tcW w:w="6946" w:type="dxa"/>
            <w:tcBorders>
              <w:bottom w:val="single" w:sz="4" w:space="0" w:color="auto"/>
            </w:tcBorders>
            <w:shd w:val="clear" w:color="000000" w:fill="C5D9F1"/>
            <w:vAlign w:val="center"/>
          </w:tcPr>
          <w:p w14:paraId="75B35E16" w14:textId="77777777" w:rsidR="00B650E5" w:rsidRDefault="00B650E5">
            <w:pPr>
              <w:rPr>
                <w:bCs/>
                <w:sz w:val="20"/>
                <w:szCs w:val="20"/>
              </w:rPr>
            </w:pPr>
            <w:r>
              <w:rPr>
                <w:b/>
                <w:bCs/>
                <w:sz w:val="20"/>
                <w:szCs w:val="20"/>
              </w:rPr>
              <w:t xml:space="preserve">Forma preukázania: </w:t>
            </w:r>
            <w:r w:rsidRPr="001B709E">
              <w:rPr>
                <w:bCs/>
                <w:sz w:val="20"/>
                <w:szCs w:val="20"/>
              </w:rPr>
              <w:t>Uznesenie (výpis z</w:t>
            </w:r>
            <w:r w:rsidRPr="00F12951">
              <w:rPr>
                <w:bCs/>
                <w:sz w:val="20"/>
                <w:szCs w:val="20"/>
              </w:rPr>
              <w:t> </w:t>
            </w:r>
            <w:r w:rsidRPr="001B709E">
              <w:rPr>
                <w:bCs/>
                <w:sz w:val="20"/>
                <w:szCs w:val="20"/>
              </w:rPr>
              <w:t>uznesenia) o</w:t>
            </w:r>
            <w:r w:rsidRPr="00F12951">
              <w:rPr>
                <w:bCs/>
                <w:sz w:val="20"/>
                <w:szCs w:val="20"/>
              </w:rPr>
              <w:t> </w:t>
            </w:r>
            <w:r w:rsidRPr="001B709E">
              <w:rPr>
                <w:bCs/>
                <w:sz w:val="20"/>
                <w:szCs w:val="20"/>
              </w:rPr>
              <w:t>schválení programu rozvoja a</w:t>
            </w:r>
            <w:r w:rsidRPr="00F12951">
              <w:rPr>
                <w:bCs/>
                <w:sz w:val="20"/>
                <w:szCs w:val="20"/>
              </w:rPr>
              <w:t> </w:t>
            </w:r>
            <w:r w:rsidRPr="001B709E">
              <w:rPr>
                <w:bCs/>
                <w:sz w:val="20"/>
                <w:szCs w:val="20"/>
              </w:rPr>
              <w:t>príslušnej územnoplánovacej dokumentácie</w:t>
            </w:r>
            <w:r>
              <w:rPr>
                <w:bCs/>
                <w:sz w:val="20"/>
                <w:szCs w:val="20"/>
              </w:rPr>
              <w:t xml:space="preserve"> (sken)</w:t>
            </w:r>
          </w:p>
          <w:p w14:paraId="7D2D6AA0" w14:textId="77777777" w:rsidR="00B650E5" w:rsidRPr="007A00B7" w:rsidRDefault="00B650E5" w:rsidP="00913352">
            <w:pPr>
              <w:rPr>
                <w:sz w:val="20"/>
                <w:szCs w:val="20"/>
              </w:rPr>
            </w:pPr>
            <w:r w:rsidRPr="000B18B1">
              <w:rPr>
                <w:b/>
                <w:sz w:val="20"/>
                <w:szCs w:val="20"/>
              </w:rPr>
              <w:t>Spôsob overenia:</w:t>
            </w:r>
            <w:r>
              <w:rPr>
                <w:b/>
                <w:sz w:val="20"/>
                <w:szCs w:val="20"/>
              </w:rPr>
              <w:t xml:space="preserve"> </w:t>
            </w:r>
            <w:r w:rsidRPr="005243B9">
              <w:rPr>
                <w:bCs/>
                <w:sz w:val="20"/>
                <w:szCs w:val="20"/>
              </w:rPr>
              <w:t>Uznesenie (výpis z uznesenia) o schválení programu rozvoja a príslušnej územnoplánovacej dokumentácie</w:t>
            </w:r>
            <w:r>
              <w:rPr>
                <w:bCs/>
                <w:sz w:val="20"/>
                <w:szCs w:val="20"/>
              </w:rPr>
              <w:t xml:space="preserve"> (sken)</w:t>
            </w:r>
            <w:r w:rsidRPr="007A00B7">
              <w:rPr>
                <w:sz w:val="20"/>
                <w:szCs w:val="20"/>
              </w:rPr>
              <w:br/>
            </w:r>
          </w:p>
        </w:tc>
        <w:tc>
          <w:tcPr>
            <w:tcW w:w="2836" w:type="dxa"/>
            <w:tcBorders>
              <w:bottom w:val="single" w:sz="4" w:space="0" w:color="auto"/>
            </w:tcBorders>
            <w:shd w:val="clear" w:color="000000" w:fill="C5D9F1"/>
            <w:vAlign w:val="center"/>
          </w:tcPr>
          <w:p w14:paraId="5260670C" w14:textId="53B49F2A" w:rsidR="00B650E5" w:rsidRPr="007A00B7" w:rsidRDefault="00B650E5">
            <w:pPr>
              <w:jc w:val="center"/>
              <w:rPr>
                <w:sz w:val="20"/>
                <w:szCs w:val="20"/>
              </w:rPr>
            </w:pPr>
            <w:r w:rsidRPr="007A00B7">
              <w:rPr>
                <w:sz w:val="20"/>
                <w:szCs w:val="20"/>
              </w:rPr>
              <w:t>Relevantné pre subjekty územnej samosprávy</w:t>
            </w:r>
            <w:r w:rsidR="008361E7">
              <w:rPr>
                <w:sz w:val="20"/>
                <w:szCs w:val="20"/>
              </w:rPr>
              <w:t>.</w:t>
            </w:r>
          </w:p>
        </w:tc>
      </w:tr>
      <w:tr w:rsidR="00B650E5" w14:paraId="675226AB" w14:textId="77777777" w:rsidTr="001B709E">
        <w:trPr>
          <w:trHeight w:val="274"/>
        </w:trPr>
        <w:tc>
          <w:tcPr>
            <w:tcW w:w="483" w:type="dxa"/>
            <w:tcBorders>
              <w:top w:val="single" w:sz="4" w:space="0" w:color="auto"/>
              <w:left w:val="single" w:sz="4" w:space="0" w:color="auto"/>
              <w:bottom w:val="single" w:sz="4" w:space="0" w:color="auto"/>
              <w:right w:val="single" w:sz="4" w:space="0" w:color="auto"/>
            </w:tcBorders>
          </w:tcPr>
          <w:p w14:paraId="4FF195C0" w14:textId="77777777" w:rsidR="00B650E5" w:rsidRDefault="00B650E5">
            <w:pPr>
              <w:jc w:val="center"/>
              <w:rPr>
                <w:b/>
                <w:bCs/>
                <w:sz w:val="20"/>
                <w:szCs w:val="20"/>
              </w:rPr>
            </w:pPr>
            <w:r>
              <w:rPr>
                <w:b/>
                <w:bCs/>
                <w:iCs/>
                <w:sz w:val="20"/>
                <w:szCs w:val="20"/>
                <w:lang w:eastAsia="en-US"/>
              </w:rPr>
              <w:t>11.</w:t>
            </w:r>
          </w:p>
        </w:tc>
        <w:tc>
          <w:tcPr>
            <w:tcW w:w="1881" w:type="dxa"/>
            <w:tcBorders>
              <w:top w:val="single" w:sz="4" w:space="0" w:color="auto"/>
              <w:left w:val="single" w:sz="4" w:space="0" w:color="auto"/>
              <w:bottom w:val="single" w:sz="4" w:space="0" w:color="auto"/>
              <w:right w:val="single" w:sz="4" w:space="0" w:color="auto"/>
            </w:tcBorders>
          </w:tcPr>
          <w:p w14:paraId="020AB98D" w14:textId="77777777" w:rsidR="00B650E5" w:rsidRDefault="00B650E5">
            <w:pPr>
              <w:jc w:val="center"/>
              <w:rPr>
                <w:sz w:val="20"/>
                <w:szCs w:val="20"/>
              </w:rPr>
            </w:pPr>
            <w:r>
              <w:rPr>
                <w:bCs/>
                <w:iCs/>
                <w:sz w:val="20"/>
                <w:szCs w:val="20"/>
                <w:lang w:eastAsia="en-US"/>
              </w:rPr>
              <w:t> </w:t>
            </w:r>
          </w:p>
        </w:tc>
        <w:tc>
          <w:tcPr>
            <w:tcW w:w="3165" w:type="dxa"/>
            <w:tcBorders>
              <w:top w:val="single" w:sz="4" w:space="0" w:color="auto"/>
              <w:left w:val="single" w:sz="4" w:space="0" w:color="auto"/>
              <w:bottom w:val="single" w:sz="4" w:space="0" w:color="auto"/>
              <w:right w:val="single" w:sz="4" w:space="0" w:color="auto"/>
            </w:tcBorders>
          </w:tcPr>
          <w:p w14:paraId="707CFEAE" w14:textId="77777777" w:rsidR="00B650E5" w:rsidRDefault="00B650E5" w:rsidP="003D4A37">
            <w:pPr>
              <w:jc w:val="center"/>
              <w:rPr>
                <w:sz w:val="20"/>
                <w:szCs w:val="20"/>
              </w:rPr>
            </w:pPr>
            <w:r>
              <w:rPr>
                <w:sz w:val="20"/>
                <w:szCs w:val="20"/>
              </w:rPr>
              <w:t xml:space="preserve">Podmienka, že žiadateľ ani jeho štatutárny orgán, ani žiadny člen štatutárneho orgánu, ani prokurista/i, ani osoba splnomocnená zastupovať žiadateľa v konaní  o ŽoNFP  neboli právoplatne odsúdení za trestný čin korupcie, za trestný čin poškodzovania finančných záujmov </w:t>
            </w:r>
            <w:r w:rsidR="003D4A37">
              <w:rPr>
                <w:sz w:val="20"/>
                <w:szCs w:val="20"/>
              </w:rPr>
              <w:t>Európskej únie</w:t>
            </w:r>
            <w:r>
              <w:rPr>
                <w:sz w:val="20"/>
                <w:szCs w:val="20"/>
              </w:rPr>
              <w:t>, za trestný čin legalizácie príjmu z trestnej činnosti, za trestný čin založenia, zosnovania a podporovania zločineckej skupiny, alebo za trestný čin machinácie pri verejnom obstarávaní a verejnej dražbe </w:t>
            </w:r>
          </w:p>
        </w:tc>
        <w:tc>
          <w:tcPr>
            <w:tcW w:w="6946" w:type="dxa"/>
            <w:tcBorders>
              <w:top w:val="single" w:sz="4" w:space="0" w:color="auto"/>
              <w:left w:val="single" w:sz="4" w:space="0" w:color="auto"/>
              <w:bottom w:val="single" w:sz="4" w:space="0" w:color="auto"/>
              <w:right w:val="single" w:sz="4" w:space="0" w:color="auto"/>
            </w:tcBorders>
          </w:tcPr>
          <w:p w14:paraId="06435CB7" w14:textId="77777777" w:rsidR="00B650E5" w:rsidRDefault="00B650E5" w:rsidP="00913352">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61489A7E" w14:textId="77777777" w:rsidR="00B650E5" w:rsidRDefault="00B650E5" w:rsidP="00913352">
            <w:pPr>
              <w:rPr>
                <w:sz w:val="20"/>
                <w:szCs w:val="20"/>
                <w:lang w:eastAsia="en-US"/>
              </w:rPr>
            </w:pPr>
            <w:r w:rsidRPr="000B18B1">
              <w:rPr>
                <w:b/>
                <w:sz w:val="20"/>
                <w:szCs w:val="20"/>
              </w:rPr>
              <w:t>Spôsob overenia:</w:t>
            </w:r>
            <w:r>
              <w:rPr>
                <w:sz w:val="20"/>
                <w:szCs w:val="20"/>
              </w:rPr>
              <w:t xml:space="preserve"> </w:t>
            </w:r>
            <w:r>
              <w:rPr>
                <w:sz w:val="20"/>
                <w:szCs w:val="20"/>
                <w:lang w:eastAsia="en-US"/>
              </w:rPr>
              <w:t xml:space="preserve">ITMS 2014+ / čestné vyhlásenie / výpis z registra trestov </w:t>
            </w:r>
          </w:p>
          <w:p w14:paraId="395BAE96" w14:textId="77777777" w:rsidR="00B650E5" w:rsidRDefault="00B650E5" w:rsidP="00913352">
            <w:pPr>
              <w:rPr>
                <w:sz w:val="20"/>
                <w:szCs w:val="20"/>
                <w:lang w:eastAsia="en-US"/>
              </w:rPr>
            </w:pPr>
            <w:r>
              <w:rPr>
                <w:sz w:val="20"/>
                <w:szCs w:val="20"/>
                <w:lang w:eastAsia="en-US"/>
              </w:rPr>
              <w:t xml:space="preserve">Systém včasného </w:t>
            </w:r>
            <w:r w:rsidR="00724C46">
              <w:rPr>
                <w:sz w:val="20"/>
                <w:szCs w:val="20"/>
                <w:lang w:eastAsia="en-US"/>
              </w:rPr>
              <w:t>odhaľovania rizika</w:t>
            </w:r>
            <w:r w:rsidR="00CA2631">
              <w:rPr>
                <w:sz w:val="20"/>
                <w:szCs w:val="20"/>
                <w:lang w:eastAsia="en-US"/>
              </w:rPr>
              <w:t> </w:t>
            </w:r>
            <w:r w:rsidR="00724C46">
              <w:rPr>
                <w:sz w:val="20"/>
                <w:szCs w:val="20"/>
                <w:lang w:eastAsia="en-US"/>
              </w:rPr>
              <w:t xml:space="preserve">a </w:t>
            </w:r>
            <w:r>
              <w:rPr>
                <w:sz w:val="20"/>
                <w:szCs w:val="20"/>
                <w:lang w:eastAsia="en-US"/>
              </w:rPr>
              <w:t>vylúčen</w:t>
            </w:r>
            <w:r w:rsidR="00724C46">
              <w:rPr>
                <w:sz w:val="20"/>
                <w:szCs w:val="20"/>
                <w:lang w:eastAsia="en-US"/>
              </w:rPr>
              <w:t>ých</w:t>
            </w:r>
            <w:r w:rsidR="00CA2631">
              <w:rPr>
                <w:sz w:val="20"/>
                <w:szCs w:val="20"/>
                <w:lang w:eastAsia="en-US"/>
              </w:rPr>
              <w:t xml:space="preserve"> subjektov</w:t>
            </w:r>
          </w:p>
          <w:p w14:paraId="0D459007" w14:textId="77777777" w:rsidR="00B650E5" w:rsidRDefault="00B650E5">
            <w:pPr>
              <w:rPr>
                <w:sz w:val="20"/>
                <w:szCs w:val="20"/>
              </w:rPr>
            </w:pPr>
          </w:p>
        </w:tc>
        <w:tc>
          <w:tcPr>
            <w:tcW w:w="2836" w:type="dxa"/>
            <w:tcBorders>
              <w:top w:val="single" w:sz="4" w:space="0" w:color="auto"/>
              <w:left w:val="single" w:sz="4" w:space="0" w:color="auto"/>
              <w:bottom w:val="single" w:sz="4" w:space="0" w:color="auto"/>
              <w:right w:val="single" w:sz="4" w:space="0" w:color="auto"/>
            </w:tcBorders>
          </w:tcPr>
          <w:p w14:paraId="40B326B9" w14:textId="77777777" w:rsidR="00B650E5" w:rsidRDefault="00B650E5">
            <w:pPr>
              <w:jc w:val="center"/>
              <w:rPr>
                <w:iCs/>
                <w:sz w:val="20"/>
                <w:szCs w:val="20"/>
                <w:lang w:eastAsia="en-US"/>
              </w:rPr>
            </w:pPr>
            <w:r>
              <w:rPr>
                <w:iCs/>
                <w:sz w:val="20"/>
                <w:szCs w:val="20"/>
                <w:lang w:eastAsia="en-US"/>
              </w:rPr>
              <w:t>RO je oprávnený pri organizáciách, pri ktorých práva a povinnosti zmluvných vzťahov štatutárnych orgánov k organizácii, resp. spôsob vymenovania štatutárneho orgánu upravuje osobitný predpis</w:t>
            </w:r>
            <w:r>
              <w:rPr>
                <w:rStyle w:val="Odkaznapoznmkupodiarou"/>
                <w:iCs/>
                <w:sz w:val="20"/>
                <w:szCs w:val="20"/>
                <w:lang w:eastAsia="en-US"/>
              </w:rPr>
              <w:footnoteReference w:id="34"/>
            </w:r>
            <w:r>
              <w:rPr>
                <w:iCs/>
                <w:sz w:val="20"/>
                <w:szCs w:val="20"/>
                <w:lang w:eastAsia="en-US"/>
              </w:rPr>
              <w:t>, nahradiť výpis z registra trestov, napr. čestným vyhlásením žiadateľa, že všetci členovia štatutárneho orgánu žiadateľa a osoba splnomocnená zastupovať žiadateľa v konaní o ŽoNFP neboli právoplatne odsúdení za trestný čin korupcie, za trestný čin poškodzovania finančných záujmov E</w:t>
            </w:r>
            <w:r w:rsidR="003D4A37">
              <w:rPr>
                <w:iCs/>
                <w:sz w:val="20"/>
                <w:szCs w:val="20"/>
                <w:lang w:eastAsia="en-US"/>
              </w:rPr>
              <w:t>Ú</w:t>
            </w:r>
            <w:r>
              <w:rPr>
                <w:iCs/>
                <w:sz w:val="20"/>
                <w:szCs w:val="20"/>
                <w:lang w:eastAsia="en-US"/>
              </w:rPr>
              <w:t>, za trestný čin legalizácie príjmu z trestnej činnosti, za trestný čin založenia, zosnovania a podporovania zločineckej skupiny alebo za trestný čin machinácií pri verejnom obstarávaní a verejnej dražbe.</w:t>
            </w:r>
          </w:p>
          <w:p w14:paraId="33E15A4E" w14:textId="77777777" w:rsidR="00B650E5" w:rsidRDefault="00B650E5">
            <w:pPr>
              <w:jc w:val="center"/>
              <w:rPr>
                <w:sz w:val="20"/>
                <w:szCs w:val="20"/>
              </w:rPr>
            </w:pPr>
            <w:r w:rsidRPr="000B18B1">
              <w:rPr>
                <w:sz w:val="20"/>
                <w:szCs w:val="20"/>
              </w:rPr>
              <w:t>V prípade overenia iba na základe čestného vyhlásenia je RO povinný overiť podmienku najneskôr do 6 mesiacov od začatia realizácie hlavných aktivít projektu</w:t>
            </w:r>
            <w:r>
              <w:rPr>
                <w:sz w:val="20"/>
                <w:szCs w:val="20"/>
              </w:rPr>
              <w:t>.</w:t>
            </w:r>
          </w:p>
        </w:tc>
      </w:tr>
      <w:tr w:rsidR="00B650E5" w14:paraId="59310309" w14:textId="77777777" w:rsidTr="001B709E">
        <w:trPr>
          <w:trHeight w:val="274"/>
        </w:trPr>
        <w:tc>
          <w:tcPr>
            <w:tcW w:w="483" w:type="dxa"/>
            <w:tcBorders>
              <w:top w:val="single" w:sz="4" w:space="0" w:color="auto"/>
              <w:left w:val="single" w:sz="4" w:space="0" w:color="auto"/>
              <w:bottom w:val="single" w:sz="4" w:space="0" w:color="auto"/>
              <w:right w:val="single" w:sz="4" w:space="0" w:color="auto"/>
            </w:tcBorders>
            <w:shd w:val="clear" w:color="auto" w:fill="C6D9F1"/>
          </w:tcPr>
          <w:p w14:paraId="55A26123" w14:textId="77777777" w:rsidR="00B650E5" w:rsidRDefault="00B650E5">
            <w:pPr>
              <w:jc w:val="center"/>
              <w:rPr>
                <w:b/>
                <w:bCs/>
                <w:iCs/>
                <w:sz w:val="20"/>
                <w:szCs w:val="20"/>
                <w:lang w:eastAsia="en-US"/>
              </w:rPr>
            </w:pPr>
            <w:r>
              <w:rPr>
                <w:b/>
                <w:bCs/>
                <w:iCs/>
                <w:sz w:val="20"/>
                <w:szCs w:val="20"/>
                <w:lang w:eastAsia="en-US"/>
              </w:rPr>
              <w:lastRenderedPageBreak/>
              <w:t>12.</w:t>
            </w:r>
          </w:p>
        </w:tc>
        <w:tc>
          <w:tcPr>
            <w:tcW w:w="1881" w:type="dxa"/>
            <w:tcBorders>
              <w:top w:val="single" w:sz="4" w:space="0" w:color="auto"/>
              <w:left w:val="single" w:sz="4" w:space="0" w:color="auto"/>
              <w:bottom w:val="single" w:sz="4" w:space="0" w:color="auto"/>
              <w:right w:val="single" w:sz="4" w:space="0" w:color="auto"/>
            </w:tcBorders>
            <w:shd w:val="clear" w:color="auto" w:fill="C6D9F1"/>
          </w:tcPr>
          <w:p w14:paraId="51754E96" w14:textId="77777777" w:rsidR="00B650E5" w:rsidRDefault="00B650E5">
            <w:pPr>
              <w:jc w:val="center"/>
              <w:rPr>
                <w:bCs/>
                <w:iCs/>
                <w:sz w:val="20"/>
                <w:szCs w:val="20"/>
                <w:lang w:eastAsia="en-US"/>
              </w:rPr>
            </w:pPr>
          </w:p>
        </w:tc>
        <w:tc>
          <w:tcPr>
            <w:tcW w:w="3165" w:type="dxa"/>
            <w:tcBorders>
              <w:top w:val="single" w:sz="4" w:space="0" w:color="auto"/>
              <w:left w:val="single" w:sz="4" w:space="0" w:color="auto"/>
              <w:bottom w:val="single" w:sz="4" w:space="0" w:color="auto"/>
              <w:right w:val="single" w:sz="4" w:space="0" w:color="auto"/>
            </w:tcBorders>
            <w:shd w:val="clear" w:color="auto" w:fill="C6D9F1"/>
          </w:tcPr>
          <w:p w14:paraId="1C54A64A" w14:textId="77777777" w:rsidR="00B650E5" w:rsidRDefault="00B650E5">
            <w:pPr>
              <w:jc w:val="center"/>
              <w:rPr>
                <w:sz w:val="20"/>
                <w:szCs w:val="20"/>
              </w:rPr>
            </w:pPr>
            <w:r w:rsidRPr="00B24B22">
              <w:rPr>
                <w:sz w:val="20"/>
                <w:szCs w:val="20"/>
              </w:rPr>
              <w:t>Podmienka, že žiadateľ, ktorým je právnická osoba</w:t>
            </w:r>
            <w:r>
              <w:rPr>
                <w:sz w:val="20"/>
                <w:szCs w:val="20"/>
              </w:rPr>
              <w:t>,</w:t>
            </w:r>
            <w:r w:rsidRPr="00B24B22">
              <w:rPr>
                <w:sz w:val="20"/>
                <w:szCs w:val="20"/>
              </w:rPr>
              <w:t xml:space="preserve"> nemá právoplatn</w:t>
            </w:r>
            <w:r>
              <w:rPr>
                <w:sz w:val="20"/>
                <w:szCs w:val="20"/>
              </w:rPr>
              <w:t xml:space="preserve">ým rozsudkom </w:t>
            </w:r>
            <w:r w:rsidRPr="00B24B22">
              <w:rPr>
                <w:sz w:val="20"/>
                <w:szCs w:val="20"/>
              </w:rPr>
              <w:t>uložený trest zákazu prijímať dotácie alebo subvencie, trest zákazu prijímať pomoc a podporu poskytovanú z fondov Európskej únie alebo trest zákazu účasti vo verejnom obstarávaní podľa osobitného predpisu</w:t>
            </w:r>
            <w:r>
              <w:rPr>
                <w:rStyle w:val="Odkaznapoznmkupodiarou"/>
                <w:sz w:val="20"/>
                <w:szCs w:val="20"/>
              </w:rPr>
              <w:footnoteReference w:id="35"/>
            </w:r>
          </w:p>
        </w:tc>
        <w:tc>
          <w:tcPr>
            <w:tcW w:w="6946" w:type="dxa"/>
            <w:tcBorders>
              <w:top w:val="single" w:sz="4" w:space="0" w:color="auto"/>
              <w:left w:val="single" w:sz="4" w:space="0" w:color="auto"/>
              <w:bottom w:val="single" w:sz="4" w:space="0" w:color="auto"/>
              <w:right w:val="single" w:sz="4" w:space="0" w:color="auto"/>
            </w:tcBorders>
            <w:shd w:val="clear" w:color="auto" w:fill="C6D9F1"/>
          </w:tcPr>
          <w:p w14:paraId="767C1788" w14:textId="77777777" w:rsidR="00B650E5" w:rsidRDefault="00B650E5" w:rsidP="00913352">
            <w:pPr>
              <w:rPr>
                <w:b/>
                <w:bCs/>
                <w:sz w:val="20"/>
                <w:szCs w:val="20"/>
                <w:lang w:eastAsia="en-US"/>
              </w:rPr>
            </w:pPr>
            <w:r>
              <w:rPr>
                <w:b/>
                <w:bCs/>
                <w:sz w:val="20"/>
                <w:szCs w:val="20"/>
              </w:rPr>
              <w:t xml:space="preserve">Forma preukázania: </w:t>
            </w:r>
            <w:r w:rsidRPr="000B18B1">
              <w:rPr>
                <w:bCs/>
                <w:sz w:val="20"/>
                <w:szCs w:val="20"/>
                <w:lang w:eastAsia="en-US"/>
              </w:rPr>
              <w:t>Čestné vyhlásenie</w:t>
            </w:r>
            <w:r>
              <w:rPr>
                <w:sz w:val="20"/>
                <w:szCs w:val="20"/>
                <w:lang w:eastAsia="en-US"/>
              </w:rPr>
              <w:br/>
            </w:r>
            <w:r w:rsidRPr="000B18B1">
              <w:rPr>
                <w:b/>
                <w:sz w:val="20"/>
                <w:szCs w:val="20"/>
              </w:rPr>
              <w:t>Spôsob overenia:</w:t>
            </w:r>
            <w:r>
              <w:rPr>
                <w:sz w:val="20"/>
                <w:szCs w:val="20"/>
              </w:rPr>
              <w:t xml:space="preserve"> </w:t>
            </w:r>
            <w:r>
              <w:rPr>
                <w:sz w:val="20"/>
                <w:szCs w:val="20"/>
                <w:lang w:eastAsia="en-US"/>
              </w:rPr>
              <w:t xml:space="preserve">ITMS 2014+ / </w:t>
            </w:r>
            <w:hyperlink r:id="rId47" w:history="1">
              <w:r w:rsidR="00625DEA" w:rsidRPr="00C62336">
                <w:rPr>
                  <w:rStyle w:val="Hypertextovprepojenie"/>
                  <w:sz w:val="20"/>
                  <w:szCs w:val="20"/>
                  <w:lang w:eastAsia="en-US"/>
                </w:rPr>
                <w:t>https://esluzby.genpro.gov.sk/zoznam-odsudenych-pravnickych-osob</w:t>
              </w:r>
            </w:hyperlink>
            <w:r w:rsidR="00625DEA">
              <w:rPr>
                <w:sz w:val="20"/>
                <w:szCs w:val="20"/>
                <w:lang w:eastAsia="en-US"/>
              </w:rPr>
              <w:t xml:space="preserve"> </w:t>
            </w:r>
          </w:p>
        </w:tc>
        <w:tc>
          <w:tcPr>
            <w:tcW w:w="2836" w:type="dxa"/>
            <w:tcBorders>
              <w:top w:val="single" w:sz="4" w:space="0" w:color="auto"/>
              <w:left w:val="single" w:sz="4" w:space="0" w:color="auto"/>
              <w:bottom w:val="single" w:sz="4" w:space="0" w:color="auto"/>
              <w:right w:val="single" w:sz="4" w:space="0" w:color="auto"/>
            </w:tcBorders>
            <w:shd w:val="clear" w:color="auto" w:fill="C6D9F1"/>
          </w:tcPr>
          <w:p w14:paraId="119FB485" w14:textId="77777777" w:rsidR="00B650E5" w:rsidRDefault="00B650E5">
            <w:pPr>
              <w:jc w:val="center"/>
              <w:rPr>
                <w:sz w:val="20"/>
                <w:szCs w:val="20"/>
              </w:rPr>
            </w:pPr>
            <w:r>
              <w:rPr>
                <w:sz w:val="20"/>
                <w:szCs w:val="20"/>
              </w:rPr>
              <w:t xml:space="preserve">Podmienka sa nevzťahuje na </w:t>
            </w:r>
            <w:r w:rsidR="003D4A37">
              <w:rPr>
                <w:sz w:val="20"/>
                <w:szCs w:val="20"/>
              </w:rPr>
              <w:t>tie</w:t>
            </w:r>
            <w:r>
              <w:rPr>
                <w:sz w:val="20"/>
                <w:szCs w:val="20"/>
              </w:rPr>
              <w:t> právnické osoby</w:t>
            </w:r>
            <w:r w:rsidR="003D4A37">
              <w:rPr>
                <w:sz w:val="20"/>
                <w:szCs w:val="20"/>
              </w:rPr>
              <w:t>, ktoré sú vymedzené</w:t>
            </w:r>
            <w:r>
              <w:rPr>
                <w:sz w:val="20"/>
                <w:szCs w:val="20"/>
              </w:rPr>
              <w:t xml:space="preserve"> v § 5 zákona č. 91/2016 Z. z. o trestnej zodpovednosti právnických osôb a o zmene a doplnení niektorých zákonov.</w:t>
            </w:r>
          </w:p>
          <w:p w14:paraId="36DD0C63" w14:textId="77777777" w:rsidR="00B650E5" w:rsidRDefault="00B650E5" w:rsidP="00E418F1">
            <w:pPr>
              <w:jc w:val="center"/>
              <w:rPr>
                <w:iCs/>
                <w:sz w:val="20"/>
                <w:szCs w:val="20"/>
                <w:lang w:eastAsia="en-US"/>
              </w:rPr>
            </w:pPr>
          </w:p>
        </w:tc>
      </w:tr>
      <w:tr w:rsidR="00B650E5" w14:paraId="4C85F892" w14:textId="77777777" w:rsidTr="00556762">
        <w:trPr>
          <w:trHeight w:val="658"/>
        </w:trPr>
        <w:tc>
          <w:tcPr>
            <w:tcW w:w="483" w:type="dxa"/>
            <w:tcBorders>
              <w:top w:val="single" w:sz="4" w:space="0" w:color="auto"/>
              <w:left w:val="single" w:sz="4" w:space="0" w:color="auto"/>
              <w:bottom w:val="single" w:sz="4" w:space="0" w:color="auto"/>
              <w:right w:val="single" w:sz="4" w:space="0" w:color="auto"/>
            </w:tcBorders>
            <w:shd w:val="clear" w:color="000000" w:fill="auto"/>
          </w:tcPr>
          <w:p w14:paraId="484E5EA4" w14:textId="77777777" w:rsidR="00B650E5" w:rsidRDefault="00B650E5" w:rsidP="00990546">
            <w:pPr>
              <w:jc w:val="center"/>
              <w:rPr>
                <w:b/>
                <w:bCs/>
                <w:sz w:val="20"/>
                <w:szCs w:val="20"/>
              </w:rPr>
            </w:pPr>
            <w:r>
              <w:rPr>
                <w:b/>
                <w:bCs/>
                <w:iCs/>
                <w:sz w:val="20"/>
                <w:szCs w:val="20"/>
                <w:lang w:eastAsia="en-US"/>
              </w:rPr>
              <w:t>13.</w:t>
            </w:r>
          </w:p>
        </w:tc>
        <w:tc>
          <w:tcPr>
            <w:tcW w:w="1881" w:type="dxa"/>
            <w:tcBorders>
              <w:top w:val="single" w:sz="4" w:space="0" w:color="auto"/>
              <w:left w:val="single" w:sz="4" w:space="0" w:color="auto"/>
              <w:bottom w:val="single" w:sz="4" w:space="0" w:color="auto"/>
              <w:right w:val="single" w:sz="4" w:space="0" w:color="auto"/>
            </w:tcBorders>
            <w:shd w:val="clear" w:color="000000" w:fill="auto"/>
          </w:tcPr>
          <w:p w14:paraId="0191826A" w14:textId="77777777" w:rsidR="00B650E5" w:rsidRDefault="00B650E5" w:rsidP="00990546">
            <w:pPr>
              <w:jc w:val="center"/>
              <w:rPr>
                <w:sz w:val="20"/>
                <w:szCs w:val="20"/>
              </w:rPr>
            </w:pPr>
          </w:p>
        </w:tc>
        <w:tc>
          <w:tcPr>
            <w:tcW w:w="3165" w:type="dxa"/>
            <w:tcBorders>
              <w:top w:val="single" w:sz="4" w:space="0" w:color="auto"/>
              <w:left w:val="single" w:sz="4" w:space="0" w:color="auto"/>
              <w:bottom w:val="single" w:sz="4" w:space="0" w:color="auto"/>
              <w:right w:val="single" w:sz="4" w:space="0" w:color="auto"/>
            </w:tcBorders>
            <w:shd w:val="clear" w:color="000000" w:fill="auto"/>
          </w:tcPr>
          <w:p w14:paraId="4644BEE6" w14:textId="77777777" w:rsidR="00B650E5" w:rsidRDefault="00B650E5" w:rsidP="002B722F">
            <w:pPr>
              <w:jc w:val="center"/>
              <w:rPr>
                <w:sz w:val="20"/>
                <w:szCs w:val="20"/>
              </w:rPr>
            </w:pPr>
            <w:r w:rsidRPr="00B24B22">
              <w:rPr>
                <w:sz w:val="20"/>
                <w:szCs w:val="20"/>
              </w:rPr>
              <w:t>Podmienka, že žiadateľ</w:t>
            </w:r>
            <w:r>
              <w:rPr>
                <w:sz w:val="20"/>
                <w:szCs w:val="20"/>
              </w:rPr>
              <w:t xml:space="preserve"> je zapísaný v registri partnerov verejného sektora</w:t>
            </w:r>
            <w:r w:rsidRPr="00B24B22">
              <w:rPr>
                <w:sz w:val="20"/>
                <w:szCs w:val="20"/>
              </w:rPr>
              <w:t xml:space="preserve"> podľa osobitného predpisu</w:t>
            </w:r>
            <w:r>
              <w:rPr>
                <w:rStyle w:val="Odkaznapoznmkupodiarou"/>
                <w:sz w:val="20"/>
                <w:szCs w:val="20"/>
              </w:rPr>
              <w:footnoteReference w:id="36"/>
            </w:r>
          </w:p>
        </w:tc>
        <w:tc>
          <w:tcPr>
            <w:tcW w:w="6946" w:type="dxa"/>
            <w:tcBorders>
              <w:top w:val="single" w:sz="4" w:space="0" w:color="auto"/>
              <w:left w:val="single" w:sz="4" w:space="0" w:color="auto"/>
              <w:bottom w:val="single" w:sz="4" w:space="0" w:color="auto"/>
              <w:right w:val="single" w:sz="4" w:space="0" w:color="auto"/>
            </w:tcBorders>
            <w:shd w:val="clear" w:color="000000" w:fill="auto"/>
          </w:tcPr>
          <w:p w14:paraId="565C65B5" w14:textId="77777777" w:rsidR="00B650E5" w:rsidRDefault="00B650E5" w:rsidP="00957F10">
            <w:pPr>
              <w:rPr>
                <w:bCs/>
                <w:sz w:val="20"/>
                <w:szCs w:val="20"/>
                <w:lang w:eastAsia="en-US"/>
              </w:rPr>
            </w:pPr>
            <w:r>
              <w:rPr>
                <w:b/>
                <w:bCs/>
                <w:sz w:val="20"/>
                <w:szCs w:val="20"/>
              </w:rPr>
              <w:t xml:space="preserve">Forma preukázania: </w:t>
            </w:r>
            <w:r w:rsidR="0096393F">
              <w:rPr>
                <w:bCs/>
                <w:sz w:val="20"/>
                <w:szCs w:val="20"/>
                <w:lang w:eastAsia="en-US"/>
              </w:rPr>
              <w:t>nevyžaduje sa</w:t>
            </w:r>
          </w:p>
          <w:p w14:paraId="31B6A221" w14:textId="77777777" w:rsidR="00B650E5" w:rsidRDefault="00B650E5" w:rsidP="00957F10">
            <w:pPr>
              <w:rPr>
                <w:sz w:val="20"/>
                <w:szCs w:val="20"/>
              </w:rPr>
            </w:pPr>
            <w:r w:rsidRPr="000B18B1">
              <w:rPr>
                <w:b/>
                <w:sz w:val="20"/>
                <w:szCs w:val="20"/>
              </w:rPr>
              <w:t>Spôsob overenia:</w:t>
            </w:r>
            <w:r>
              <w:rPr>
                <w:sz w:val="20"/>
                <w:szCs w:val="20"/>
              </w:rPr>
              <w:t xml:space="preserve"> </w:t>
            </w:r>
            <w:r w:rsidRPr="00556398">
              <w:rPr>
                <w:bCs/>
                <w:sz w:val="20"/>
                <w:szCs w:val="20"/>
                <w:lang w:eastAsia="en-US"/>
              </w:rPr>
              <w:t>ITMS</w:t>
            </w:r>
            <w:r>
              <w:rPr>
                <w:bCs/>
                <w:sz w:val="20"/>
                <w:szCs w:val="20"/>
                <w:lang w:eastAsia="en-US"/>
              </w:rPr>
              <w:t xml:space="preserve"> </w:t>
            </w:r>
            <w:r w:rsidRPr="00556398">
              <w:rPr>
                <w:bCs/>
                <w:sz w:val="20"/>
                <w:szCs w:val="20"/>
                <w:lang w:eastAsia="en-US"/>
              </w:rPr>
              <w:t xml:space="preserve">2014+  / </w:t>
            </w:r>
            <w:hyperlink r:id="rId48" w:history="1">
              <w:r w:rsidRPr="000E6473">
                <w:rPr>
                  <w:rStyle w:val="Hypertextovprepojenie"/>
                  <w:sz w:val="20"/>
                  <w:szCs w:val="20"/>
                  <w:lang w:eastAsia="en-US"/>
                </w:rPr>
                <w:t>https://rpvs.gov.sk/rpvs/</w:t>
              </w:r>
            </w:hyperlink>
          </w:p>
        </w:tc>
        <w:tc>
          <w:tcPr>
            <w:tcW w:w="2836" w:type="dxa"/>
            <w:tcBorders>
              <w:top w:val="single" w:sz="4" w:space="0" w:color="auto"/>
              <w:left w:val="single" w:sz="4" w:space="0" w:color="auto"/>
              <w:bottom w:val="single" w:sz="4" w:space="0" w:color="auto"/>
              <w:right w:val="single" w:sz="4" w:space="0" w:color="auto"/>
            </w:tcBorders>
            <w:shd w:val="clear" w:color="000000" w:fill="auto"/>
          </w:tcPr>
          <w:p w14:paraId="46768981" w14:textId="77777777" w:rsidR="00B650E5" w:rsidRDefault="00B650E5" w:rsidP="001B709E">
            <w:pPr>
              <w:rPr>
                <w:sz w:val="20"/>
                <w:szCs w:val="20"/>
              </w:rPr>
            </w:pPr>
            <w:r>
              <w:rPr>
                <w:sz w:val="20"/>
                <w:szCs w:val="20"/>
              </w:rPr>
              <w:t xml:space="preserve">Podmienka sa nevzťahuje na </w:t>
            </w:r>
            <w:r w:rsidR="003E3040">
              <w:rPr>
                <w:sz w:val="20"/>
                <w:szCs w:val="20"/>
              </w:rPr>
              <w:t xml:space="preserve">tie </w:t>
            </w:r>
            <w:r>
              <w:rPr>
                <w:sz w:val="20"/>
                <w:szCs w:val="20"/>
              </w:rPr>
              <w:t>fyzické osoby a právnické osoby</w:t>
            </w:r>
            <w:r w:rsidR="003E3040">
              <w:rPr>
                <w:sz w:val="20"/>
                <w:szCs w:val="20"/>
              </w:rPr>
              <w:t xml:space="preserve">, ktoré sú vymedzené </w:t>
            </w:r>
            <w:r>
              <w:rPr>
                <w:sz w:val="20"/>
                <w:szCs w:val="20"/>
              </w:rPr>
              <w:t xml:space="preserve">v § 2 </w:t>
            </w:r>
            <w:r w:rsidRPr="00BC4DA1">
              <w:rPr>
                <w:sz w:val="20"/>
                <w:szCs w:val="20"/>
              </w:rPr>
              <w:t>zákona o</w:t>
            </w:r>
            <w:r>
              <w:rPr>
                <w:sz w:val="20"/>
                <w:szCs w:val="20"/>
              </w:rPr>
              <w:t xml:space="preserve"> </w:t>
            </w:r>
            <w:r w:rsidRPr="00BC4DA1">
              <w:rPr>
                <w:sz w:val="20"/>
                <w:szCs w:val="20"/>
              </w:rPr>
              <w:t xml:space="preserve">registri partnerov </w:t>
            </w:r>
            <w:r>
              <w:rPr>
                <w:sz w:val="20"/>
                <w:szCs w:val="20"/>
              </w:rPr>
              <w:t xml:space="preserve">verejného sektora. </w:t>
            </w:r>
            <w:r w:rsidR="00EE5B21">
              <w:rPr>
                <w:sz w:val="20"/>
                <w:szCs w:val="20"/>
              </w:rPr>
              <w:t>Žiadateľ</w:t>
            </w:r>
            <w:r w:rsidRPr="005243B9">
              <w:rPr>
                <w:sz w:val="20"/>
                <w:szCs w:val="20"/>
              </w:rPr>
              <w:t xml:space="preserve"> je povinný </w:t>
            </w:r>
            <w:r w:rsidR="00EE5B21">
              <w:rPr>
                <w:sz w:val="20"/>
                <w:szCs w:val="20"/>
              </w:rPr>
              <w:t>byť zapísaný v</w:t>
            </w:r>
            <w:r w:rsidRPr="005243B9">
              <w:rPr>
                <w:sz w:val="20"/>
                <w:szCs w:val="20"/>
              </w:rPr>
              <w:t> Registr</w:t>
            </w:r>
            <w:r w:rsidR="00EE5B21">
              <w:rPr>
                <w:sz w:val="20"/>
                <w:szCs w:val="20"/>
              </w:rPr>
              <w:t>i</w:t>
            </w:r>
            <w:r w:rsidRPr="005243B9">
              <w:rPr>
                <w:sz w:val="20"/>
                <w:szCs w:val="20"/>
              </w:rPr>
              <w:t xml:space="preserve"> partnerov verejného sektora (ak je to relevantné), najneskôr pred podpísaním zmluvy o NFP zo strany RO</w:t>
            </w:r>
            <w:r>
              <w:rPr>
                <w:sz w:val="20"/>
                <w:szCs w:val="20"/>
              </w:rPr>
              <w:t>. (</w:t>
            </w:r>
            <w:r w:rsidRPr="005243B9">
              <w:rPr>
                <w:sz w:val="20"/>
                <w:szCs w:val="20"/>
              </w:rPr>
              <w:t>Prijímateľ, ktor</w:t>
            </w:r>
            <w:r>
              <w:rPr>
                <w:sz w:val="20"/>
                <w:szCs w:val="20"/>
              </w:rPr>
              <w:t>ý</w:t>
            </w:r>
            <w:r w:rsidRPr="005243B9">
              <w:rPr>
                <w:sz w:val="20"/>
                <w:szCs w:val="20"/>
              </w:rPr>
              <w:t xml:space="preserve"> má k 1. februáru 2017 uzatvorenú zmluvu</w:t>
            </w:r>
            <w:r>
              <w:rPr>
                <w:sz w:val="20"/>
                <w:szCs w:val="20"/>
              </w:rPr>
              <w:t xml:space="preserve"> o NFP</w:t>
            </w:r>
            <w:r w:rsidRPr="005243B9">
              <w:rPr>
                <w:sz w:val="20"/>
                <w:szCs w:val="20"/>
              </w:rPr>
              <w:t>, z</w:t>
            </w:r>
            <w:r>
              <w:rPr>
                <w:sz w:val="20"/>
                <w:szCs w:val="20"/>
              </w:rPr>
              <w:t> </w:t>
            </w:r>
            <w:r w:rsidRPr="005243B9">
              <w:rPr>
                <w:sz w:val="20"/>
                <w:szCs w:val="20"/>
              </w:rPr>
              <w:t>ktorej prijíma plnenia nad zákonom ustanovené limity a ktor</w:t>
            </w:r>
            <w:r>
              <w:rPr>
                <w:sz w:val="20"/>
                <w:szCs w:val="20"/>
              </w:rPr>
              <w:t>ý</w:t>
            </w:r>
            <w:r w:rsidRPr="005243B9">
              <w:rPr>
                <w:sz w:val="20"/>
                <w:szCs w:val="20"/>
              </w:rPr>
              <w:t xml:space="preserve"> spĺňa definičné kritériá partnera verejného sektora, sa musí zapísať do registra do 31. júla 2017</w:t>
            </w:r>
            <w:r>
              <w:rPr>
                <w:sz w:val="20"/>
                <w:szCs w:val="20"/>
              </w:rPr>
              <w:t>)</w:t>
            </w:r>
            <w:r w:rsidRPr="005243B9">
              <w:rPr>
                <w:sz w:val="20"/>
                <w:szCs w:val="20"/>
              </w:rPr>
              <w:t>.</w:t>
            </w:r>
            <w:r w:rsidR="00F45982">
              <w:rPr>
                <w:sz w:val="20"/>
                <w:szCs w:val="20"/>
              </w:rPr>
              <w:t xml:space="preserve"> </w:t>
            </w:r>
            <w:r w:rsidR="0093167C">
              <w:rPr>
                <w:sz w:val="20"/>
                <w:szCs w:val="20"/>
              </w:rPr>
              <w:t>Schválený NFP sa považuje za jednorazovo poskytnuté finančné prostriedky (tzn</w:t>
            </w:r>
            <w:r w:rsidR="00F90694">
              <w:rPr>
                <w:sz w:val="20"/>
                <w:szCs w:val="20"/>
              </w:rPr>
              <w:t>.</w:t>
            </w:r>
            <w:r w:rsidR="0093167C">
              <w:rPr>
                <w:sz w:val="20"/>
                <w:szCs w:val="20"/>
              </w:rPr>
              <w:t>, že sa uplatní limit 100 000 € v zmysle § 2, odsek 2 zákona o registri partnerov verejného sektora).</w:t>
            </w:r>
            <w:r w:rsidR="00B314D4">
              <w:rPr>
                <w:sz w:val="20"/>
                <w:szCs w:val="20"/>
              </w:rPr>
              <w:t xml:space="preserve"> </w:t>
            </w:r>
            <w:r w:rsidR="0048347B">
              <w:rPr>
                <w:sz w:val="20"/>
                <w:szCs w:val="20"/>
              </w:rPr>
              <w:t>Zápis do</w:t>
            </w:r>
            <w:r w:rsidR="00B314D4">
              <w:rPr>
                <w:sz w:val="20"/>
                <w:szCs w:val="20"/>
              </w:rPr>
              <w:t xml:space="preserve"> registr</w:t>
            </w:r>
            <w:r w:rsidR="0048347B">
              <w:rPr>
                <w:sz w:val="20"/>
                <w:szCs w:val="20"/>
              </w:rPr>
              <w:t>a</w:t>
            </w:r>
            <w:r w:rsidR="00B314D4">
              <w:rPr>
                <w:sz w:val="20"/>
                <w:szCs w:val="20"/>
              </w:rPr>
              <w:t xml:space="preserve"> </w:t>
            </w:r>
            <w:r w:rsidR="0048347B">
              <w:rPr>
                <w:sz w:val="20"/>
                <w:szCs w:val="20"/>
              </w:rPr>
              <w:t xml:space="preserve">žiadateľ v zmysle zákona o registri partnerov verejného sektora </w:t>
            </w:r>
            <w:r w:rsidR="0048347B">
              <w:rPr>
                <w:sz w:val="20"/>
                <w:szCs w:val="20"/>
              </w:rPr>
              <w:lastRenderedPageBreak/>
              <w:t xml:space="preserve">nepreukazuje (čestným vyhlásením, potvrdením a pod.). </w:t>
            </w:r>
          </w:p>
        </w:tc>
      </w:tr>
      <w:tr w:rsidR="00B650E5" w14:paraId="341C9F2D" w14:textId="77777777" w:rsidTr="001B709E">
        <w:trPr>
          <w:trHeight w:val="1940"/>
        </w:trPr>
        <w:tc>
          <w:tcPr>
            <w:tcW w:w="483" w:type="dxa"/>
            <w:tcBorders>
              <w:top w:val="single" w:sz="4" w:space="0" w:color="auto"/>
            </w:tcBorders>
            <w:shd w:val="clear" w:color="000000" w:fill="C5D9F1"/>
            <w:vAlign w:val="center"/>
          </w:tcPr>
          <w:p w14:paraId="4A9DE9A8" w14:textId="77777777" w:rsidR="00B650E5" w:rsidRDefault="00B650E5" w:rsidP="00946874">
            <w:pPr>
              <w:jc w:val="center"/>
              <w:rPr>
                <w:b/>
                <w:bCs/>
                <w:sz w:val="20"/>
                <w:szCs w:val="20"/>
              </w:rPr>
            </w:pPr>
            <w:r>
              <w:rPr>
                <w:b/>
                <w:bCs/>
                <w:iCs/>
                <w:sz w:val="20"/>
                <w:szCs w:val="20"/>
                <w:lang w:eastAsia="en-US"/>
              </w:rPr>
              <w:lastRenderedPageBreak/>
              <w:t>14.</w:t>
            </w:r>
          </w:p>
        </w:tc>
        <w:tc>
          <w:tcPr>
            <w:tcW w:w="1881" w:type="dxa"/>
            <w:tcBorders>
              <w:top w:val="single" w:sz="4" w:space="0" w:color="auto"/>
            </w:tcBorders>
            <w:shd w:val="clear" w:color="000000" w:fill="C5D9F1"/>
            <w:vAlign w:val="center"/>
          </w:tcPr>
          <w:p w14:paraId="2719AC19" w14:textId="77777777" w:rsidR="00B650E5" w:rsidRDefault="00B650E5">
            <w:pPr>
              <w:jc w:val="center"/>
              <w:rPr>
                <w:sz w:val="20"/>
                <w:szCs w:val="20"/>
              </w:rPr>
            </w:pPr>
            <w:r>
              <w:rPr>
                <w:sz w:val="20"/>
                <w:szCs w:val="20"/>
              </w:rPr>
              <w:t>Oprávnenosť partnera</w:t>
            </w:r>
          </w:p>
        </w:tc>
        <w:tc>
          <w:tcPr>
            <w:tcW w:w="3165" w:type="dxa"/>
            <w:tcBorders>
              <w:top w:val="single" w:sz="4" w:space="0" w:color="auto"/>
            </w:tcBorders>
            <w:shd w:val="clear" w:color="000000" w:fill="C5D9F1"/>
            <w:vAlign w:val="center"/>
          </w:tcPr>
          <w:p w14:paraId="1EEBFB4C" w14:textId="77777777" w:rsidR="00B650E5" w:rsidRDefault="00B650E5">
            <w:pPr>
              <w:jc w:val="center"/>
              <w:rPr>
                <w:sz w:val="20"/>
                <w:szCs w:val="20"/>
              </w:rPr>
            </w:pPr>
            <w:r>
              <w:rPr>
                <w:sz w:val="20"/>
                <w:szCs w:val="20"/>
              </w:rPr>
              <w:t>Právna forma</w:t>
            </w:r>
          </w:p>
        </w:tc>
        <w:tc>
          <w:tcPr>
            <w:tcW w:w="6946" w:type="dxa"/>
            <w:tcBorders>
              <w:top w:val="single" w:sz="4" w:space="0" w:color="auto"/>
            </w:tcBorders>
            <w:shd w:val="clear" w:color="000000" w:fill="C5D9F1"/>
            <w:vAlign w:val="center"/>
          </w:tcPr>
          <w:p w14:paraId="5E145FA2" w14:textId="77777777" w:rsidR="00B650E5" w:rsidRDefault="00B650E5">
            <w:pPr>
              <w:rPr>
                <w:sz w:val="20"/>
                <w:szCs w:val="20"/>
                <w:lang w:eastAsia="en-US"/>
              </w:rPr>
            </w:pPr>
            <w:r>
              <w:rPr>
                <w:b/>
                <w:bCs/>
                <w:sz w:val="20"/>
                <w:szCs w:val="20"/>
              </w:rPr>
              <w:t xml:space="preserve">Forma preukázania: </w:t>
            </w:r>
            <w:r w:rsidR="00DF0D33" w:rsidRPr="006A62D4">
              <w:rPr>
                <w:bCs/>
                <w:sz w:val="20"/>
                <w:szCs w:val="20"/>
              </w:rPr>
              <w:t>nevyžaduje sa</w:t>
            </w:r>
          </w:p>
          <w:p w14:paraId="4EA5BF90" w14:textId="77777777" w:rsidR="00B650E5" w:rsidRDefault="00B650E5">
            <w:pPr>
              <w:rPr>
                <w:sz w:val="20"/>
                <w:szCs w:val="20"/>
              </w:rPr>
            </w:pPr>
            <w:r w:rsidRPr="000B18B1">
              <w:rPr>
                <w:b/>
                <w:sz w:val="20"/>
                <w:szCs w:val="20"/>
              </w:rPr>
              <w:t>Spôsob overenia:</w:t>
            </w:r>
            <w:r>
              <w:rPr>
                <w:sz w:val="20"/>
                <w:szCs w:val="20"/>
              </w:rPr>
              <w:t xml:space="preserve"> </w:t>
            </w:r>
            <w:r>
              <w:rPr>
                <w:sz w:val="20"/>
                <w:szCs w:val="20"/>
                <w:lang w:eastAsia="en-US"/>
              </w:rPr>
              <w:t xml:space="preserve">ITMS 2014+ / </w:t>
            </w:r>
            <w:r w:rsidRPr="000B18B1">
              <w:rPr>
                <w:sz w:val="20"/>
                <w:szCs w:val="20"/>
              </w:rPr>
              <w:t>https://rpo.statistics.sk</w:t>
            </w:r>
          </w:p>
        </w:tc>
        <w:tc>
          <w:tcPr>
            <w:tcW w:w="2836" w:type="dxa"/>
            <w:tcBorders>
              <w:top w:val="single" w:sz="4" w:space="0" w:color="auto"/>
            </w:tcBorders>
            <w:shd w:val="clear" w:color="000000" w:fill="C5D9F1"/>
            <w:vAlign w:val="center"/>
          </w:tcPr>
          <w:p w14:paraId="47B2DEDD" w14:textId="77777777" w:rsidR="00B650E5" w:rsidRDefault="00B650E5" w:rsidP="00000CA6">
            <w:pPr>
              <w:jc w:val="center"/>
              <w:rPr>
                <w:sz w:val="20"/>
                <w:szCs w:val="20"/>
              </w:rPr>
            </w:pPr>
            <w:r>
              <w:rPr>
                <w:sz w:val="20"/>
                <w:szCs w:val="20"/>
              </w:rPr>
              <w:t xml:space="preserve">Relevantné pre prípady, ak sa pripúšťa partnerstvo v rámci podmienok výzvy. </w:t>
            </w:r>
            <w:r>
              <w:rPr>
                <w:sz w:val="20"/>
                <w:szCs w:val="20"/>
                <w:lang w:eastAsia="en-US"/>
              </w:rPr>
              <w:t xml:space="preserve">Podmienky poskytnutia príspevku vzťahujúce sa na žiadateľa sa </w:t>
            </w:r>
            <w:r w:rsidR="00000CA6">
              <w:rPr>
                <w:sz w:val="20"/>
                <w:szCs w:val="20"/>
                <w:lang w:eastAsia="en-US"/>
              </w:rPr>
              <w:t>primerane</w:t>
            </w:r>
            <w:r>
              <w:rPr>
                <w:sz w:val="20"/>
                <w:szCs w:val="20"/>
                <w:lang w:eastAsia="en-US"/>
              </w:rPr>
              <w:t xml:space="preserve"> vzťahujú </w:t>
            </w:r>
            <w:r w:rsidR="00000CA6">
              <w:rPr>
                <w:sz w:val="20"/>
                <w:szCs w:val="20"/>
              </w:rPr>
              <w:t>aj na partnera</w:t>
            </w:r>
            <w:r>
              <w:rPr>
                <w:sz w:val="20"/>
                <w:szCs w:val="20"/>
              </w:rPr>
              <w:t>.</w:t>
            </w:r>
          </w:p>
        </w:tc>
      </w:tr>
      <w:tr w:rsidR="00B650E5" w14:paraId="684D73D4" w14:textId="77777777">
        <w:trPr>
          <w:trHeight w:val="1264"/>
        </w:trPr>
        <w:tc>
          <w:tcPr>
            <w:tcW w:w="483" w:type="dxa"/>
            <w:vAlign w:val="center"/>
          </w:tcPr>
          <w:p w14:paraId="4913417C" w14:textId="77777777" w:rsidR="00B650E5" w:rsidRDefault="00B650E5" w:rsidP="00946874">
            <w:pPr>
              <w:jc w:val="center"/>
              <w:rPr>
                <w:b/>
                <w:bCs/>
                <w:sz w:val="20"/>
                <w:szCs w:val="20"/>
              </w:rPr>
            </w:pPr>
            <w:r>
              <w:rPr>
                <w:b/>
                <w:bCs/>
                <w:iCs/>
                <w:sz w:val="20"/>
                <w:szCs w:val="20"/>
                <w:lang w:eastAsia="en-US"/>
              </w:rPr>
              <w:t>15.</w:t>
            </w:r>
          </w:p>
        </w:tc>
        <w:tc>
          <w:tcPr>
            <w:tcW w:w="1881" w:type="dxa"/>
            <w:vAlign w:val="center"/>
          </w:tcPr>
          <w:p w14:paraId="02C41E79" w14:textId="77777777" w:rsidR="00B650E5" w:rsidRDefault="00B650E5">
            <w:pPr>
              <w:jc w:val="center"/>
              <w:rPr>
                <w:sz w:val="20"/>
                <w:szCs w:val="20"/>
              </w:rPr>
            </w:pPr>
            <w:r>
              <w:rPr>
                <w:sz w:val="20"/>
                <w:szCs w:val="20"/>
              </w:rPr>
              <w:t xml:space="preserve">Oprávnenosť cieľovej skupiny/Oprávnenosť užívateľa </w:t>
            </w:r>
          </w:p>
        </w:tc>
        <w:tc>
          <w:tcPr>
            <w:tcW w:w="3165" w:type="dxa"/>
            <w:vAlign w:val="center"/>
          </w:tcPr>
          <w:p w14:paraId="38D1B511" w14:textId="54336F5B" w:rsidR="00B650E5" w:rsidRDefault="000165D1" w:rsidP="000165D1">
            <w:pPr>
              <w:jc w:val="center"/>
              <w:rPr>
                <w:sz w:val="20"/>
                <w:szCs w:val="20"/>
              </w:rPr>
            </w:pPr>
            <w:r>
              <w:rPr>
                <w:sz w:val="20"/>
                <w:szCs w:val="20"/>
              </w:rPr>
              <w:t>Podmienka oprávnenosti</w:t>
            </w:r>
            <w:r w:rsidR="00B650E5">
              <w:rPr>
                <w:sz w:val="20"/>
                <w:szCs w:val="20"/>
              </w:rPr>
              <w:t> cieľovej skupin</w:t>
            </w:r>
            <w:r>
              <w:rPr>
                <w:sz w:val="20"/>
                <w:szCs w:val="20"/>
              </w:rPr>
              <w:t>y</w:t>
            </w:r>
            <w:r w:rsidR="00B650E5">
              <w:rPr>
                <w:sz w:val="20"/>
                <w:szCs w:val="20"/>
              </w:rPr>
              <w:t>/užívateľ</w:t>
            </w:r>
            <w:r>
              <w:rPr>
                <w:sz w:val="20"/>
                <w:szCs w:val="20"/>
              </w:rPr>
              <w:t>a</w:t>
            </w:r>
          </w:p>
        </w:tc>
        <w:tc>
          <w:tcPr>
            <w:tcW w:w="6946" w:type="dxa"/>
            <w:vAlign w:val="center"/>
          </w:tcPr>
          <w:p w14:paraId="601C0DFD" w14:textId="5443CE53" w:rsidR="00B650E5" w:rsidRDefault="00B650E5">
            <w:pPr>
              <w:rPr>
                <w:sz w:val="20"/>
                <w:szCs w:val="20"/>
              </w:rPr>
            </w:pP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w:t>
            </w:r>
            <w:r w:rsidR="00484A9D">
              <w:rPr>
                <w:sz w:val="20"/>
                <w:szCs w:val="20"/>
              </w:rPr>
              <w:t xml:space="preserve"> prípadne </w:t>
            </w:r>
            <w:r>
              <w:rPr>
                <w:sz w:val="20"/>
                <w:szCs w:val="20"/>
              </w:rPr>
              <w:t>Opisu projektu</w:t>
            </w:r>
          </w:p>
        </w:tc>
        <w:tc>
          <w:tcPr>
            <w:tcW w:w="2836" w:type="dxa"/>
            <w:vAlign w:val="center"/>
          </w:tcPr>
          <w:p w14:paraId="2F519853" w14:textId="534AF56F" w:rsidR="00B650E5" w:rsidRDefault="00B650E5">
            <w:pPr>
              <w:jc w:val="center"/>
              <w:rPr>
                <w:sz w:val="20"/>
                <w:szCs w:val="20"/>
              </w:rPr>
            </w:pPr>
            <w:r>
              <w:rPr>
                <w:sz w:val="20"/>
                <w:szCs w:val="20"/>
              </w:rPr>
              <w:t>Relevantné pre prípady, ak podmienka poskytnutia príspevku bola stanovená vo výzve</w:t>
            </w:r>
            <w:r w:rsidR="008361E7">
              <w:rPr>
                <w:sz w:val="20"/>
                <w:szCs w:val="20"/>
              </w:rPr>
              <w:t>.</w:t>
            </w:r>
          </w:p>
        </w:tc>
      </w:tr>
      <w:tr w:rsidR="00B650E5" w14:paraId="55EDA6BF" w14:textId="77777777" w:rsidTr="00DE5D89">
        <w:trPr>
          <w:trHeight w:val="974"/>
        </w:trPr>
        <w:tc>
          <w:tcPr>
            <w:tcW w:w="483" w:type="dxa"/>
            <w:shd w:val="clear" w:color="auto" w:fill="C6D9F1"/>
            <w:vAlign w:val="center"/>
          </w:tcPr>
          <w:p w14:paraId="7E617762" w14:textId="77777777" w:rsidR="00B650E5" w:rsidRDefault="00B650E5">
            <w:pPr>
              <w:jc w:val="center"/>
              <w:rPr>
                <w:b/>
                <w:bCs/>
                <w:sz w:val="20"/>
                <w:szCs w:val="20"/>
              </w:rPr>
            </w:pPr>
            <w:r>
              <w:rPr>
                <w:b/>
                <w:bCs/>
                <w:iCs/>
                <w:sz w:val="20"/>
                <w:szCs w:val="20"/>
                <w:lang w:eastAsia="en-US"/>
              </w:rPr>
              <w:t>16.</w:t>
            </w:r>
          </w:p>
        </w:tc>
        <w:tc>
          <w:tcPr>
            <w:tcW w:w="1881" w:type="dxa"/>
            <w:shd w:val="clear" w:color="auto" w:fill="C6D9F1"/>
            <w:vAlign w:val="center"/>
          </w:tcPr>
          <w:p w14:paraId="7C2DF5F7" w14:textId="77777777" w:rsidR="00B650E5" w:rsidRDefault="00B650E5">
            <w:pPr>
              <w:jc w:val="center"/>
              <w:rPr>
                <w:sz w:val="20"/>
                <w:szCs w:val="20"/>
              </w:rPr>
            </w:pPr>
            <w:r>
              <w:rPr>
                <w:sz w:val="20"/>
                <w:szCs w:val="20"/>
              </w:rPr>
              <w:t>Oprávnenosť aktivít realizácie projektu</w:t>
            </w:r>
          </w:p>
        </w:tc>
        <w:tc>
          <w:tcPr>
            <w:tcW w:w="3165" w:type="dxa"/>
            <w:shd w:val="clear" w:color="auto" w:fill="C6D9F1"/>
            <w:vAlign w:val="center"/>
          </w:tcPr>
          <w:p w14:paraId="0A41FF3E" w14:textId="484F1EF1" w:rsidR="00B650E5" w:rsidRDefault="00B650E5" w:rsidP="00AC4B12">
            <w:pPr>
              <w:jc w:val="center"/>
              <w:rPr>
                <w:sz w:val="20"/>
                <w:szCs w:val="20"/>
              </w:rPr>
            </w:pPr>
            <w:r>
              <w:rPr>
                <w:sz w:val="20"/>
                <w:szCs w:val="20"/>
              </w:rPr>
              <w:t>Podmienka oprávnenosti aktivít projektu</w:t>
            </w:r>
          </w:p>
        </w:tc>
        <w:tc>
          <w:tcPr>
            <w:tcW w:w="6946" w:type="dxa"/>
            <w:shd w:val="clear" w:color="auto" w:fill="C6D9F1"/>
            <w:vAlign w:val="center"/>
          </w:tcPr>
          <w:p w14:paraId="20E9A067" w14:textId="1E62E6C2" w:rsidR="00B650E5" w:rsidRDefault="00B650E5">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p>
        </w:tc>
        <w:tc>
          <w:tcPr>
            <w:tcW w:w="2836" w:type="dxa"/>
            <w:shd w:val="clear" w:color="auto" w:fill="C6D9F1"/>
            <w:vAlign w:val="center"/>
          </w:tcPr>
          <w:p w14:paraId="3DBB4FB5" w14:textId="7DB681BB" w:rsidR="00B650E5" w:rsidRDefault="00B650E5" w:rsidP="00306F23">
            <w:pPr>
              <w:jc w:val="center"/>
              <w:rPr>
                <w:sz w:val="20"/>
                <w:szCs w:val="20"/>
              </w:rPr>
            </w:pPr>
            <w:r>
              <w:rPr>
                <w:bCs/>
                <w:iCs/>
                <w:sz w:val="20"/>
                <w:szCs w:val="20"/>
                <w:lang w:eastAsia="en-US"/>
              </w:rPr>
              <w:t>V rámci skupiny podmienok poskytnutia príspevku týkajúcej sa oprávnenosti aktivít je potrebné definovať aj podmienku, že žiadateľ neukončil fyzickú realizácia všetkých oprávnených aktivít   pred predložením ŽoNFP (uvedený zákaz schválenia zrealizovaných projektov vyplýva z čl. 65 ods. 6 všeobecného nariadenia)</w:t>
            </w:r>
            <w:r w:rsidR="00306F23">
              <w:rPr>
                <w:bCs/>
                <w:iCs/>
                <w:sz w:val="20"/>
                <w:szCs w:val="20"/>
                <w:lang w:eastAsia="en-US"/>
              </w:rPr>
              <w:t xml:space="preserve">, </w:t>
            </w:r>
            <w:r w:rsidR="00306F23" w:rsidRPr="00306F23">
              <w:rPr>
                <w:bCs/>
                <w:iCs/>
                <w:sz w:val="20"/>
                <w:szCs w:val="20"/>
                <w:lang w:eastAsia="en-US"/>
              </w:rPr>
              <w:t>resp., že žiadateľ nezačal práce na</w:t>
            </w:r>
            <w:r w:rsidR="00306F23">
              <w:rPr>
                <w:bCs/>
                <w:iCs/>
                <w:sz w:val="20"/>
                <w:szCs w:val="20"/>
                <w:lang w:eastAsia="en-US"/>
              </w:rPr>
              <w:t> </w:t>
            </w:r>
            <w:r w:rsidR="00306F23" w:rsidRPr="00306F23">
              <w:rPr>
                <w:bCs/>
                <w:iCs/>
                <w:sz w:val="20"/>
                <w:szCs w:val="20"/>
                <w:lang w:eastAsia="en-US"/>
              </w:rPr>
              <w:t>projekte pred predložením ŽoNFP v súlade s legislatívou EÚ v oblasti štátnej pomoci a minimálnej pomoci</w:t>
            </w:r>
            <w:r w:rsidR="008361E7">
              <w:rPr>
                <w:bCs/>
                <w:iCs/>
                <w:sz w:val="20"/>
                <w:szCs w:val="20"/>
                <w:lang w:eastAsia="en-US"/>
              </w:rPr>
              <w:t>.</w:t>
            </w:r>
          </w:p>
        </w:tc>
      </w:tr>
      <w:tr w:rsidR="00B650E5" w14:paraId="76E9D70A" w14:textId="77777777" w:rsidTr="00DE5D89">
        <w:trPr>
          <w:trHeight w:val="1116"/>
        </w:trPr>
        <w:tc>
          <w:tcPr>
            <w:tcW w:w="483" w:type="dxa"/>
            <w:shd w:val="clear" w:color="auto" w:fill="FFFFFF"/>
            <w:vAlign w:val="center"/>
          </w:tcPr>
          <w:p w14:paraId="1922DEFB" w14:textId="77777777" w:rsidR="00B650E5" w:rsidRDefault="00B650E5">
            <w:pPr>
              <w:jc w:val="center"/>
              <w:rPr>
                <w:b/>
                <w:bCs/>
                <w:sz w:val="20"/>
                <w:szCs w:val="20"/>
              </w:rPr>
            </w:pPr>
            <w:r>
              <w:rPr>
                <w:b/>
                <w:bCs/>
                <w:iCs/>
                <w:sz w:val="20"/>
                <w:szCs w:val="20"/>
                <w:lang w:eastAsia="en-US"/>
              </w:rPr>
              <w:t>17.</w:t>
            </w:r>
          </w:p>
        </w:tc>
        <w:tc>
          <w:tcPr>
            <w:tcW w:w="1881" w:type="dxa"/>
            <w:shd w:val="clear" w:color="auto" w:fill="FFFFFF"/>
            <w:vAlign w:val="center"/>
          </w:tcPr>
          <w:p w14:paraId="69D104BE" w14:textId="77777777" w:rsidR="00B650E5" w:rsidRDefault="00B650E5">
            <w:pPr>
              <w:jc w:val="center"/>
              <w:rPr>
                <w:sz w:val="20"/>
                <w:szCs w:val="20"/>
              </w:rPr>
            </w:pPr>
            <w:r>
              <w:rPr>
                <w:sz w:val="20"/>
                <w:szCs w:val="20"/>
              </w:rPr>
              <w:t>Oprávnenosť výdavkov realizácie projektu</w:t>
            </w:r>
          </w:p>
        </w:tc>
        <w:tc>
          <w:tcPr>
            <w:tcW w:w="3165" w:type="dxa"/>
            <w:shd w:val="clear" w:color="auto" w:fill="FFFFFF"/>
            <w:vAlign w:val="center"/>
          </w:tcPr>
          <w:p w14:paraId="12AFEAC2" w14:textId="77777777" w:rsidR="00B650E5" w:rsidRDefault="00B650E5">
            <w:pPr>
              <w:jc w:val="center"/>
              <w:rPr>
                <w:sz w:val="20"/>
                <w:szCs w:val="20"/>
              </w:rPr>
            </w:pPr>
            <w:r>
              <w:rPr>
                <w:sz w:val="20"/>
                <w:szCs w:val="20"/>
              </w:rPr>
              <w:t>Podmienka, že výdavky projektu sú oprávnené</w:t>
            </w:r>
          </w:p>
        </w:tc>
        <w:tc>
          <w:tcPr>
            <w:tcW w:w="6946" w:type="dxa"/>
            <w:shd w:val="clear" w:color="auto" w:fill="FFFFFF"/>
            <w:vAlign w:val="center"/>
          </w:tcPr>
          <w:p w14:paraId="01CDC004" w14:textId="77777777" w:rsidR="00B650E5" w:rsidRDefault="00B650E5">
            <w:pPr>
              <w:rPr>
                <w:sz w:val="20"/>
                <w:szCs w:val="20"/>
              </w:rPr>
            </w:pPr>
            <w:r>
              <w:rPr>
                <w:sz w:val="20"/>
                <w:szCs w:val="20"/>
              </w:rPr>
              <w: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w:t>
            </w:r>
            <w:r>
              <w:rPr>
                <w:sz w:val="20"/>
                <w:szCs w:val="20"/>
              </w:rPr>
              <w:lastRenderedPageBreak/>
              <w:t xml:space="preserve">žiadateľ vychádzal pri určovaní cien a pod. </w:t>
            </w:r>
          </w:p>
        </w:tc>
        <w:tc>
          <w:tcPr>
            <w:tcW w:w="2836" w:type="dxa"/>
            <w:shd w:val="clear" w:color="auto" w:fill="FFFFFF"/>
            <w:vAlign w:val="center"/>
          </w:tcPr>
          <w:p w14:paraId="4D4BFB05" w14:textId="77777777" w:rsidR="00B650E5" w:rsidRDefault="00B650E5">
            <w:pPr>
              <w:jc w:val="center"/>
              <w:rPr>
                <w:sz w:val="20"/>
                <w:szCs w:val="20"/>
              </w:rPr>
            </w:pPr>
            <w:r>
              <w:rPr>
                <w:iCs/>
                <w:sz w:val="20"/>
                <w:szCs w:val="20"/>
                <w:lang w:eastAsia="en-US"/>
              </w:rPr>
              <w:lastRenderedPageBreak/>
              <w:t> </w:t>
            </w:r>
          </w:p>
        </w:tc>
      </w:tr>
      <w:tr w:rsidR="00B650E5" w14:paraId="073DCA41" w14:textId="77777777" w:rsidTr="00DE5D89">
        <w:trPr>
          <w:trHeight w:val="565"/>
        </w:trPr>
        <w:tc>
          <w:tcPr>
            <w:tcW w:w="483" w:type="dxa"/>
            <w:shd w:val="clear" w:color="auto" w:fill="C6D9F1"/>
            <w:vAlign w:val="center"/>
          </w:tcPr>
          <w:p w14:paraId="03EBA4E1" w14:textId="77777777" w:rsidR="00B650E5" w:rsidRDefault="00B650E5">
            <w:pPr>
              <w:jc w:val="center"/>
              <w:rPr>
                <w:b/>
                <w:bCs/>
                <w:sz w:val="20"/>
                <w:szCs w:val="20"/>
              </w:rPr>
            </w:pPr>
            <w:r>
              <w:rPr>
                <w:b/>
                <w:bCs/>
                <w:iCs/>
                <w:sz w:val="20"/>
                <w:szCs w:val="20"/>
                <w:lang w:eastAsia="en-US"/>
              </w:rPr>
              <w:lastRenderedPageBreak/>
              <w:t>18.</w:t>
            </w:r>
          </w:p>
        </w:tc>
        <w:tc>
          <w:tcPr>
            <w:tcW w:w="1881" w:type="dxa"/>
            <w:shd w:val="clear" w:color="auto" w:fill="C6D9F1"/>
            <w:vAlign w:val="center"/>
          </w:tcPr>
          <w:p w14:paraId="0221042A" w14:textId="77777777" w:rsidR="00B650E5" w:rsidRDefault="00B650E5">
            <w:pPr>
              <w:jc w:val="center"/>
              <w:rPr>
                <w:sz w:val="20"/>
                <w:szCs w:val="20"/>
              </w:rPr>
            </w:pPr>
            <w:r>
              <w:rPr>
                <w:iCs/>
                <w:sz w:val="20"/>
                <w:szCs w:val="20"/>
                <w:lang w:eastAsia="en-US"/>
              </w:rPr>
              <w:t> </w:t>
            </w:r>
          </w:p>
        </w:tc>
        <w:tc>
          <w:tcPr>
            <w:tcW w:w="3165" w:type="dxa"/>
            <w:shd w:val="clear" w:color="auto" w:fill="C6D9F1"/>
            <w:vAlign w:val="center"/>
          </w:tcPr>
          <w:p w14:paraId="47A96A1E" w14:textId="77777777" w:rsidR="00B650E5" w:rsidRDefault="00B650E5">
            <w:pPr>
              <w:jc w:val="center"/>
              <w:rPr>
                <w:sz w:val="20"/>
                <w:szCs w:val="20"/>
              </w:rPr>
            </w:pPr>
            <w:r>
              <w:rPr>
                <w:sz w:val="20"/>
                <w:szCs w:val="20"/>
              </w:rPr>
              <w:t>Podmienka oprávnenosti výdavkov pre projekty generujúce príjem</w:t>
            </w:r>
          </w:p>
        </w:tc>
        <w:tc>
          <w:tcPr>
            <w:tcW w:w="6946" w:type="dxa"/>
            <w:shd w:val="clear" w:color="auto" w:fill="C6D9F1"/>
            <w:vAlign w:val="center"/>
          </w:tcPr>
          <w:p w14:paraId="4958D6D8" w14:textId="77777777" w:rsidR="00B650E5" w:rsidRDefault="00B650E5">
            <w:pPr>
              <w:rPr>
                <w:sz w:val="20"/>
                <w:szCs w:val="20"/>
              </w:rPr>
            </w:pPr>
            <w:r>
              <w:rPr>
                <w:sz w:val="20"/>
                <w:szCs w:val="20"/>
              </w:rPr>
              <w:t>Finančná analýza pre projekty generujúce príjem za účelom stanovenia výšky NFP/CBA</w:t>
            </w:r>
          </w:p>
        </w:tc>
        <w:tc>
          <w:tcPr>
            <w:tcW w:w="2836" w:type="dxa"/>
            <w:shd w:val="clear" w:color="auto" w:fill="C6D9F1"/>
            <w:vAlign w:val="center"/>
          </w:tcPr>
          <w:p w14:paraId="7036F40F" w14:textId="5D9BDE0A" w:rsidR="00B650E5" w:rsidRDefault="00B650E5">
            <w:pPr>
              <w:jc w:val="center"/>
              <w:rPr>
                <w:sz w:val="20"/>
                <w:szCs w:val="20"/>
              </w:rPr>
            </w:pPr>
            <w:r>
              <w:rPr>
                <w:sz w:val="20"/>
                <w:szCs w:val="20"/>
              </w:rPr>
              <w:t>Relevantné pre prípady projektov generujúcich príjem</w:t>
            </w:r>
            <w:r w:rsidR="008361E7">
              <w:rPr>
                <w:sz w:val="20"/>
                <w:szCs w:val="20"/>
              </w:rPr>
              <w:t>.</w:t>
            </w:r>
            <w:r>
              <w:rPr>
                <w:sz w:val="20"/>
                <w:szCs w:val="20"/>
              </w:rPr>
              <w:t xml:space="preserve"> </w:t>
            </w:r>
          </w:p>
        </w:tc>
      </w:tr>
      <w:tr w:rsidR="00B650E5" w14:paraId="071E7F32" w14:textId="77777777" w:rsidTr="00DE5D89">
        <w:trPr>
          <w:trHeight w:val="1687"/>
        </w:trPr>
        <w:tc>
          <w:tcPr>
            <w:tcW w:w="483" w:type="dxa"/>
            <w:shd w:val="clear" w:color="auto" w:fill="FFFFFF"/>
            <w:vAlign w:val="center"/>
          </w:tcPr>
          <w:p w14:paraId="6884DB2E" w14:textId="77777777" w:rsidR="00B650E5" w:rsidRDefault="00B650E5">
            <w:pPr>
              <w:jc w:val="center"/>
              <w:rPr>
                <w:b/>
                <w:bCs/>
                <w:sz w:val="20"/>
                <w:szCs w:val="20"/>
              </w:rPr>
            </w:pPr>
            <w:r>
              <w:rPr>
                <w:b/>
                <w:bCs/>
                <w:iCs/>
                <w:sz w:val="20"/>
                <w:szCs w:val="20"/>
                <w:lang w:eastAsia="en-US"/>
              </w:rPr>
              <w:t>19.</w:t>
            </w:r>
          </w:p>
        </w:tc>
        <w:tc>
          <w:tcPr>
            <w:tcW w:w="1881" w:type="dxa"/>
            <w:shd w:val="clear" w:color="auto" w:fill="FFFFFF"/>
            <w:vAlign w:val="center"/>
          </w:tcPr>
          <w:p w14:paraId="4BD95D0F" w14:textId="77777777" w:rsidR="00B650E5" w:rsidRDefault="00B650E5">
            <w:pPr>
              <w:jc w:val="center"/>
              <w:rPr>
                <w:sz w:val="20"/>
                <w:szCs w:val="20"/>
              </w:rPr>
            </w:pPr>
            <w:r>
              <w:rPr>
                <w:iCs/>
                <w:sz w:val="20"/>
                <w:szCs w:val="20"/>
                <w:lang w:eastAsia="en-US"/>
              </w:rPr>
              <w:t>Oprávnenosť miesta realizácie projektu</w:t>
            </w:r>
          </w:p>
        </w:tc>
        <w:tc>
          <w:tcPr>
            <w:tcW w:w="3165" w:type="dxa"/>
            <w:shd w:val="clear" w:color="auto" w:fill="FFFFFF"/>
            <w:vAlign w:val="center"/>
          </w:tcPr>
          <w:p w14:paraId="6CD3F11F" w14:textId="77777777" w:rsidR="00B650E5" w:rsidRDefault="00B650E5">
            <w:pPr>
              <w:jc w:val="center"/>
              <w:rPr>
                <w:sz w:val="20"/>
                <w:szCs w:val="20"/>
              </w:rPr>
            </w:pPr>
            <w:r>
              <w:rPr>
                <w:iCs/>
                <w:sz w:val="20"/>
                <w:szCs w:val="20"/>
                <w:lang w:eastAsia="en-US"/>
              </w:rPr>
              <w:t xml:space="preserve">Podmienka, že projekt je realizovaný na oprávnenom území </w:t>
            </w:r>
          </w:p>
        </w:tc>
        <w:tc>
          <w:tcPr>
            <w:tcW w:w="6946" w:type="dxa"/>
            <w:shd w:val="clear" w:color="auto" w:fill="FFFFFF"/>
            <w:vAlign w:val="center"/>
          </w:tcPr>
          <w:p w14:paraId="19D628F3" w14:textId="533B66D5" w:rsidR="00B650E5" w:rsidRPr="00DE5D89" w:rsidRDefault="00B650E5" w:rsidP="007D0719">
            <w:pPr>
              <w:rPr>
                <w:iCs/>
                <w:sz w:val="20"/>
                <w:szCs w:val="20"/>
                <w:lang w:eastAsia="en-US"/>
              </w:rPr>
            </w:pPr>
            <w:r>
              <w:rPr>
                <w:iCs/>
                <w:sz w:val="20"/>
                <w:szCs w:val="20"/>
                <w:lang w:eastAsia="en-US"/>
              </w:rPr>
              <w:t xml:space="preserve">Písomná a/alebo mapová dokumentácia určujúca územnú oprávnenosť - v prípade, ak je miesto realizácie v zmysle výzvy územne vymedzené tak, že na posúdenie splnenia tejto podmienky poskytnutia príspevku je potrebné predloženie osobitnej prílohy (napr. mapy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opisu projektu </w:t>
            </w:r>
          </w:p>
        </w:tc>
        <w:tc>
          <w:tcPr>
            <w:tcW w:w="2836" w:type="dxa"/>
            <w:shd w:val="clear" w:color="auto" w:fill="FFFFFF"/>
            <w:vAlign w:val="center"/>
          </w:tcPr>
          <w:p w14:paraId="47EDC154" w14:textId="77777777" w:rsidR="00B650E5" w:rsidRDefault="00B650E5">
            <w:pPr>
              <w:jc w:val="center"/>
              <w:rPr>
                <w:sz w:val="20"/>
                <w:szCs w:val="20"/>
              </w:rPr>
            </w:pPr>
            <w:r>
              <w:rPr>
                <w:iCs/>
                <w:sz w:val="20"/>
                <w:szCs w:val="20"/>
                <w:lang w:eastAsia="en-US"/>
              </w:rPr>
              <w:t> </w:t>
            </w:r>
          </w:p>
        </w:tc>
      </w:tr>
      <w:tr w:rsidR="00B650E5" w14:paraId="469DE8F1" w14:textId="77777777">
        <w:trPr>
          <w:trHeight w:val="1963"/>
        </w:trPr>
        <w:tc>
          <w:tcPr>
            <w:tcW w:w="483" w:type="dxa"/>
            <w:shd w:val="clear" w:color="000000" w:fill="C5D9F1"/>
            <w:vAlign w:val="center"/>
          </w:tcPr>
          <w:p w14:paraId="3802662D" w14:textId="77777777" w:rsidR="00B650E5" w:rsidRDefault="00B650E5">
            <w:pPr>
              <w:jc w:val="center"/>
              <w:rPr>
                <w:b/>
                <w:bCs/>
                <w:sz w:val="20"/>
                <w:szCs w:val="20"/>
              </w:rPr>
            </w:pPr>
            <w:r>
              <w:rPr>
                <w:b/>
                <w:bCs/>
                <w:iCs/>
                <w:sz w:val="20"/>
                <w:szCs w:val="20"/>
                <w:lang w:eastAsia="en-US"/>
              </w:rPr>
              <w:t>20.</w:t>
            </w:r>
          </w:p>
        </w:tc>
        <w:tc>
          <w:tcPr>
            <w:tcW w:w="1881" w:type="dxa"/>
            <w:shd w:val="clear" w:color="000000" w:fill="C5D9F1"/>
            <w:vAlign w:val="center"/>
          </w:tcPr>
          <w:p w14:paraId="4F168AFD" w14:textId="77777777" w:rsidR="00B650E5" w:rsidRDefault="00B650E5">
            <w:pPr>
              <w:jc w:val="center"/>
              <w:rPr>
                <w:sz w:val="20"/>
                <w:szCs w:val="20"/>
              </w:rPr>
            </w:pPr>
            <w:r>
              <w:rPr>
                <w:sz w:val="20"/>
                <w:szCs w:val="20"/>
              </w:rPr>
              <w:t>Kritériá pre výber projektov</w:t>
            </w:r>
          </w:p>
        </w:tc>
        <w:tc>
          <w:tcPr>
            <w:tcW w:w="3165" w:type="dxa"/>
            <w:shd w:val="clear" w:color="000000" w:fill="C5D9F1"/>
            <w:vAlign w:val="center"/>
          </w:tcPr>
          <w:p w14:paraId="2EDEE00E" w14:textId="77777777" w:rsidR="00B650E5" w:rsidRDefault="00B650E5">
            <w:pPr>
              <w:jc w:val="center"/>
              <w:rPr>
                <w:sz w:val="20"/>
                <w:szCs w:val="20"/>
              </w:rPr>
            </w:pPr>
            <w:r>
              <w:rPr>
                <w:sz w:val="20"/>
                <w:szCs w:val="20"/>
              </w:rPr>
              <w:t>Podmienky splnenia kritérií pre výber projektov</w:t>
            </w:r>
          </w:p>
        </w:tc>
        <w:tc>
          <w:tcPr>
            <w:tcW w:w="6946" w:type="dxa"/>
            <w:shd w:val="clear" w:color="000000" w:fill="C5D9F1"/>
            <w:vAlign w:val="center"/>
          </w:tcPr>
          <w:p w14:paraId="37465240" w14:textId="28E4E8B9" w:rsidR="00B650E5" w:rsidRDefault="00B650E5" w:rsidP="008361E7">
            <w:pPr>
              <w:rPr>
                <w:sz w:val="20"/>
                <w:szCs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p>
        </w:tc>
        <w:tc>
          <w:tcPr>
            <w:tcW w:w="2836" w:type="dxa"/>
            <w:shd w:val="clear" w:color="000000" w:fill="C5D9F1"/>
            <w:vAlign w:val="center"/>
          </w:tcPr>
          <w:p w14:paraId="1FCE40F0" w14:textId="77777777" w:rsidR="00B650E5" w:rsidRDefault="00B650E5">
            <w:pPr>
              <w:jc w:val="center"/>
              <w:rPr>
                <w:sz w:val="20"/>
                <w:szCs w:val="20"/>
              </w:rPr>
            </w:pPr>
            <w:r>
              <w:rPr>
                <w:iCs/>
                <w:sz w:val="20"/>
                <w:szCs w:val="20"/>
                <w:lang w:eastAsia="en-US"/>
              </w:rPr>
              <w:t> </w:t>
            </w:r>
          </w:p>
        </w:tc>
      </w:tr>
      <w:tr w:rsidR="00B650E5" w14:paraId="335DCF4C" w14:textId="77777777" w:rsidTr="00DE5D89">
        <w:trPr>
          <w:trHeight w:val="70"/>
        </w:trPr>
        <w:tc>
          <w:tcPr>
            <w:tcW w:w="483" w:type="dxa"/>
            <w:shd w:val="clear" w:color="auto" w:fill="FFFFFF"/>
            <w:vAlign w:val="center"/>
          </w:tcPr>
          <w:p w14:paraId="32FE3068" w14:textId="77777777" w:rsidR="00B650E5" w:rsidRDefault="00B650E5">
            <w:pPr>
              <w:jc w:val="center"/>
              <w:rPr>
                <w:b/>
                <w:bCs/>
                <w:iCs/>
                <w:sz w:val="20"/>
                <w:szCs w:val="20"/>
                <w:lang w:eastAsia="en-US"/>
              </w:rPr>
            </w:pPr>
            <w:r>
              <w:rPr>
                <w:b/>
                <w:bCs/>
                <w:iCs/>
                <w:sz w:val="20"/>
                <w:szCs w:val="20"/>
                <w:lang w:eastAsia="en-US"/>
              </w:rPr>
              <w:t>21.</w:t>
            </w:r>
          </w:p>
        </w:tc>
        <w:tc>
          <w:tcPr>
            <w:tcW w:w="1881" w:type="dxa"/>
            <w:shd w:val="clear" w:color="auto" w:fill="FFFFFF"/>
            <w:vAlign w:val="center"/>
          </w:tcPr>
          <w:p w14:paraId="5C93CADD" w14:textId="77777777" w:rsidR="00B650E5" w:rsidRDefault="00B650E5">
            <w:pPr>
              <w:jc w:val="center"/>
              <w:rPr>
                <w:sz w:val="20"/>
                <w:szCs w:val="20"/>
              </w:rPr>
            </w:pPr>
            <w:r>
              <w:rPr>
                <w:sz w:val="20"/>
                <w:szCs w:val="20"/>
              </w:rPr>
              <w:t>Spôsob financovania</w:t>
            </w:r>
          </w:p>
        </w:tc>
        <w:tc>
          <w:tcPr>
            <w:tcW w:w="3165" w:type="dxa"/>
            <w:shd w:val="clear" w:color="auto" w:fill="FFFFFF"/>
            <w:vAlign w:val="center"/>
          </w:tcPr>
          <w:p w14:paraId="2CDA6C42" w14:textId="77777777" w:rsidR="00B650E5" w:rsidRDefault="00B650E5">
            <w:pPr>
              <w:jc w:val="center"/>
              <w:rPr>
                <w:sz w:val="20"/>
                <w:szCs w:val="20"/>
              </w:rPr>
            </w:pPr>
            <w:r>
              <w:rPr>
                <w:sz w:val="20"/>
                <w:szCs w:val="20"/>
              </w:rPr>
              <w:t>Podmienka relevantného spôsobu financovania – predfinancovanie, zálohové platby, refundácia</w:t>
            </w:r>
          </w:p>
        </w:tc>
        <w:tc>
          <w:tcPr>
            <w:tcW w:w="6946" w:type="dxa"/>
            <w:shd w:val="clear" w:color="auto" w:fill="FFFFFF"/>
            <w:vAlign w:val="center"/>
          </w:tcPr>
          <w:p w14:paraId="5277F000" w14:textId="70C0D7E5" w:rsidR="00B650E5" w:rsidRDefault="00B650E5" w:rsidP="001B709E">
            <w:pPr>
              <w:spacing w:before="120" w:after="120"/>
              <w:rPr>
                <w:b/>
                <w:bCs/>
                <w:sz w:val="20"/>
                <w:szCs w:val="20"/>
                <w:lang w:eastAsia="en-US"/>
              </w:rPr>
            </w:pPr>
            <w:r>
              <w:rPr>
                <w:sz w:val="20"/>
                <w:szCs w:val="20"/>
                <w:lang w:eastAsia="en-US"/>
              </w:rPr>
              <w:t>Podmienka poskytnutia príspevku, ktorou je stanovenie spôsobu financovania je stanovená ako povinná podmienka poskytnutia príspevku vo výzve a nie je osobitne overovaná v rámci konania o ŽoNFP a samostatne dokladovaná zo strany žiadateľa</w:t>
            </w:r>
          </w:p>
        </w:tc>
        <w:tc>
          <w:tcPr>
            <w:tcW w:w="2836" w:type="dxa"/>
            <w:shd w:val="clear" w:color="auto" w:fill="FFFFFF"/>
            <w:vAlign w:val="center"/>
          </w:tcPr>
          <w:p w14:paraId="5E3F098A" w14:textId="77777777" w:rsidR="00B650E5" w:rsidRDefault="00B650E5">
            <w:pPr>
              <w:jc w:val="center"/>
              <w:rPr>
                <w:iCs/>
                <w:sz w:val="20"/>
                <w:szCs w:val="20"/>
                <w:lang w:eastAsia="en-US"/>
              </w:rPr>
            </w:pPr>
          </w:p>
        </w:tc>
      </w:tr>
      <w:tr w:rsidR="00B650E5" w14:paraId="3766A15A" w14:textId="77777777" w:rsidTr="001B709E">
        <w:trPr>
          <w:trHeight w:val="360"/>
        </w:trPr>
        <w:tc>
          <w:tcPr>
            <w:tcW w:w="483" w:type="dxa"/>
            <w:shd w:val="clear" w:color="000000" w:fill="C5D9F1"/>
            <w:vAlign w:val="center"/>
          </w:tcPr>
          <w:p w14:paraId="30E65A1F" w14:textId="77777777" w:rsidR="00B650E5" w:rsidRDefault="00B650E5">
            <w:pPr>
              <w:jc w:val="center"/>
              <w:rPr>
                <w:b/>
                <w:bCs/>
                <w:sz w:val="20"/>
                <w:szCs w:val="20"/>
              </w:rPr>
            </w:pPr>
            <w:r>
              <w:rPr>
                <w:b/>
                <w:bCs/>
                <w:iCs/>
                <w:sz w:val="20"/>
                <w:szCs w:val="20"/>
                <w:lang w:eastAsia="en-US"/>
              </w:rPr>
              <w:t>22.</w:t>
            </w:r>
          </w:p>
        </w:tc>
        <w:tc>
          <w:tcPr>
            <w:tcW w:w="1881" w:type="dxa"/>
            <w:shd w:val="clear" w:color="000000" w:fill="C5D9F1"/>
            <w:vAlign w:val="center"/>
          </w:tcPr>
          <w:p w14:paraId="101C23FE" w14:textId="77777777" w:rsidR="00B650E5" w:rsidRDefault="00B650E5">
            <w:pPr>
              <w:jc w:val="center"/>
              <w:rPr>
                <w:sz w:val="20"/>
                <w:szCs w:val="20"/>
              </w:rPr>
            </w:pPr>
            <w:r>
              <w:rPr>
                <w:iCs/>
                <w:sz w:val="20"/>
                <w:szCs w:val="20"/>
                <w:lang w:eastAsia="en-US"/>
              </w:rPr>
              <w:t>Podmienky poskytnutia príspevku vyplývajúce z osobitných predpisov</w:t>
            </w:r>
          </w:p>
        </w:tc>
        <w:tc>
          <w:tcPr>
            <w:tcW w:w="3165" w:type="dxa"/>
            <w:shd w:val="clear" w:color="000000" w:fill="C5D9F1"/>
            <w:vAlign w:val="center"/>
          </w:tcPr>
          <w:p w14:paraId="229D7AC0" w14:textId="77777777" w:rsidR="00B650E5" w:rsidRDefault="00B650E5">
            <w:pPr>
              <w:jc w:val="center"/>
              <w:rPr>
                <w:sz w:val="20"/>
                <w:szCs w:val="20"/>
              </w:rPr>
            </w:pPr>
            <w:r>
              <w:rPr>
                <w:iCs/>
                <w:sz w:val="20"/>
                <w:szCs w:val="20"/>
                <w:lang w:eastAsia="en-US"/>
              </w:rPr>
              <w:t>Podmienky týkajúce sa štátnej pomoci a vyplývajúce zo schém štátnej pomoci/pomoci de minimis</w:t>
            </w:r>
          </w:p>
        </w:tc>
        <w:tc>
          <w:tcPr>
            <w:tcW w:w="6946" w:type="dxa"/>
            <w:shd w:val="clear" w:color="000000" w:fill="C5D9F1"/>
            <w:vAlign w:val="center"/>
          </w:tcPr>
          <w:p w14:paraId="0E7AE96D" w14:textId="31277277" w:rsidR="00B650E5" w:rsidRDefault="00B650E5" w:rsidP="001B709E">
            <w:pPr>
              <w:pStyle w:val="Hlavika"/>
            </w:pPr>
            <w:r>
              <w:rPr>
                <w:iCs/>
                <w:sz w:val="20"/>
                <w:szCs w:val="20"/>
                <w:lang w:eastAsia="en-US"/>
              </w:rPr>
              <w:t xml:space="preserve">RO zadefinuje povinné prílohy potrebné na preukázanie splnenia osobitných podmienok vo vzťahu k poskytovaniu štátnej pomoci/pomoci de minimis.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doklad preukazujúci nepresiahnutie maximálnej výšky pomoci v prípade poskytovania pomoci de minimis a pod. </w:t>
            </w:r>
            <w:r w:rsidR="00B83DE6">
              <w:rPr>
                <w:iCs/>
                <w:sz w:val="20"/>
                <w:szCs w:val="20"/>
                <w:lang w:eastAsia="en-US"/>
              </w:rPr>
              <w:t xml:space="preserve">V prípade, </w:t>
            </w:r>
            <w:r w:rsidR="00B83DE6" w:rsidRPr="00B83DE6">
              <w:rPr>
                <w:iCs/>
                <w:sz w:val="20"/>
                <w:szCs w:val="20"/>
                <w:lang w:eastAsia="en-US"/>
              </w:rPr>
              <w:t xml:space="preserve">ak nie </w:t>
            </w:r>
            <w:r w:rsidR="00B83DE6">
              <w:rPr>
                <w:iCs/>
                <w:sz w:val="20"/>
                <w:szCs w:val="20"/>
                <w:lang w:eastAsia="en-US"/>
              </w:rPr>
              <w:t>sú</w:t>
            </w:r>
            <w:r w:rsidR="00B83DE6" w:rsidRPr="00B83DE6">
              <w:rPr>
                <w:iCs/>
                <w:sz w:val="20"/>
                <w:szCs w:val="20"/>
                <w:lang w:eastAsia="en-US"/>
              </w:rPr>
              <w:t xml:space="preserve"> stanoven</w:t>
            </w:r>
            <w:r w:rsidR="00B83DE6">
              <w:rPr>
                <w:iCs/>
                <w:sz w:val="20"/>
                <w:szCs w:val="20"/>
                <w:lang w:eastAsia="en-US"/>
              </w:rPr>
              <w:t>é</w:t>
            </w:r>
            <w:r w:rsidR="00B83DE6" w:rsidRPr="00B83DE6">
              <w:rPr>
                <w:iCs/>
                <w:sz w:val="20"/>
                <w:szCs w:val="20"/>
                <w:lang w:eastAsia="en-US"/>
              </w:rPr>
              <w:t xml:space="preserve"> podmienk</w:t>
            </w:r>
            <w:r w:rsidR="00B83DE6">
              <w:rPr>
                <w:iCs/>
                <w:sz w:val="20"/>
                <w:szCs w:val="20"/>
                <w:lang w:eastAsia="en-US"/>
              </w:rPr>
              <w:t>y</w:t>
            </w:r>
            <w:r w:rsidR="00B83DE6" w:rsidRPr="00B83DE6">
              <w:rPr>
                <w:iCs/>
                <w:sz w:val="20"/>
                <w:szCs w:val="20"/>
                <w:lang w:eastAsia="en-US"/>
              </w:rPr>
              <w:t xml:space="preserve"> poskytnutia príspevku</w:t>
            </w:r>
            <w:r w:rsidR="00B83DE6">
              <w:rPr>
                <w:iCs/>
                <w:sz w:val="20"/>
                <w:szCs w:val="20"/>
                <w:lang w:eastAsia="en-US"/>
              </w:rPr>
              <w:t>,</w:t>
            </w:r>
            <w:r w:rsidR="00B83DE6" w:rsidRPr="00B83DE6">
              <w:rPr>
                <w:iCs/>
                <w:sz w:val="20"/>
                <w:szCs w:val="20"/>
                <w:lang w:eastAsia="en-US"/>
              </w:rPr>
              <w:t xml:space="preserve"> týkajúce sa štátnej pomoci a vyplývajúce zo schém štátnej pomoci/pomoci de minimis, uvedie </w:t>
            </w:r>
            <w:r w:rsidR="00B83DE6">
              <w:rPr>
                <w:iCs/>
                <w:sz w:val="20"/>
                <w:szCs w:val="20"/>
                <w:lang w:eastAsia="en-US"/>
              </w:rPr>
              <w:t>RO</w:t>
            </w:r>
            <w:r w:rsidR="00B83DE6" w:rsidRPr="00B83DE6">
              <w:rPr>
                <w:iCs/>
                <w:sz w:val="20"/>
                <w:szCs w:val="20"/>
                <w:lang w:eastAsia="en-US"/>
              </w:rPr>
              <w:t xml:space="preserve"> podmienku v súlade s formuláciou podľa vzoru CKO č.</w:t>
            </w:r>
            <w:r w:rsidR="005F45CC">
              <w:rPr>
                <w:iCs/>
                <w:sz w:val="20"/>
                <w:szCs w:val="20"/>
                <w:lang w:eastAsia="en-US"/>
              </w:rPr>
              <w:t xml:space="preserve"> </w:t>
            </w:r>
            <w:r w:rsidR="00B83DE6" w:rsidRPr="00B83DE6">
              <w:rPr>
                <w:iCs/>
                <w:sz w:val="20"/>
                <w:szCs w:val="20"/>
                <w:lang w:eastAsia="en-US"/>
              </w:rPr>
              <w:t>7</w:t>
            </w:r>
            <w:r w:rsidR="00B83DE6">
              <w:rPr>
                <w:iCs/>
                <w:sz w:val="20"/>
                <w:szCs w:val="20"/>
                <w:lang w:eastAsia="en-US"/>
              </w:rPr>
              <w:t xml:space="preserve"> </w:t>
            </w:r>
            <w:r w:rsidR="00B83DE6" w:rsidRPr="001B709E">
              <w:rPr>
                <w:iCs/>
                <w:sz w:val="20"/>
                <w:szCs w:val="20"/>
                <w:lang w:eastAsia="en-US"/>
              </w:rPr>
              <w:t>Výzva na predkladanie projektových zámerov/výzva/vyzvanie</w:t>
            </w:r>
          </w:p>
        </w:tc>
        <w:tc>
          <w:tcPr>
            <w:tcW w:w="2836" w:type="dxa"/>
            <w:shd w:val="clear" w:color="000000" w:fill="C5D9F1"/>
            <w:vAlign w:val="center"/>
          </w:tcPr>
          <w:p w14:paraId="1C59ADA0" w14:textId="475679A9" w:rsidR="00B650E5" w:rsidRDefault="00B650E5">
            <w:pPr>
              <w:jc w:val="center"/>
              <w:rPr>
                <w:sz w:val="20"/>
                <w:szCs w:val="20"/>
              </w:rPr>
            </w:pPr>
            <w:r>
              <w:rPr>
                <w:iCs/>
                <w:sz w:val="20"/>
                <w:szCs w:val="20"/>
                <w:lang w:eastAsia="en-US"/>
              </w:rPr>
              <w:t>Relevantné pre prípady poskytovania štátnej pomoci/pomoci de minimis</w:t>
            </w:r>
            <w:r w:rsidR="008361E7">
              <w:rPr>
                <w:iCs/>
                <w:sz w:val="20"/>
                <w:szCs w:val="20"/>
                <w:lang w:eastAsia="en-US"/>
              </w:rPr>
              <w:t>.</w:t>
            </w:r>
          </w:p>
        </w:tc>
      </w:tr>
      <w:tr w:rsidR="00B650E5" w14:paraId="3A009253" w14:textId="77777777">
        <w:trPr>
          <w:trHeight w:val="1262"/>
        </w:trPr>
        <w:tc>
          <w:tcPr>
            <w:tcW w:w="483" w:type="dxa"/>
            <w:vAlign w:val="center"/>
          </w:tcPr>
          <w:p w14:paraId="7748C572" w14:textId="77777777" w:rsidR="00B650E5" w:rsidRDefault="00B650E5">
            <w:pPr>
              <w:jc w:val="center"/>
              <w:rPr>
                <w:b/>
                <w:bCs/>
                <w:sz w:val="20"/>
                <w:szCs w:val="20"/>
              </w:rPr>
            </w:pPr>
            <w:r>
              <w:rPr>
                <w:b/>
                <w:bCs/>
                <w:iCs/>
                <w:sz w:val="20"/>
                <w:szCs w:val="20"/>
                <w:lang w:eastAsia="en-US"/>
              </w:rPr>
              <w:lastRenderedPageBreak/>
              <w:t>23.</w:t>
            </w:r>
          </w:p>
        </w:tc>
        <w:tc>
          <w:tcPr>
            <w:tcW w:w="1881" w:type="dxa"/>
            <w:vAlign w:val="center"/>
          </w:tcPr>
          <w:p w14:paraId="3DCB98C1" w14:textId="77777777" w:rsidR="00B650E5" w:rsidRDefault="00B650E5">
            <w:pPr>
              <w:jc w:val="center"/>
              <w:rPr>
                <w:sz w:val="20"/>
                <w:szCs w:val="20"/>
              </w:rPr>
            </w:pPr>
            <w:r>
              <w:rPr>
                <w:bCs/>
                <w:iCs/>
                <w:sz w:val="20"/>
                <w:szCs w:val="20"/>
                <w:lang w:eastAsia="en-US"/>
              </w:rPr>
              <w:t> </w:t>
            </w:r>
          </w:p>
        </w:tc>
        <w:tc>
          <w:tcPr>
            <w:tcW w:w="3165" w:type="dxa"/>
            <w:vAlign w:val="center"/>
          </w:tcPr>
          <w:p w14:paraId="46B00525" w14:textId="77777777" w:rsidR="00B650E5" w:rsidRDefault="00B650E5" w:rsidP="001B709E">
            <w:pPr>
              <w:jc w:val="center"/>
              <w:rPr>
                <w:sz w:val="20"/>
                <w:szCs w:val="20"/>
              </w:rPr>
            </w:pPr>
            <w:r>
              <w:rPr>
                <w:sz w:val="20"/>
                <w:szCs w:val="20"/>
              </w:rPr>
              <w:t>Podmienka neporušenia zákazu nelegálnej práce a nelegálneho zamestnávania za obdobie 5 rokov predchádzajúcich podaniu ŽoNFP</w:t>
            </w:r>
          </w:p>
        </w:tc>
        <w:tc>
          <w:tcPr>
            <w:tcW w:w="6946" w:type="dxa"/>
            <w:vAlign w:val="center"/>
          </w:tcPr>
          <w:p w14:paraId="69C23EE5" w14:textId="77777777" w:rsidR="00B650E5" w:rsidRDefault="00B650E5" w:rsidP="00DC7971">
            <w:pPr>
              <w:rPr>
                <w:bCs/>
                <w:sz w:val="20"/>
                <w:szCs w:val="20"/>
                <w:lang w:eastAsia="en-US"/>
              </w:rPr>
            </w:pPr>
            <w:r>
              <w:rPr>
                <w:b/>
                <w:bCs/>
                <w:sz w:val="20"/>
                <w:szCs w:val="20"/>
              </w:rPr>
              <w:t xml:space="preserve">Forma preukázania: </w:t>
            </w:r>
            <w:r w:rsidRPr="000B18B1">
              <w:rPr>
                <w:bCs/>
                <w:sz w:val="20"/>
                <w:szCs w:val="20"/>
                <w:lang w:eastAsia="en-US"/>
              </w:rPr>
              <w:t>Čestné vyhlásenie</w:t>
            </w:r>
          </w:p>
          <w:p w14:paraId="5BF3CAF4" w14:textId="77777777" w:rsidR="00B650E5" w:rsidRDefault="00B650E5" w:rsidP="00DC7971">
            <w:pPr>
              <w:rPr>
                <w:sz w:val="20"/>
                <w:szCs w:val="20"/>
              </w:rPr>
            </w:pPr>
            <w:r w:rsidRPr="000B18B1">
              <w:rPr>
                <w:b/>
                <w:sz w:val="20"/>
                <w:szCs w:val="20"/>
              </w:rPr>
              <w:t>Spôsob overenia:</w:t>
            </w:r>
            <w:r>
              <w:rPr>
                <w:sz w:val="20"/>
                <w:szCs w:val="20"/>
              </w:rPr>
              <w:t xml:space="preserve"> </w:t>
            </w:r>
            <w:r>
              <w:rPr>
                <w:sz w:val="20"/>
                <w:szCs w:val="20"/>
                <w:lang w:eastAsia="en-US"/>
              </w:rPr>
              <w:t>ITMS 2014+</w:t>
            </w:r>
            <w:r w:rsidR="005F45CC">
              <w:rPr>
                <w:sz w:val="20"/>
                <w:szCs w:val="20"/>
                <w:lang w:eastAsia="en-US"/>
              </w:rPr>
              <w:t xml:space="preserve"> </w:t>
            </w:r>
            <w:r>
              <w:rPr>
                <w:sz w:val="20"/>
                <w:szCs w:val="20"/>
                <w:lang w:eastAsia="en-US"/>
              </w:rPr>
              <w:t>/ centrálne dožiadanie informácie /potvrdenie príslušného inšpektorátu práce, že žiadateľ neporušil zákaz nelegálnej práce a nelegálneho zamestnávania podľa osobitného predpisu za obdobie piatich rokov, nie staršie ako 3 mesiace ku dňu predloženia ŽoNFP</w:t>
            </w:r>
          </w:p>
        </w:tc>
        <w:tc>
          <w:tcPr>
            <w:tcW w:w="2836" w:type="dxa"/>
            <w:vAlign w:val="center"/>
          </w:tcPr>
          <w:p w14:paraId="32BDE4D5" w14:textId="77777777" w:rsidR="00B650E5" w:rsidRDefault="00663970">
            <w:pPr>
              <w:jc w:val="center"/>
              <w:rPr>
                <w:sz w:val="20"/>
                <w:szCs w:val="20"/>
              </w:rPr>
            </w:pPr>
            <w:r w:rsidRPr="00663970">
              <w:rPr>
                <w:iCs/>
                <w:sz w:val="20"/>
                <w:szCs w:val="20"/>
                <w:lang w:eastAsia="en-US"/>
              </w:rPr>
              <w:t xml:space="preserve">Termín podania ŽoNFP je určujúci pre posúdenie počiatočného dátumu plnenia podmienky, pričom žiadateľ/prijímateľ nesmie podmienku poskytnutia príspevku porušiť ani počas </w:t>
            </w:r>
            <w:r w:rsidR="001B709E">
              <w:rPr>
                <w:iCs/>
                <w:sz w:val="20"/>
                <w:szCs w:val="20"/>
                <w:lang w:eastAsia="en-US"/>
              </w:rPr>
              <w:t xml:space="preserve">konania o ŽoNFP a </w:t>
            </w:r>
            <w:r w:rsidRPr="00663970">
              <w:rPr>
                <w:iCs/>
                <w:sz w:val="20"/>
                <w:szCs w:val="20"/>
                <w:lang w:eastAsia="en-US"/>
              </w:rPr>
              <w:t>realizácie projektu.</w:t>
            </w:r>
            <w:r w:rsidR="00B650E5">
              <w:rPr>
                <w:iCs/>
                <w:sz w:val="20"/>
                <w:szCs w:val="20"/>
                <w:lang w:eastAsia="en-US"/>
              </w:rPr>
              <w:t> </w:t>
            </w:r>
          </w:p>
        </w:tc>
      </w:tr>
      <w:tr w:rsidR="00B650E5" w14:paraId="51027081" w14:textId="77777777">
        <w:trPr>
          <w:trHeight w:val="1116"/>
        </w:trPr>
        <w:tc>
          <w:tcPr>
            <w:tcW w:w="483" w:type="dxa"/>
            <w:shd w:val="clear" w:color="000000" w:fill="C5D9F1"/>
            <w:vAlign w:val="center"/>
          </w:tcPr>
          <w:p w14:paraId="42FA56EA" w14:textId="77777777" w:rsidR="00B650E5" w:rsidRDefault="00B650E5">
            <w:pPr>
              <w:jc w:val="center"/>
              <w:rPr>
                <w:b/>
                <w:bCs/>
                <w:sz w:val="20"/>
                <w:szCs w:val="20"/>
              </w:rPr>
            </w:pPr>
            <w:r>
              <w:rPr>
                <w:b/>
                <w:bCs/>
                <w:iCs/>
                <w:sz w:val="20"/>
                <w:szCs w:val="20"/>
                <w:lang w:eastAsia="en-US"/>
              </w:rPr>
              <w:t>24.</w:t>
            </w:r>
          </w:p>
        </w:tc>
        <w:tc>
          <w:tcPr>
            <w:tcW w:w="1881" w:type="dxa"/>
            <w:shd w:val="clear" w:color="000000" w:fill="C5D9F1"/>
            <w:vAlign w:val="center"/>
          </w:tcPr>
          <w:p w14:paraId="18E523E7" w14:textId="77777777" w:rsidR="00B650E5" w:rsidRDefault="00B650E5">
            <w:pPr>
              <w:jc w:val="center"/>
              <w:rPr>
                <w:rFonts w:ascii="Calibri" w:hAnsi="Calibri"/>
                <w:sz w:val="20"/>
                <w:szCs w:val="20"/>
              </w:rPr>
            </w:pPr>
            <w:r>
              <w:rPr>
                <w:rFonts w:ascii="Calibri" w:hAnsi="Calibri"/>
                <w:sz w:val="20"/>
                <w:szCs w:val="20"/>
              </w:rPr>
              <w:t> </w:t>
            </w:r>
          </w:p>
        </w:tc>
        <w:tc>
          <w:tcPr>
            <w:tcW w:w="3165" w:type="dxa"/>
            <w:shd w:val="clear" w:color="000000" w:fill="C5D9F1"/>
            <w:vAlign w:val="center"/>
          </w:tcPr>
          <w:p w14:paraId="299F270B" w14:textId="77777777" w:rsidR="00B650E5" w:rsidRDefault="00B650E5">
            <w:pPr>
              <w:jc w:val="center"/>
              <w:rPr>
                <w:sz w:val="20"/>
                <w:szCs w:val="20"/>
              </w:rPr>
            </w:pPr>
            <w:r>
              <w:rPr>
                <w:sz w:val="20"/>
                <w:szCs w:val="20"/>
              </w:rPr>
              <w:t>Oprávnenosť z hľadiska VO na hlavné aktivity projektu</w:t>
            </w:r>
          </w:p>
        </w:tc>
        <w:tc>
          <w:tcPr>
            <w:tcW w:w="6946" w:type="dxa"/>
            <w:shd w:val="clear" w:color="000000" w:fill="C5D9F1"/>
            <w:vAlign w:val="center"/>
          </w:tcPr>
          <w:p w14:paraId="59A98778" w14:textId="4571BA51" w:rsidR="00B650E5" w:rsidRDefault="00B650E5" w:rsidP="00642317">
            <w:pPr>
              <w:rPr>
                <w:sz w:val="20"/>
                <w:szCs w:val="20"/>
              </w:rPr>
            </w:pPr>
            <w:r>
              <w:rPr>
                <w:b/>
                <w:bCs/>
                <w:sz w:val="20"/>
                <w:szCs w:val="20"/>
                <w:lang w:eastAsia="en-US"/>
              </w:rPr>
              <w:t>Dokumentácia k VO stanovená vo výzve:</w:t>
            </w:r>
            <w:r>
              <w:rPr>
                <w:sz w:val="20"/>
                <w:szCs w:val="20"/>
                <w:lang w:eastAsia="en-US"/>
              </w:rPr>
              <w:br/>
            </w:r>
            <w:r w:rsidR="00642317">
              <w:rPr>
                <w:sz w:val="20"/>
                <w:szCs w:val="20"/>
                <w:lang w:eastAsia="en-US"/>
              </w:rPr>
              <w:t xml:space="preserve">Ak RO v rámci výzvy uvedie ako podmienku poskytnutia príspevku, aby žiadateľ mal v čase predloženia ŽoNFP ukončené VO (vo fáze po podpise zmluvy s úspešným uchádzačom), alebo aby žiadateľ mal v čase predloženia ŽoNFP VO vo fáze pred podpisom zmluvy s úspešným uchádzačom (po vyhodnotení ponúk a ukončení všetkých revíznych postupov), môže RO vykonávať kontrolu VO v rámci schvaľovacieho procesu ŽoNFP. </w:t>
            </w:r>
          </w:p>
        </w:tc>
        <w:tc>
          <w:tcPr>
            <w:tcW w:w="2836" w:type="dxa"/>
            <w:shd w:val="clear" w:color="000000" w:fill="C5D9F1"/>
            <w:vAlign w:val="center"/>
          </w:tcPr>
          <w:p w14:paraId="57BEE274" w14:textId="3705A1FF" w:rsidR="00B650E5" w:rsidRDefault="00B650E5" w:rsidP="007D0719">
            <w:pPr>
              <w:jc w:val="center"/>
              <w:rPr>
                <w:sz w:val="20"/>
                <w:szCs w:val="20"/>
              </w:rPr>
            </w:pPr>
            <w:r>
              <w:rPr>
                <w:bCs/>
                <w:iCs/>
                <w:sz w:val="20"/>
                <w:szCs w:val="20"/>
                <w:lang w:eastAsia="en-US"/>
              </w:rPr>
              <w:t xml:space="preserve">Relevantné pre prípady, ak podmienka poskytnutia príspevku bola na základe rozhodnutia RO stanovená vo výzve; RO postupuje pri definovaní rozsahu a spôsobu predkladania dokumentácie k VO postupom podľa </w:t>
            </w:r>
            <w:r w:rsidRPr="00556762">
              <w:t>kapitoly 3.3.7.2.</w:t>
            </w:r>
            <w:r w:rsidR="007D0719" w:rsidRPr="00556762">
              <w:t>7</w:t>
            </w:r>
            <w:r w:rsidRPr="00556762">
              <w:t xml:space="preserve"> ods. </w:t>
            </w:r>
            <w:r w:rsidR="00642317">
              <w:rPr>
                <w:sz w:val="20"/>
                <w:szCs w:val="20"/>
              </w:rPr>
              <w:t>5</w:t>
            </w:r>
            <w:r w:rsidR="008361E7">
              <w:rPr>
                <w:rStyle w:val="Hypertextovprepojenie"/>
                <w:sz w:val="20"/>
                <w:szCs w:val="20"/>
              </w:rPr>
              <w:t>.</w:t>
            </w:r>
          </w:p>
        </w:tc>
      </w:tr>
      <w:tr w:rsidR="00B650E5" w14:paraId="47CB5791" w14:textId="77777777" w:rsidTr="001B709E">
        <w:trPr>
          <w:trHeight w:val="1211"/>
        </w:trPr>
        <w:tc>
          <w:tcPr>
            <w:tcW w:w="483" w:type="dxa"/>
            <w:vAlign w:val="center"/>
          </w:tcPr>
          <w:p w14:paraId="65A2E212" w14:textId="77777777" w:rsidR="00B650E5" w:rsidRPr="00F67888" w:rsidRDefault="00B650E5">
            <w:pPr>
              <w:jc w:val="center"/>
              <w:rPr>
                <w:b/>
                <w:bCs/>
                <w:sz w:val="20"/>
                <w:szCs w:val="20"/>
              </w:rPr>
            </w:pPr>
            <w:r w:rsidRPr="0002534D">
              <w:rPr>
                <w:b/>
                <w:bCs/>
                <w:iCs/>
                <w:sz w:val="20"/>
                <w:szCs w:val="20"/>
                <w:lang w:eastAsia="en-US"/>
              </w:rPr>
              <w:t>2</w:t>
            </w:r>
            <w:r w:rsidRPr="00F67888">
              <w:rPr>
                <w:b/>
                <w:bCs/>
                <w:iCs/>
                <w:sz w:val="20"/>
                <w:szCs w:val="20"/>
                <w:lang w:eastAsia="en-US"/>
              </w:rPr>
              <w:t>5.</w:t>
            </w:r>
          </w:p>
        </w:tc>
        <w:tc>
          <w:tcPr>
            <w:tcW w:w="1881" w:type="dxa"/>
            <w:vAlign w:val="center"/>
          </w:tcPr>
          <w:p w14:paraId="34C7CB3E" w14:textId="77777777" w:rsidR="00B650E5" w:rsidRPr="00F67888" w:rsidRDefault="00B650E5">
            <w:pPr>
              <w:jc w:val="center"/>
              <w:rPr>
                <w:sz w:val="20"/>
                <w:szCs w:val="20"/>
              </w:rPr>
            </w:pPr>
            <w:r w:rsidRPr="00F67888">
              <w:rPr>
                <w:iCs/>
                <w:sz w:val="20"/>
                <w:szCs w:val="20"/>
                <w:lang w:eastAsia="en-US"/>
              </w:rPr>
              <w:t xml:space="preserve">Ďalšie podmienky poskytnutia príspevku </w:t>
            </w:r>
          </w:p>
        </w:tc>
        <w:tc>
          <w:tcPr>
            <w:tcW w:w="3165" w:type="dxa"/>
            <w:vAlign w:val="center"/>
          </w:tcPr>
          <w:p w14:paraId="6FCCE947" w14:textId="77777777" w:rsidR="00B650E5" w:rsidRPr="00F67888" w:rsidRDefault="00B650E5">
            <w:pPr>
              <w:jc w:val="center"/>
              <w:rPr>
                <w:sz w:val="20"/>
                <w:szCs w:val="20"/>
              </w:rPr>
            </w:pPr>
            <w:r w:rsidRPr="00F67888">
              <w:rPr>
                <w:sz w:val="20"/>
                <w:szCs w:val="20"/>
              </w:rPr>
              <w:t>Oprávnenosť z hľadiska preukázania súladu s požiadavkami v oblasti posudzovania vplyvov navrhovanej činnosti na životné prostredie</w:t>
            </w:r>
          </w:p>
        </w:tc>
        <w:tc>
          <w:tcPr>
            <w:tcW w:w="6946" w:type="dxa"/>
            <w:vAlign w:val="center"/>
          </w:tcPr>
          <w:p w14:paraId="231E4E3E" w14:textId="77777777" w:rsidR="00B650E5" w:rsidRPr="00F67888" w:rsidRDefault="00B650E5">
            <w:pPr>
              <w:rPr>
                <w:sz w:val="20"/>
                <w:szCs w:val="20"/>
                <w:lang w:eastAsia="en-US"/>
              </w:rPr>
            </w:pPr>
            <w:r w:rsidRPr="00F67888">
              <w:rPr>
                <w:b/>
                <w:bCs/>
                <w:sz w:val="20"/>
                <w:szCs w:val="20"/>
                <w:lang w:eastAsia="en-US"/>
              </w:rPr>
              <w:t>Výstupy z procesu posudzovania vplyvov na životné prostredie podľa zákona o posudzovaní vplyvov:</w:t>
            </w:r>
            <w:r w:rsidRPr="00F67888">
              <w:rPr>
                <w:sz w:val="20"/>
                <w:szCs w:val="20"/>
                <w:lang w:eastAsia="en-US"/>
              </w:rPr>
              <w:br/>
              <w:t>V prípade projektov podliehajúcich posudzovaniu vplyvov na životné prostredie je potrebné predložiť výstup z posudzovania vplyvov na životné prostredie, a to:</w:t>
            </w:r>
          </w:p>
          <w:p w14:paraId="5CAC6754" w14:textId="77777777" w:rsidR="00B650E5" w:rsidRPr="00F67888" w:rsidRDefault="00B650E5">
            <w:pPr>
              <w:rPr>
                <w:sz w:val="20"/>
                <w:szCs w:val="20"/>
                <w:lang w:eastAsia="en-US"/>
              </w:rPr>
            </w:pPr>
            <w:r w:rsidRPr="00F67888">
              <w:rPr>
                <w:sz w:val="20"/>
                <w:szCs w:val="20"/>
                <w:lang w:eastAsia="en-US"/>
              </w:rPr>
              <w:t>a.) platné záverečné stanovisko z posúdenia vplyvov navrhovanej činnosti, resp. jej zmeny na životné prostredie podľa zákona o posudzovaní vplyvov, alebo</w:t>
            </w:r>
          </w:p>
          <w:p w14:paraId="5D04F44E" w14:textId="77777777" w:rsidR="00B650E5" w:rsidRPr="00F67888" w:rsidRDefault="00B650E5">
            <w:pPr>
              <w:rPr>
                <w:sz w:val="20"/>
                <w:szCs w:val="20"/>
                <w:lang w:eastAsia="en-US"/>
              </w:rPr>
            </w:pPr>
            <w:r w:rsidRPr="00F67888">
              <w:rPr>
                <w:sz w:val="20"/>
                <w:szCs w:val="20"/>
                <w:lang w:eastAsia="en-US"/>
              </w:rPr>
              <w:t>b.) rozhodnutie zo zisťovacieho konania o tom, že navrhovaná činnosť, resp. zmena navrhovanej činnosti nepodlieha posudzovaniu vplyvov na životné prostredie podľa zákona o posudzovaní vplyvov, alebo</w:t>
            </w:r>
          </w:p>
          <w:p w14:paraId="221D38AB" w14:textId="77777777" w:rsidR="00B650E5" w:rsidRPr="00F67888" w:rsidRDefault="00B650E5">
            <w:pPr>
              <w:rPr>
                <w:sz w:val="20"/>
                <w:szCs w:val="20"/>
                <w:lang w:eastAsia="en-US"/>
              </w:rPr>
            </w:pPr>
            <w:r w:rsidRPr="00F67888">
              <w:rPr>
                <w:sz w:val="20"/>
                <w:szCs w:val="20"/>
                <w:lang w:eastAsia="en-US"/>
              </w:rPr>
              <w:t>c.) rozhodnutie príslušného orgánu podľa § 19 ods. 1 zákona o posudzovaní vplyvov o tom, že navrhovaná činnosť alebo jej zmena nepodlieha posudzovaniu vplyvov na životné prostredie podľa zákona o posudzovaní vplyvov, alebo</w:t>
            </w:r>
          </w:p>
          <w:p w14:paraId="5613B3EA" w14:textId="77777777" w:rsidR="00B650E5" w:rsidRPr="00F67888" w:rsidRDefault="00B650E5">
            <w:pPr>
              <w:rPr>
                <w:sz w:val="20"/>
                <w:szCs w:val="20"/>
                <w:lang w:eastAsia="en-US"/>
              </w:rPr>
            </w:pPr>
            <w:r w:rsidRPr="00F67888">
              <w:rPr>
                <w:sz w:val="20"/>
                <w:szCs w:val="20"/>
                <w:lang w:eastAsia="en-US"/>
              </w:rPr>
              <w:t>d.) stanovisko (vyjadrenie) príslušného orgánu o tom, že navrhovaná činnosť, resp. zmena navrhovanej činnosti nepodlieha posudzovaniu vplyvov na životné prostredie podľa zákona o posudzovaní vplyvov.</w:t>
            </w:r>
            <w:r w:rsidRPr="00F67888">
              <w:rPr>
                <w:sz w:val="20"/>
                <w:szCs w:val="20"/>
                <w:lang w:eastAsia="en-US"/>
              </w:rPr>
              <w:br/>
            </w:r>
            <w:r w:rsidRPr="00F67888">
              <w:rPr>
                <w:sz w:val="20"/>
                <w:szCs w:val="20"/>
                <w:lang w:eastAsia="en-US"/>
              </w:rPr>
              <w:br/>
              <w:t xml:space="preserve">V prípade ŽoNFP, ku ktorým bol vydaný záverečný dokument z procesu posudzovania vplyvov na životné prostredie, bude v rámci konania o ŽoNFP vykonané overenie súladu predmetu predloženého projektu s výstupom z procesu posudzovania vplyvov na životné prostredie podľa zákona o posudzovaní vplyvov. V prípadoch, kde došlo k zmenám projektu, bude potrebné vykonať opätovné </w:t>
            </w:r>
            <w:r w:rsidRPr="00F67888">
              <w:rPr>
                <w:sz w:val="20"/>
                <w:szCs w:val="20"/>
                <w:lang w:eastAsia="en-US"/>
              </w:rPr>
              <w:lastRenderedPageBreak/>
              <w:t>posudzovanie (re-assessment), a v prípade identifikovanej potreby aj opätovné povoľovacie konanie (re-permitting).</w:t>
            </w:r>
          </w:p>
          <w:p w14:paraId="4CE9EFE6" w14:textId="77777777" w:rsidR="00B650E5" w:rsidRPr="00F67888" w:rsidRDefault="00B650E5">
            <w:pPr>
              <w:rPr>
                <w:sz w:val="20"/>
                <w:szCs w:val="20"/>
                <w:lang w:eastAsia="en-US"/>
              </w:rPr>
            </w:pPr>
          </w:p>
          <w:p w14:paraId="45A526DE" w14:textId="6E24950A" w:rsidR="00B650E5" w:rsidRPr="00F67888" w:rsidRDefault="00B650E5" w:rsidP="00C057CA">
            <w:pPr>
              <w:rPr>
                <w:sz w:val="20"/>
                <w:szCs w:val="20"/>
              </w:rPr>
            </w:pPr>
            <w:r w:rsidRPr="00F67888">
              <w:rPr>
                <w:sz w:val="20"/>
                <w:szCs w:val="20"/>
              </w:rPr>
              <w:t>Pri overovaní tejto podmienky RO v prípade potreby spolupracujú s MŽP SR (vecne príslušným útvarom, do pôsobnosti ktorého spadá problematika posudzovania vplyvov na životné prostredie) ako koordinátorom EIA pre EŠIF.</w:t>
            </w:r>
            <w:r w:rsidR="00ED51C9" w:rsidRPr="00F67888">
              <w:rPr>
                <w:sz w:val="20"/>
                <w:szCs w:val="20"/>
              </w:rPr>
              <w:t xml:space="preserve"> Podrobnosti spoluprác</w:t>
            </w:r>
            <w:r w:rsidR="00C057CA" w:rsidRPr="00F67888">
              <w:rPr>
                <w:sz w:val="20"/>
                <w:szCs w:val="20"/>
              </w:rPr>
              <w:t>e</w:t>
            </w:r>
            <w:r w:rsidR="00ED51C9" w:rsidRPr="00F67888">
              <w:rPr>
                <w:sz w:val="20"/>
                <w:szCs w:val="20"/>
              </w:rPr>
              <w:t xml:space="preserve"> upraví </w:t>
            </w:r>
            <w:r w:rsidR="00C057CA" w:rsidRPr="00F67888">
              <w:rPr>
                <w:sz w:val="20"/>
                <w:szCs w:val="20"/>
              </w:rPr>
              <w:t xml:space="preserve">CKO v </w:t>
            </w:r>
            <w:r w:rsidR="00ED51C9" w:rsidRPr="00F67888">
              <w:rPr>
                <w:sz w:val="20"/>
                <w:szCs w:val="20"/>
              </w:rPr>
              <w:t>metodick</w:t>
            </w:r>
            <w:r w:rsidR="00C057CA" w:rsidRPr="00F67888">
              <w:rPr>
                <w:sz w:val="20"/>
                <w:szCs w:val="20"/>
              </w:rPr>
              <w:t>om</w:t>
            </w:r>
            <w:r w:rsidR="00ED51C9" w:rsidRPr="00F67888">
              <w:rPr>
                <w:sz w:val="20"/>
                <w:szCs w:val="20"/>
              </w:rPr>
              <w:t xml:space="preserve"> pokyn</w:t>
            </w:r>
            <w:r w:rsidR="00C057CA" w:rsidRPr="00F67888">
              <w:rPr>
                <w:sz w:val="20"/>
                <w:szCs w:val="20"/>
              </w:rPr>
              <w:t>e</w:t>
            </w:r>
          </w:p>
        </w:tc>
        <w:tc>
          <w:tcPr>
            <w:tcW w:w="2836" w:type="dxa"/>
            <w:vAlign w:val="center"/>
          </w:tcPr>
          <w:p w14:paraId="6BD0E418" w14:textId="77777777" w:rsidR="00B650E5" w:rsidRDefault="00B650E5">
            <w:pPr>
              <w:jc w:val="center"/>
              <w:rPr>
                <w:sz w:val="20"/>
                <w:szCs w:val="20"/>
              </w:rPr>
            </w:pPr>
            <w:r w:rsidRPr="00F67888">
              <w:rPr>
                <w:bCs/>
                <w:iCs/>
                <w:sz w:val="20"/>
                <w:szCs w:val="20"/>
                <w:lang w:eastAsia="en-US"/>
              </w:rPr>
              <w:lastRenderedPageBreak/>
              <w:t>Relevantné pre projekty, ktoré z hľadiska svojich aktivít spadajú pod rozsah posudzovania vplyvov na životné prostredie, ak RO na základe posúdenia oprávnených aktivít výzvy identifikoval tieto aktivity ako spadajúce pod rozsah smernice EIA.</w:t>
            </w:r>
          </w:p>
        </w:tc>
      </w:tr>
      <w:tr w:rsidR="00B650E5" w14:paraId="2F3F3E32" w14:textId="77777777">
        <w:trPr>
          <w:trHeight w:val="1125"/>
        </w:trPr>
        <w:tc>
          <w:tcPr>
            <w:tcW w:w="483" w:type="dxa"/>
            <w:shd w:val="clear" w:color="000000" w:fill="C5D9F1"/>
            <w:vAlign w:val="center"/>
          </w:tcPr>
          <w:p w14:paraId="5EEB306A" w14:textId="77777777" w:rsidR="00B650E5" w:rsidRDefault="00B650E5">
            <w:pPr>
              <w:jc w:val="center"/>
              <w:rPr>
                <w:b/>
                <w:bCs/>
                <w:sz w:val="20"/>
                <w:szCs w:val="20"/>
              </w:rPr>
            </w:pPr>
            <w:r>
              <w:rPr>
                <w:b/>
                <w:bCs/>
                <w:iCs/>
                <w:sz w:val="20"/>
                <w:szCs w:val="20"/>
                <w:lang w:eastAsia="en-US"/>
              </w:rPr>
              <w:lastRenderedPageBreak/>
              <w:t>26.</w:t>
            </w:r>
          </w:p>
        </w:tc>
        <w:tc>
          <w:tcPr>
            <w:tcW w:w="1881" w:type="dxa"/>
            <w:shd w:val="clear" w:color="000000" w:fill="C5D9F1"/>
            <w:vAlign w:val="center"/>
          </w:tcPr>
          <w:p w14:paraId="7FAD2B12" w14:textId="77777777" w:rsidR="00B650E5" w:rsidRDefault="00B650E5">
            <w:pPr>
              <w:jc w:val="center"/>
              <w:rPr>
                <w:sz w:val="20"/>
                <w:szCs w:val="20"/>
              </w:rPr>
            </w:pPr>
            <w:r>
              <w:rPr>
                <w:bCs/>
                <w:iCs/>
                <w:sz w:val="20"/>
                <w:szCs w:val="20"/>
                <w:lang w:eastAsia="en-US"/>
              </w:rPr>
              <w:t> </w:t>
            </w:r>
          </w:p>
        </w:tc>
        <w:tc>
          <w:tcPr>
            <w:tcW w:w="3165" w:type="dxa"/>
            <w:shd w:val="clear" w:color="000000" w:fill="C5D9F1"/>
            <w:vAlign w:val="center"/>
          </w:tcPr>
          <w:p w14:paraId="315A4634" w14:textId="77777777" w:rsidR="00B650E5" w:rsidRDefault="00B650E5">
            <w:pPr>
              <w:jc w:val="center"/>
              <w:rPr>
                <w:sz w:val="20"/>
                <w:szCs w:val="20"/>
              </w:rPr>
            </w:pPr>
            <w:r>
              <w:rPr>
                <w:iCs/>
                <w:sz w:val="20"/>
                <w:szCs w:val="20"/>
                <w:lang w:eastAsia="en-US"/>
              </w:rPr>
              <w:t xml:space="preserve">Podmienka mať vysporiadané majetkovo-právne vzťahy a povolenia na realizáciu aktivít projektu </w:t>
            </w:r>
          </w:p>
        </w:tc>
        <w:tc>
          <w:tcPr>
            <w:tcW w:w="6946" w:type="dxa"/>
            <w:shd w:val="clear" w:color="000000" w:fill="C5D9F1"/>
            <w:vAlign w:val="center"/>
          </w:tcPr>
          <w:p w14:paraId="6F440BAF" w14:textId="77777777" w:rsidR="00B650E5" w:rsidRDefault="00B650E5">
            <w:pPr>
              <w:rPr>
                <w:sz w:val="20"/>
                <w:szCs w:val="20"/>
              </w:rPr>
            </w:pPr>
            <w:r>
              <w:rPr>
                <w:b/>
                <w:bCs/>
                <w:sz w:val="20"/>
                <w:szCs w:val="20"/>
              </w:rPr>
              <w:t>Doklady preukazujúce vysporiadanie majetkovo-právnych vzťahov:</w:t>
            </w:r>
            <w:r>
              <w:rPr>
                <w:sz w:val="20"/>
                <w:szCs w:val="20"/>
              </w:rPr>
              <w:br/>
              <w:t>Doklad preukazujúci vlastnícky alebo iný právny vzťah žiadateľa oprávňujúci žiadateľa užívať všetky nehnuteľnosti/hnuteľné veci, ktoré súvisia s realizáciou projektu v rozsahu zadefinovanej podmienky poskytnutia príspevku (list vlastníctva, nájomná zmluva uzatvorená na dobu minimálne 5 rokov po ukončení realizácie projektu, alebo iný vhodný doklad preukazujúci vlastnícky alebo iný právny vzťah žiadateľa, oprávňujúci ho užívať všetky nehnuteľnosti/hnuteľné veci, na ktorých má byť projekt realizovaný; určenie iného vhodného dokladu podľa predchádzajúcej vety, ktorý môže byť odlišný od dokladov uvedených vyššie ostáva v kompetencii RO. RO vychádza pri definovaní druhu dokladu potrebného na preukázanie majetkovo-právneho vysporiadania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hyperlink w:anchor="kapitola_333" w:tooltip="kapitolou 3.3.3" w:history="1">
              <w:r w:rsidRPr="000E6473">
                <w:rPr>
                  <w:rStyle w:val="Hypertextovprepojenie"/>
                  <w:sz w:val="20"/>
                  <w:szCs w:val="20"/>
                </w:rPr>
                <w:t>kapitolou 3.3.3</w:t>
              </w:r>
            </w:hyperlink>
            <w:r>
              <w:rPr>
                <w:sz w:val="20"/>
                <w:szCs w:val="20"/>
              </w:rPr>
              <w:t xml:space="preserve">. RO na základe analýzy projektov, ktoré sú podporované v rámci OP (ich komplexnosť, náročnosť dokladovania vysporiadania majetkovo-právnych vzťahov, charakter stavby a pod.) môže rozhodnúť, že na preukázanie vysporiadania majetkovo-právnych vzťahov bude postačujúce iba predložene právoplatného rozhodnutia príslušného orgánu o povolení realizácie stavby (napr. právoplatné stavebné povolenie). Rovnako je RO na základe analýzy projektov oprávnený vopred stanoviť, že kontrola vysporiadania majetkovo-právnych vzťahov bude vykonávaná na vzorke (RO zadefinuje spôsob stanovenia vzorky a výkonu overenia vopred).  </w:t>
            </w:r>
            <w:r>
              <w:rPr>
                <w:sz w:val="20"/>
                <w:szCs w:val="20"/>
              </w:rPr>
              <w:br/>
            </w:r>
          </w:p>
          <w:p w14:paraId="20812DC4" w14:textId="0C76A5EF" w:rsidR="00B650E5" w:rsidRDefault="00B650E5">
            <w:pPr>
              <w:rPr>
                <w:sz w:val="20"/>
                <w:szCs w:val="20"/>
              </w:rPr>
            </w:pPr>
            <w:r>
              <w:rPr>
                <w:b/>
                <w:sz w:val="20"/>
                <w:szCs w:val="20"/>
              </w:rPr>
              <w:t>Osobitné povolenie na realizáciu aktivít:</w:t>
            </w:r>
            <w:r>
              <w:rPr>
                <w:sz w:val="20"/>
                <w:szCs w:val="20"/>
              </w:rPr>
              <w:br/>
              <w:t xml:space="preserve">V prípade projektov, ktorých oprávnené aktivity sú viazané na vydanie stavebného povolenia alebo iného povolenia na realizáciu stavby RO určí ako povinnú prílohu predloženie relevantného povolenia v súlade s ustanoveniami stavebného zákona. Súčasťou povinnej prílohy je i povinnosť predložiť projektovú dokumentáciu navrhovanej stavby (ak relevantné). V prípade, ak je realizácia projektu viazaná na </w:t>
            </w:r>
            <w:r>
              <w:rPr>
                <w:sz w:val="20"/>
                <w:szCs w:val="20"/>
              </w:rPr>
              <w:lastRenderedPageBreak/>
              <w:t>iné povolenia relevantných orgánov, RO zadefinuje takéto povolenie ako povinnú prílohu ŽoNFP</w:t>
            </w:r>
          </w:p>
        </w:tc>
        <w:tc>
          <w:tcPr>
            <w:tcW w:w="2836" w:type="dxa"/>
            <w:shd w:val="clear" w:color="000000" w:fill="C5D9F1"/>
            <w:vAlign w:val="center"/>
          </w:tcPr>
          <w:p w14:paraId="16C56EFB" w14:textId="436EEE62" w:rsidR="00B650E5" w:rsidRDefault="00B650E5">
            <w:pPr>
              <w:jc w:val="center"/>
              <w:rPr>
                <w:sz w:val="20"/>
                <w:szCs w:val="20"/>
              </w:rPr>
            </w:pPr>
            <w:r>
              <w:rPr>
                <w:iCs/>
                <w:sz w:val="20"/>
                <w:szCs w:val="20"/>
                <w:lang w:eastAsia="en-US"/>
              </w:rPr>
              <w:lastRenderedPageBreak/>
              <w:t>Relevantné pre prípady, ak podmienka poskytnutia príspevku bola na základe rozhodnutia RO stanovená vo výzve (najmä vo vzťahu k investičným projektom a projektom zameraným na realizáciu stavebných prác)</w:t>
            </w:r>
            <w:r w:rsidR="008361E7">
              <w:rPr>
                <w:iCs/>
                <w:sz w:val="20"/>
                <w:szCs w:val="20"/>
                <w:lang w:eastAsia="en-US"/>
              </w:rPr>
              <w:t>.</w:t>
            </w:r>
          </w:p>
        </w:tc>
      </w:tr>
      <w:tr w:rsidR="00B650E5" w14:paraId="55D534EC" w14:textId="77777777" w:rsidTr="00DE5D89">
        <w:trPr>
          <w:trHeight w:val="2090"/>
        </w:trPr>
        <w:tc>
          <w:tcPr>
            <w:tcW w:w="483" w:type="dxa"/>
            <w:shd w:val="clear" w:color="auto" w:fill="FFFFFF"/>
            <w:vAlign w:val="center"/>
          </w:tcPr>
          <w:p w14:paraId="2841C1AF" w14:textId="77777777" w:rsidR="00B650E5" w:rsidRDefault="00B650E5" w:rsidP="00BF24BA">
            <w:pPr>
              <w:jc w:val="center"/>
              <w:rPr>
                <w:b/>
                <w:bCs/>
                <w:iCs/>
                <w:sz w:val="20"/>
                <w:szCs w:val="20"/>
                <w:lang w:eastAsia="en-US"/>
              </w:rPr>
            </w:pPr>
            <w:r>
              <w:rPr>
                <w:b/>
                <w:bCs/>
                <w:iCs/>
                <w:sz w:val="20"/>
                <w:szCs w:val="20"/>
                <w:lang w:eastAsia="en-US"/>
              </w:rPr>
              <w:lastRenderedPageBreak/>
              <w:t>27.</w:t>
            </w:r>
          </w:p>
        </w:tc>
        <w:tc>
          <w:tcPr>
            <w:tcW w:w="1881" w:type="dxa"/>
            <w:shd w:val="clear" w:color="auto" w:fill="FFFFFF"/>
            <w:vAlign w:val="center"/>
          </w:tcPr>
          <w:p w14:paraId="7DB00EEB" w14:textId="77777777" w:rsidR="00B650E5" w:rsidRDefault="00B650E5">
            <w:pPr>
              <w:jc w:val="center"/>
              <w:rPr>
                <w:bCs/>
                <w:iCs/>
                <w:sz w:val="20"/>
                <w:szCs w:val="20"/>
                <w:lang w:eastAsia="en-US"/>
              </w:rPr>
            </w:pPr>
          </w:p>
        </w:tc>
        <w:tc>
          <w:tcPr>
            <w:tcW w:w="3165" w:type="dxa"/>
            <w:shd w:val="clear" w:color="auto" w:fill="FFFFFF"/>
            <w:vAlign w:val="center"/>
          </w:tcPr>
          <w:p w14:paraId="66393DFC" w14:textId="77777777" w:rsidR="00B650E5" w:rsidRDefault="00B650E5">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46" w:type="dxa"/>
            <w:shd w:val="clear" w:color="auto" w:fill="FFFFFF"/>
            <w:vAlign w:val="center"/>
          </w:tcPr>
          <w:p w14:paraId="3D0BED0D" w14:textId="77777777" w:rsidR="00D901D7" w:rsidRPr="00D901D7" w:rsidRDefault="00D901D7" w:rsidP="00D901D7">
            <w:pPr>
              <w:jc w:val="both"/>
              <w:rPr>
                <w:bCs/>
                <w:sz w:val="20"/>
                <w:szCs w:val="20"/>
              </w:rPr>
            </w:pPr>
            <w:r w:rsidRPr="00D901D7">
              <w:rPr>
                <w:bCs/>
                <w:sz w:val="20"/>
                <w:szCs w:val="20"/>
              </w:rPr>
              <w:t>Vyjadrenie okresného úradu podľa § 9 ods. 2 zákona o ochrane prírody a krajiny, podľa ktorého projekt nespĺňa znaky plánov a projektu, ktorý pravdepodobne bude mať vplyv na územie patriace do európskej sústavy chránených území Natura 2000</w:t>
            </w:r>
            <w:r w:rsidR="00F67888">
              <w:rPr>
                <w:bCs/>
                <w:sz w:val="20"/>
                <w:szCs w:val="20"/>
              </w:rPr>
              <w:t>,</w:t>
            </w:r>
            <w:r w:rsidRPr="00D901D7">
              <w:rPr>
                <w:bCs/>
                <w:sz w:val="20"/>
                <w:szCs w:val="20"/>
              </w:rPr>
              <w:t xml:space="preserve"> </w:t>
            </w:r>
          </w:p>
          <w:p w14:paraId="0D91D2E8" w14:textId="77777777" w:rsidR="00D901D7" w:rsidRPr="00D901D7" w:rsidRDefault="00D901D7" w:rsidP="00D901D7">
            <w:pPr>
              <w:jc w:val="both"/>
              <w:rPr>
                <w:bCs/>
                <w:sz w:val="20"/>
                <w:szCs w:val="20"/>
              </w:rPr>
            </w:pPr>
            <w:r w:rsidRPr="00D901D7">
              <w:rPr>
                <w:bCs/>
                <w:sz w:val="20"/>
                <w:szCs w:val="20"/>
              </w:rPr>
              <w:t>alebo</w:t>
            </w:r>
          </w:p>
          <w:p w14:paraId="2E54D730" w14:textId="3EC87AB2" w:rsidR="00D901D7" w:rsidRDefault="00D901D7" w:rsidP="001B709E">
            <w:pPr>
              <w:rPr>
                <w:bCs/>
                <w:sz w:val="20"/>
                <w:szCs w:val="20"/>
              </w:rPr>
            </w:pPr>
            <w:r w:rsidRPr="00D901D7">
              <w:rPr>
                <w:bCs/>
                <w:sz w:val="20"/>
                <w:szCs w:val="20"/>
              </w:rPr>
              <w:t>Odborné stanovisko (formou rozhodnutia) okresného úradu v sídle kraja podľa § 28 zákona o ochrane prírody a krajiny, ak ide o projekt, ktorý spĺňa znaky projektu, ktorý pravdepodobne môže mať samostatne alebo v kombinácii s iným plánom a projektom významný vplyv na územie patriace do európskej sústavy chránených území Natura 2000. Z rozhodnutia musí byť zrejmé, že aktivity projektu pravdepodobne nebudú mať významný nepriaznivý vplyv na územie patriace do európskej sústavy chránených území Natura 2000</w:t>
            </w:r>
          </w:p>
        </w:tc>
        <w:tc>
          <w:tcPr>
            <w:tcW w:w="2836" w:type="dxa"/>
            <w:shd w:val="clear" w:color="auto" w:fill="FFFFFF"/>
            <w:vAlign w:val="center"/>
          </w:tcPr>
          <w:p w14:paraId="07D01C2A" w14:textId="77777777" w:rsidR="00B650E5" w:rsidRDefault="00B650E5" w:rsidP="00BD5FD5">
            <w:pPr>
              <w:jc w:val="center"/>
              <w:rPr>
                <w:iCs/>
                <w:sz w:val="20"/>
                <w:szCs w:val="20"/>
                <w:lang w:eastAsia="en-US"/>
              </w:rPr>
            </w:pPr>
            <w:r>
              <w:rPr>
                <w:bCs/>
                <w:iCs/>
                <w:sz w:val="20"/>
                <w:szCs w:val="20"/>
                <w:lang w:eastAsia="en-US"/>
              </w:rPr>
              <w:t xml:space="preserve">Relevantné pre investičné projekty a plány, kde je potrebné zabezpečiť súlad s požiadavkami v súlade so zákonom o ochrane prírody a krajiny. Nerelevantné pre plány a projekty, </w:t>
            </w:r>
            <w:r w:rsidRPr="000E286B">
              <w:rPr>
                <w:bCs/>
                <w:iCs/>
                <w:sz w:val="20"/>
                <w:szCs w:val="20"/>
                <w:lang w:eastAsia="en-US"/>
              </w:rPr>
              <w:t>ktoré sú predmetom posudzovania vplyvov podľa zákona o posudzovaní vplyvov.</w:t>
            </w:r>
            <w:r>
              <w:rPr>
                <w:rFonts w:ascii="Segoe UI" w:hAnsi="Segoe UI" w:cs="Segoe UI"/>
                <w:color w:val="494949"/>
                <w:sz w:val="21"/>
                <w:szCs w:val="21"/>
                <w:shd w:val="clear" w:color="auto" w:fill="FFFFFF"/>
              </w:rPr>
              <w:t xml:space="preserve"> </w:t>
            </w:r>
            <w:r>
              <w:rPr>
                <w:bCs/>
                <w:iCs/>
                <w:sz w:val="20"/>
                <w:szCs w:val="20"/>
                <w:lang w:eastAsia="en-US"/>
              </w:rPr>
              <w:t xml:space="preserve"> </w:t>
            </w:r>
          </w:p>
        </w:tc>
      </w:tr>
      <w:tr w:rsidR="00B650E5" w14:paraId="0D9167BE" w14:textId="77777777">
        <w:trPr>
          <w:trHeight w:val="663"/>
        </w:trPr>
        <w:tc>
          <w:tcPr>
            <w:tcW w:w="483" w:type="dxa"/>
            <w:shd w:val="clear" w:color="000000" w:fill="C5D9F1"/>
            <w:vAlign w:val="center"/>
          </w:tcPr>
          <w:p w14:paraId="6F5C2E61" w14:textId="77777777" w:rsidR="00B650E5" w:rsidRDefault="00B650E5" w:rsidP="00BF24BA">
            <w:pPr>
              <w:jc w:val="center"/>
              <w:rPr>
                <w:b/>
                <w:bCs/>
                <w:sz w:val="20"/>
                <w:szCs w:val="20"/>
              </w:rPr>
            </w:pPr>
            <w:r>
              <w:rPr>
                <w:b/>
                <w:bCs/>
                <w:iCs/>
                <w:sz w:val="20"/>
                <w:szCs w:val="20"/>
                <w:lang w:eastAsia="en-US"/>
              </w:rPr>
              <w:t>28.</w:t>
            </w:r>
          </w:p>
        </w:tc>
        <w:tc>
          <w:tcPr>
            <w:tcW w:w="1881" w:type="dxa"/>
            <w:shd w:val="clear" w:color="000000" w:fill="C5D9F1"/>
            <w:vAlign w:val="center"/>
          </w:tcPr>
          <w:p w14:paraId="3E6C279D" w14:textId="77777777" w:rsidR="00B650E5" w:rsidRDefault="00B650E5">
            <w:pPr>
              <w:jc w:val="center"/>
              <w:rPr>
                <w:sz w:val="20"/>
                <w:szCs w:val="20"/>
              </w:rPr>
            </w:pPr>
            <w:r>
              <w:rPr>
                <w:sz w:val="20"/>
                <w:szCs w:val="20"/>
              </w:rPr>
              <w:t> </w:t>
            </w:r>
          </w:p>
        </w:tc>
        <w:tc>
          <w:tcPr>
            <w:tcW w:w="3165" w:type="dxa"/>
            <w:shd w:val="clear" w:color="000000" w:fill="C5D9F1"/>
            <w:vAlign w:val="center"/>
          </w:tcPr>
          <w:p w14:paraId="56388CEC" w14:textId="77777777" w:rsidR="00B650E5" w:rsidRDefault="00B650E5">
            <w:pPr>
              <w:jc w:val="center"/>
              <w:rPr>
                <w:sz w:val="20"/>
                <w:szCs w:val="20"/>
              </w:rPr>
            </w:pPr>
            <w:r>
              <w:rPr>
                <w:sz w:val="20"/>
                <w:szCs w:val="20"/>
              </w:rPr>
              <w:t>Podmienka predloženia hodnotiacej správy  projektového zámeru</w:t>
            </w:r>
          </w:p>
        </w:tc>
        <w:tc>
          <w:tcPr>
            <w:tcW w:w="6946" w:type="dxa"/>
            <w:shd w:val="clear" w:color="000000" w:fill="C5D9F1"/>
            <w:vAlign w:val="center"/>
          </w:tcPr>
          <w:p w14:paraId="5283203C" w14:textId="77777777" w:rsidR="00B650E5" w:rsidRDefault="00B650E5" w:rsidP="00DC7971">
            <w:pPr>
              <w:rPr>
                <w:sz w:val="20"/>
                <w:szCs w:val="20"/>
                <w:lang w:eastAsia="en-US"/>
              </w:rPr>
            </w:pPr>
            <w:r>
              <w:rPr>
                <w:b/>
                <w:bCs/>
                <w:sz w:val="20"/>
                <w:szCs w:val="20"/>
              </w:rPr>
              <w:t xml:space="preserve">Forma preukázania: </w:t>
            </w:r>
            <w:r w:rsidRPr="001B709E">
              <w:rPr>
                <w:bCs/>
                <w:sz w:val="20"/>
                <w:szCs w:val="20"/>
                <w:lang w:eastAsia="en-US"/>
              </w:rPr>
              <w:t>Hodnotiaca správa projektového zámeru</w:t>
            </w:r>
            <w:r>
              <w:rPr>
                <w:sz w:val="20"/>
                <w:szCs w:val="20"/>
                <w:lang w:eastAsia="en-US"/>
              </w:rPr>
              <w:t>, ktorá je v dispozícii RO</w:t>
            </w:r>
          </w:p>
          <w:p w14:paraId="0B788A39" w14:textId="77777777" w:rsidR="00B650E5" w:rsidRDefault="00B650E5" w:rsidP="00DC7971">
            <w:pPr>
              <w:rPr>
                <w:sz w:val="20"/>
                <w:szCs w:val="20"/>
              </w:rPr>
            </w:pPr>
            <w:r w:rsidRPr="000B18B1">
              <w:rPr>
                <w:b/>
                <w:sz w:val="20"/>
                <w:szCs w:val="20"/>
              </w:rPr>
              <w:t>Spôsob overenia:</w:t>
            </w:r>
            <w:r>
              <w:rPr>
                <w:sz w:val="20"/>
                <w:szCs w:val="20"/>
                <w:lang w:eastAsia="en-US"/>
              </w:rPr>
              <w:t xml:space="preserve"> Hodnotiaca správa projektového zámeru</w:t>
            </w:r>
          </w:p>
        </w:tc>
        <w:tc>
          <w:tcPr>
            <w:tcW w:w="2836" w:type="dxa"/>
            <w:shd w:val="clear" w:color="000000" w:fill="C5D9F1"/>
            <w:vAlign w:val="center"/>
          </w:tcPr>
          <w:p w14:paraId="2A5B59D1" w14:textId="11BC0224" w:rsidR="00B650E5" w:rsidRDefault="00B650E5" w:rsidP="0028265C">
            <w:pPr>
              <w:jc w:val="center"/>
              <w:rPr>
                <w:sz w:val="20"/>
                <w:szCs w:val="20"/>
              </w:rPr>
            </w:pPr>
            <w:r>
              <w:rPr>
                <w:bCs/>
                <w:iCs/>
                <w:sz w:val="20"/>
                <w:szCs w:val="20"/>
                <w:lang w:eastAsia="en-US"/>
              </w:rPr>
              <w:t>Relevantné pre prípady, ak RO využil dvojkolový systém výberu ŽoNFP</w:t>
            </w:r>
            <w:r w:rsidR="008361E7">
              <w:rPr>
                <w:bCs/>
                <w:iCs/>
                <w:sz w:val="20"/>
                <w:szCs w:val="20"/>
                <w:lang w:eastAsia="en-US"/>
              </w:rPr>
              <w:t>.</w:t>
            </w:r>
          </w:p>
        </w:tc>
      </w:tr>
      <w:tr w:rsidR="00B650E5" w14:paraId="14F5FBBB" w14:textId="77777777">
        <w:trPr>
          <w:trHeight w:val="970"/>
        </w:trPr>
        <w:tc>
          <w:tcPr>
            <w:tcW w:w="483" w:type="dxa"/>
            <w:vAlign w:val="center"/>
          </w:tcPr>
          <w:p w14:paraId="1E459C12" w14:textId="77777777" w:rsidR="00B650E5" w:rsidRDefault="00B650E5" w:rsidP="00DC7971">
            <w:pPr>
              <w:jc w:val="center"/>
              <w:rPr>
                <w:b/>
                <w:bCs/>
                <w:sz w:val="20"/>
                <w:szCs w:val="20"/>
              </w:rPr>
            </w:pPr>
            <w:r>
              <w:rPr>
                <w:b/>
                <w:bCs/>
                <w:iCs/>
                <w:sz w:val="20"/>
                <w:szCs w:val="20"/>
                <w:lang w:eastAsia="en-US"/>
              </w:rPr>
              <w:t>29.</w:t>
            </w:r>
          </w:p>
        </w:tc>
        <w:tc>
          <w:tcPr>
            <w:tcW w:w="1881" w:type="dxa"/>
            <w:vAlign w:val="center"/>
          </w:tcPr>
          <w:p w14:paraId="6F813348" w14:textId="77777777" w:rsidR="00B650E5" w:rsidRDefault="00B650E5">
            <w:pPr>
              <w:jc w:val="center"/>
              <w:rPr>
                <w:sz w:val="20"/>
                <w:szCs w:val="20"/>
              </w:rPr>
            </w:pPr>
            <w:r>
              <w:rPr>
                <w:iCs/>
                <w:sz w:val="20"/>
                <w:szCs w:val="20"/>
                <w:lang w:eastAsia="en-US"/>
              </w:rPr>
              <w:t> </w:t>
            </w:r>
          </w:p>
        </w:tc>
        <w:tc>
          <w:tcPr>
            <w:tcW w:w="3165" w:type="dxa"/>
            <w:vAlign w:val="center"/>
          </w:tcPr>
          <w:p w14:paraId="4A993BB4" w14:textId="77777777" w:rsidR="00B650E5" w:rsidRDefault="00B650E5">
            <w:pPr>
              <w:jc w:val="center"/>
              <w:rPr>
                <w:sz w:val="20"/>
                <w:szCs w:val="20"/>
              </w:rPr>
            </w:pPr>
            <w:r>
              <w:rPr>
                <w:iCs/>
                <w:sz w:val="20"/>
                <w:szCs w:val="20"/>
                <w:lang w:eastAsia="en-US"/>
              </w:rPr>
              <w:t>Oprávnenosť z hľadiska súladu s HP</w:t>
            </w:r>
          </w:p>
        </w:tc>
        <w:tc>
          <w:tcPr>
            <w:tcW w:w="6946" w:type="dxa"/>
            <w:vAlign w:val="center"/>
          </w:tcPr>
          <w:p w14:paraId="73944D9E" w14:textId="2C17D356" w:rsidR="00B650E5" w:rsidRDefault="00B650E5">
            <w:pPr>
              <w:rPr>
                <w:sz w:val="20"/>
                <w:szCs w:val="20"/>
              </w:rPr>
            </w:pP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p>
        </w:tc>
        <w:tc>
          <w:tcPr>
            <w:tcW w:w="2836" w:type="dxa"/>
            <w:vAlign w:val="center"/>
          </w:tcPr>
          <w:p w14:paraId="1B728F73" w14:textId="77777777" w:rsidR="00B650E5" w:rsidRDefault="00B650E5">
            <w:pPr>
              <w:jc w:val="center"/>
              <w:rPr>
                <w:sz w:val="20"/>
                <w:szCs w:val="20"/>
              </w:rPr>
            </w:pPr>
            <w:r>
              <w:rPr>
                <w:sz w:val="20"/>
                <w:szCs w:val="20"/>
              </w:rPr>
              <w:t>Relevantné pre prípady, ak súlad s HP nie je overovaný po dohode s gestorom HP v rámci odborného hodnotenia ŽoNFP.</w:t>
            </w:r>
          </w:p>
        </w:tc>
      </w:tr>
      <w:tr w:rsidR="00B650E5" w14:paraId="4EFF2542" w14:textId="77777777" w:rsidTr="00DE5D89">
        <w:trPr>
          <w:trHeight w:val="970"/>
        </w:trPr>
        <w:tc>
          <w:tcPr>
            <w:tcW w:w="483" w:type="dxa"/>
            <w:shd w:val="clear" w:color="auto" w:fill="C6D9F1"/>
            <w:vAlign w:val="center"/>
          </w:tcPr>
          <w:p w14:paraId="3BC6FD51" w14:textId="77777777" w:rsidR="00B650E5" w:rsidRDefault="00B650E5" w:rsidP="00DC7971">
            <w:pPr>
              <w:jc w:val="center"/>
              <w:rPr>
                <w:b/>
                <w:bCs/>
                <w:iCs/>
                <w:sz w:val="20"/>
                <w:szCs w:val="20"/>
                <w:lang w:eastAsia="en-US"/>
              </w:rPr>
            </w:pPr>
            <w:r>
              <w:rPr>
                <w:b/>
                <w:bCs/>
                <w:iCs/>
                <w:sz w:val="20"/>
                <w:szCs w:val="20"/>
                <w:lang w:eastAsia="en-US"/>
              </w:rPr>
              <w:t>30.</w:t>
            </w:r>
          </w:p>
        </w:tc>
        <w:tc>
          <w:tcPr>
            <w:tcW w:w="1881" w:type="dxa"/>
            <w:shd w:val="clear" w:color="auto" w:fill="C6D9F1"/>
            <w:vAlign w:val="center"/>
          </w:tcPr>
          <w:p w14:paraId="5BF0D1BC" w14:textId="77777777" w:rsidR="00B650E5" w:rsidRPr="009078F6" w:rsidRDefault="00B650E5">
            <w:pPr>
              <w:jc w:val="center"/>
              <w:rPr>
                <w:iCs/>
                <w:sz w:val="20"/>
                <w:szCs w:val="20"/>
                <w:lang w:eastAsia="en-US"/>
              </w:rPr>
            </w:pPr>
          </w:p>
        </w:tc>
        <w:tc>
          <w:tcPr>
            <w:tcW w:w="3165" w:type="dxa"/>
            <w:shd w:val="clear" w:color="auto" w:fill="C6D9F1"/>
            <w:vAlign w:val="center"/>
          </w:tcPr>
          <w:p w14:paraId="40AAF3CF" w14:textId="77777777" w:rsidR="00B650E5" w:rsidRPr="007A00B7" w:rsidRDefault="00B650E5">
            <w:pPr>
              <w:jc w:val="center"/>
              <w:rPr>
                <w:iCs/>
                <w:sz w:val="20"/>
                <w:szCs w:val="20"/>
                <w:lang w:eastAsia="en-US"/>
              </w:rPr>
            </w:pPr>
            <w:r w:rsidRPr="009078F6">
              <w:rPr>
                <w:iCs/>
                <w:sz w:val="20"/>
                <w:szCs w:val="20"/>
                <w:lang w:eastAsia="en-US"/>
              </w:rPr>
              <w:t>Maximálna a minimálna výška príspevku</w:t>
            </w:r>
          </w:p>
        </w:tc>
        <w:tc>
          <w:tcPr>
            <w:tcW w:w="6946" w:type="dxa"/>
            <w:shd w:val="clear" w:color="auto" w:fill="C6D9F1"/>
            <w:vAlign w:val="center"/>
          </w:tcPr>
          <w:p w14:paraId="79583638" w14:textId="29134776" w:rsidR="00B650E5" w:rsidRPr="007A00B7" w:rsidRDefault="00B650E5">
            <w:pPr>
              <w:rPr>
                <w:sz w:val="20"/>
                <w:szCs w:val="20"/>
              </w:rPr>
            </w:pPr>
            <w:r w:rsidRPr="007A00B7">
              <w:rPr>
                <w:sz w:val="20"/>
                <w:szCs w:val="20"/>
              </w:rPr>
              <w:t>V prípade potreby RO definuje maximálnu a minimálnu výšku príspevku pre projekt</w:t>
            </w:r>
          </w:p>
        </w:tc>
        <w:tc>
          <w:tcPr>
            <w:tcW w:w="2836" w:type="dxa"/>
            <w:shd w:val="clear" w:color="auto" w:fill="C6D9F1"/>
            <w:vAlign w:val="center"/>
          </w:tcPr>
          <w:p w14:paraId="4825035F" w14:textId="77777777" w:rsidR="00B650E5" w:rsidRDefault="00B650E5">
            <w:pPr>
              <w:jc w:val="center"/>
              <w:rPr>
                <w:sz w:val="20"/>
                <w:szCs w:val="20"/>
              </w:rPr>
            </w:pPr>
          </w:p>
        </w:tc>
      </w:tr>
      <w:tr w:rsidR="00B650E5" w14:paraId="129B653A" w14:textId="77777777">
        <w:trPr>
          <w:trHeight w:val="970"/>
        </w:trPr>
        <w:tc>
          <w:tcPr>
            <w:tcW w:w="483" w:type="dxa"/>
            <w:vAlign w:val="center"/>
          </w:tcPr>
          <w:p w14:paraId="2D453556" w14:textId="77777777" w:rsidR="00B650E5" w:rsidRDefault="00B650E5">
            <w:pPr>
              <w:jc w:val="center"/>
              <w:rPr>
                <w:b/>
                <w:bCs/>
                <w:iCs/>
                <w:sz w:val="20"/>
                <w:szCs w:val="20"/>
                <w:lang w:eastAsia="en-US"/>
              </w:rPr>
            </w:pPr>
            <w:r>
              <w:rPr>
                <w:b/>
                <w:bCs/>
                <w:iCs/>
                <w:sz w:val="20"/>
                <w:szCs w:val="20"/>
                <w:lang w:eastAsia="en-US"/>
              </w:rPr>
              <w:t>31.</w:t>
            </w:r>
          </w:p>
        </w:tc>
        <w:tc>
          <w:tcPr>
            <w:tcW w:w="1881" w:type="dxa"/>
            <w:vAlign w:val="center"/>
          </w:tcPr>
          <w:p w14:paraId="531BEE58" w14:textId="77777777" w:rsidR="00B650E5" w:rsidRDefault="00B650E5">
            <w:pPr>
              <w:jc w:val="center"/>
              <w:rPr>
                <w:iCs/>
                <w:sz w:val="20"/>
                <w:szCs w:val="20"/>
                <w:lang w:eastAsia="en-US"/>
              </w:rPr>
            </w:pPr>
          </w:p>
        </w:tc>
        <w:tc>
          <w:tcPr>
            <w:tcW w:w="3165" w:type="dxa"/>
            <w:vAlign w:val="center"/>
          </w:tcPr>
          <w:p w14:paraId="71939875" w14:textId="77777777" w:rsidR="00B650E5" w:rsidRDefault="00B650E5">
            <w:pPr>
              <w:jc w:val="center"/>
              <w:rPr>
                <w:iCs/>
                <w:sz w:val="20"/>
                <w:szCs w:val="20"/>
                <w:lang w:eastAsia="en-US"/>
              </w:rPr>
            </w:pPr>
            <w:r>
              <w:rPr>
                <w:iCs/>
                <w:sz w:val="20"/>
                <w:szCs w:val="20"/>
                <w:lang w:eastAsia="en-US"/>
              </w:rPr>
              <w:t>Časová oprávnenosť realizácie projektu</w:t>
            </w:r>
          </w:p>
        </w:tc>
        <w:tc>
          <w:tcPr>
            <w:tcW w:w="6946" w:type="dxa"/>
            <w:vAlign w:val="center"/>
          </w:tcPr>
          <w:p w14:paraId="464CAF53" w14:textId="63A93CB4" w:rsidR="00B650E5" w:rsidRDefault="00B650E5">
            <w:pPr>
              <w:rPr>
                <w:sz w:val="20"/>
                <w:szCs w:val="20"/>
              </w:rPr>
            </w:pPr>
            <w:r>
              <w:rPr>
                <w:sz w:val="20"/>
                <w:szCs w:val="20"/>
              </w:rPr>
              <w:t>V prípade potreby RO definuje požiadavky na maximálnu a minimálnu dĺžku realizácie projektu</w:t>
            </w:r>
          </w:p>
        </w:tc>
        <w:tc>
          <w:tcPr>
            <w:tcW w:w="2836" w:type="dxa"/>
            <w:vAlign w:val="center"/>
          </w:tcPr>
          <w:p w14:paraId="06EECF82" w14:textId="77777777" w:rsidR="00B650E5" w:rsidRDefault="00B650E5">
            <w:pPr>
              <w:jc w:val="center"/>
              <w:rPr>
                <w:sz w:val="20"/>
                <w:szCs w:val="20"/>
              </w:rPr>
            </w:pPr>
            <w:r>
              <w:rPr>
                <w:sz w:val="20"/>
                <w:szCs w:val="20"/>
              </w:rPr>
              <w:t>Aj v prípade, keď nie je stanovené obmedzenie týkajúce sa časovej oprávnenosti projektov, ustanovenia týkajúce sa konečného termínu na vznik oprávnených výdavkov v súlade so všeobecným nariadením musia byť dodržané</w:t>
            </w:r>
            <w:r w:rsidR="00F67888">
              <w:rPr>
                <w:sz w:val="20"/>
                <w:szCs w:val="20"/>
              </w:rPr>
              <w:t>.</w:t>
            </w:r>
            <w:r>
              <w:rPr>
                <w:sz w:val="20"/>
                <w:szCs w:val="20"/>
              </w:rPr>
              <w:t xml:space="preserve"> </w:t>
            </w:r>
          </w:p>
        </w:tc>
      </w:tr>
      <w:tr w:rsidR="00B650E5" w14:paraId="07B51A29" w14:textId="77777777" w:rsidTr="00DE5D89">
        <w:trPr>
          <w:trHeight w:val="970"/>
        </w:trPr>
        <w:tc>
          <w:tcPr>
            <w:tcW w:w="483" w:type="dxa"/>
            <w:shd w:val="clear" w:color="auto" w:fill="C6D9F1"/>
            <w:vAlign w:val="center"/>
          </w:tcPr>
          <w:p w14:paraId="6E8721FB" w14:textId="77777777" w:rsidR="00B650E5" w:rsidRDefault="00B650E5" w:rsidP="00BF24BA">
            <w:pPr>
              <w:jc w:val="center"/>
              <w:rPr>
                <w:b/>
                <w:bCs/>
                <w:iCs/>
                <w:sz w:val="20"/>
                <w:szCs w:val="20"/>
                <w:lang w:eastAsia="en-US"/>
              </w:rPr>
            </w:pPr>
            <w:r>
              <w:rPr>
                <w:b/>
                <w:bCs/>
                <w:iCs/>
                <w:sz w:val="20"/>
                <w:szCs w:val="20"/>
                <w:lang w:eastAsia="en-US"/>
              </w:rPr>
              <w:lastRenderedPageBreak/>
              <w:t>32.</w:t>
            </w:r>
          </w:p>
        </w:tc>
        <w:tc>
          <w:tcPr>
            <w:tcW w:w="1881" w:type="dxa"/>
            <w:shd w:val="clear" w:color="auto" w:fill="C6D9F1"/>
            <w:vAlign w:val="center"/>
          </w:tcPr>
          <w:p w14:paraId="512F9810" w14:textId="77777777" w:rsidR="00B650E5" w:rsidRDefault="00B650E5">
            <w:pPr>
              <w:jc w:val="center"/>
              <w:rPr>
                <w:iCs/>
                <w:sz w:val="20"/>
                <w:szCs w:val="20"/>
                <w:lang w:eastAsia="en-US"/>
              </w:rPr>
            </w:pPr>
          </w:p>
        </w:tc>
        <w:tc>
          <w:tcPr>
            <w:tcW w:w="3165" w:type="dxa"/>
            <w:shd w:val="clear" w:color="auto" w:fill="C6D9F1"/>
            <w:vAlign w:val="center"/>
          </w:tcPr>
          <w:p w14:paraId="29E97DA6" w14:textId="77777777" w:rsidR="00B650E5" w:rsidRDefault="00B650E5" w:rsidP="00DE5D89">
            <w:pPr>
              <w:jc w:val="center"/>
              <w:rPr>
                <w:iCs/>
                <w:sz w:val="20"/>
                <w:szCs w:val="20"/>
                <w:lang w:eastAsia="en-US"/>
              </w:rPr>
            </w:pPr>
            <w:r>
              <w:rPr>
                <w:iCs/>
                <w:sz w:val="20"/>
                <w:szCs w:val="20"/>
                <w:lang w:eastAsia="en-US"/>
              </w:rPr>
              <w:t>Podmienky poskytnutia príspevku z hľadiska definovania merateľných ukazovateľov projektu</w:t>
            </w:r>
          </w:p>
        </w:tc>
        <w:tc>
          <w:tcPr>
            <w:tcW w:w="6946" w:type="dxa"/>
            <w:shd w:val="clear" w:color="auto" w:fill="C6D9F1"/>
            <w:vAlign w:val="center"/>
          </w:tcPr>
          <w:p w14:paraId="7D8608FE" w14:textId="6E8AA020" w:rsidR="00B650E5" w:rsidRDefault="00B650E5">
            <w:pPr>
              <w:rPr>
                <w:sz w:val="20"/>
                <w:szCs w:val="20"/>
              </w:rPr>
            </w:pPr>
            <w:r>
              <w:rPr>
                <w:sz w:val="20"/>
                <w:szCs w:val="20"/>
              </w:rPr>
              <w:t>RO definuje podmienky z hľadiska povinného definovania merateľných ukazovateľov projektu</w:t>
            </w:r>
          </w:p>
        </w:tc>
        <w:tc>
          <w:tcPr>
            <w:tcW w:w="2836" w:type="dxa"/>
            <w:shd w:val="clear" w:color="auto" w:fill="C6D9F1"/>
            <w:vAlign w:val="center"/>
          </w:tcPr>
          <w:p w14:paraId="1A13E140" w14:textId="77777777" w:rsidR="00B650E5" w:rsidRDefault="00B650E5">
            <w:pPr>
              <w:jc w:val="center"/>
              <w:rPr>
                <w:sz w:val="20"/>
                <w:szCs w:val="20"/>
              </w:rPr>
            </w:pPr>
          </w:p>
        </w:tc>
      </w:tr>
      <w:tr w:rsidR="00B650E5" w14:paraId="045A8F69" w14:textId="77777777">
        <w:trPr>
          <w:trHeight w:val="1128"/>
        </w:trPr>
        <w:tc>
          <w:tcPr>
            <w:tcW w:w="483" w:type="dxa"/>
            <w:vAlign w:val="center"/>
          </w:tcPr>
          <w:p w14:paraId="49B95C6D" w14:textId="77777777" w:rsidR="00B650E5" w:rsidRDefault="00B650E5" w:rsidP="00BF24BA">
            <w:pPr>
              <w:jc w:val="center"/>
              <w:rPr>
                <w:b/>
                <w:bCs/>
                <w:sz w:val="20"/>
                <w:szCs w:val="20"/>
              </w:rPr>
            </w:pPr>
            <w:r>
              <w:rPr>
                <w:b/>
                <w:bCs/>
                <w:iCs/>
                <w:sz w:val="20"/>
                <w:szCs w:val="20"/>
                <w:lang w:eastAsia="en-US"/>
              </w:rPr>
              <w:t>33.</w:t>
            </w:r>
          </w:p>
        </w:tc>
        <w:tc>
          <w:tcPr>
            <w:tcW w:w="1881" w:type="dxa"/>
            <w:vAlign w:val="center"/>
          </w:tcPr>
          <w:p w14:paraId="671BB104" w14:textId="77777777" w:rsidR="00B650E5" w:rsidRDefault="00B650E5">
            <w:pPr>
              <w:jc w:val="center"/>
              <w:rPr>
                <w:sz w:val="20"/>
                <w:szCs w:val="20"/>
              </w:rPr>
            </w:pPr>
          </w:p>
        </w:tc>
        <w:tc>
          <w:tcPr>
            <w:tcW w:w="3165" w:type="dxa"/>
            <w:vAlign w:val="center"/>
          </w:tcPr>
          <w:p w14:paraId="2C62C41D" w14:textId="77777777" w:rsidR="00B650E5" w:rsidRDefault="00B650E5">
            <w:pPr>
              <w:jc w:val="center"/>
              <w:rPr>
                <w:sz w:val="20"/>
                <w:szCs w:val="20"/>
              </w:rPr>
            </w:pPr>
            <w:r>
              <w:rPr>
                <w:sz w:val="20"/>
                <w:szCs w:val="20"/>
              </w:rPr>
              <w:t>Podmienky definované RO vo výzve na základe špecifík jednotlivých OP a nedefinovaných v rámci ostatných kategórií podmienok poskytnutia príspevku</w:t>
            </w:r>
          </w:p>
        </w:tc>
        <w:tc>
          <w:tcPr>
            <w:tcW w:w="6946" w:type="dxa"/>
            <w:vAlign w:val="center"/>
          </w:tcPr>
          <w:p w14:paraId="640A6852" w14:textId="572DEA8D" w:rsidR="00B650E5" w:rsidRDefault="00B650E5">
            <w:pPr>
              <w:rPr>
                <w:sz w:val="20"/>
                <w:szCs w:val="20"/>
              </w:rPr>
            </w:pP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p>
        </w:tc>
        <w:tc>
          <w:tcPr>
            <w:tcW w:w="2836" w:type="dxa"/>
            <w:vAlign w:val="center"/>
          </w:tcPr>
          <w:p w14:paraId="7E50FF2E" w14:textId="77777777" w:rsidR="00B650E5" w:rsidRDefault="00B650E5">
            <w:pPr>
              <w:jc w:val="center"/>
              <w:rPr>
                <w:sz w:val="20"/>
                <w:szCs w:val="20"/>
              </w:rPr>
            </w:pPr>
            <w:r>
              <w:rPr>
                <w:iCs/>
                <w:sz w:val="20"/>
                <w:szCs w:val="20"/>
                <w:lang w:eastAsia="en-US"/>
              </w:rPr>
              <w:t> </w:t>
            </w:r>
          </w:p>
        </w:tc>
      </w:tr>
    </w:tbl>
    <w:p w14:paraId="213C60D3" w14:textId="77777777" w:rsidR="00B650E5" w:rsidRDefault="00B650E5">
      <w:pPr>
        <w:spacing w:before="120" w:after="120"/>
        <w:jc w:val="both"/>
        <w:rPr>
          <w:bCs/>
          <w:iCs/>
          <w:szCs w:val="22"/>
          <w:lang w:eastAsia="en-US"/>
        </w:rPr>
        <w:sectPr w:rsidR="00B650E5" w:rsidSect="00803C14">
          <w:pgSz w:w="16838" w:h="11906" w:orient="landscape"/>
          <w:pgMar w:top="1080" w:right="1440" w:bottom="991" w:left="1440" w:header="708" w:footer="708" w:gutter="0"/>
          <w:cols w:space="708"/>
          <w:docGrid w:linePitch="360"/>
        </w:sectPr>
      </w:pPr>
    </w:p>
    <w:p w14:paraId="245B428A"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lastRenderedPageBreak/>
        <w:t>RO je oprávnený vo výzve stanoviť akceptovateľnú maximálnu výšku dlhu vo vzťahu k preukázaniu podmienok poskytnutia príspevku uvedených pod p. č. 2, 3 a 4 vo výške 40 € jednotlivo (</w:t>
      </w:r>
      <w:r w:rsidR="00C93F30">
        <w:rPr>
          <w:bCs/>
          <w:iCs/>
          <w:szCs w:val="22"/>
          <w:lang w:eastAsia="en-US"/>
        </w:rPr>
        <w:t xml:space="preserve">t. j. </w:t>
      </w:r>
      <w:r>
        <w:rPr>
          <w:bCs/>
          <w:iCs/>
          <w:szCs w:val="22"/>
          <w:lang w:eastAsia="en-US"/>
        </w:rPr>
        <w:t>jeden dlh neprekročí výšku 40 €). Presný limit akceptovateľnej výšky dlhu musí byť určený vo výzve.</w:t>
      </w:r>
    </w:p>
    <w:p w14:paraId="5C147156"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pre účely zisťovania splnenia podmienok poskytnutia príspevku obsiahnutých vo výzve</w:t>
      </w:r>
      <w:r w:rsidR="006F3B93">
        <w:rPr>
          <w:bCs/>
          <w:iCs/>
          <w:szCs w:val="22"/>
          <w:lang w:eastAsia="en-US"/>
        </w:rPr>
        <w:t>,</w:t>
      </w:r>
      <w:r>
        <w:rPr>
          <w:bCs/>
          <w:iCs/>
          <w:szCs w:val="22"/>
          <w:lang w:eastAsia="en-US"/>
        </w:rPr>
        <w:t xml:space="preserve"> ako aj za účelom preverenia súladu dokumentov predložených na jej základe s osobitnými predpismi, zadefinuje formu a počet dokumentov preukazujúcich ich splnenie, vrátane lehoty na ich predloženie. </w:t>
      </w:r>
    </w:p>
    <w:p w14:paraId="174CDBD8"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Pri definovaní potrebnej formy predmetných dokumentov RO zohľadňuje riziká spojené s definovaním charakteru a formy predkladaných príloh a možnosti overenia skutočností preukazovaných príslušnými dokumentmi v elektronických verejných registroch. RO definuje podmienku predloženia relevantnej prílohy vo forme originálu alebo úradne osvedčenej kópie v prípade takých príloh, kde je pre účely konania o ŽoNFP potrebné mať predložené v rámci ŽoNFP doklad v takejto forme. Žiadateľ je zodpovedný za predloženie úplných a správnych údajov.</w:t>
      </w:r>
    </w:p>
    <w:p w14:paraId="7A9A9AA6"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vo výzve určiť, ktoré prílohy je žiadateľ povinný predložiť v čase predloženia ŽoNFP, a ktorých predloženie je postačujúce pred vydaním rozhodnutia o schválení ŽoNFP po</w:t>
      </w:r>
      <w:r w:rsidR="0002534D">
        <w:rPr>
          <w:bCs/>
          <w:iCs/>
          <w:szCs w:val="22"/>
          <w:lang w:eastAsia="en-US"/>
        </w:rPr>
        <w:t> </w:t>
      </w:r>
      <w:r>
        <w:rPr>
          <w:bCs/>
          <w:iCs/>
          <w:szCs w:val="22"/>
          <w:lang w:eastAsia="en-US"/>
        </w:rPr>
        <w:t xml:space="preserve">preukázaní splnenia ostatných podmienok poskytnutia príspevku. </w:t>
      </w:r>
    </w:p>
    <w:p w14:paraId="182BC074"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 xml:space="preserve">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 základe výzvy RO. V takomto prípade žiadateľ predkladá dotknuté prílohy ku dňu doručenia výzvy RO, resp. nie staršie ako presne určené časové obdobie odo dňa doručenia výzvy RO. </w:t>
      </w:r>
    </w:p>
    <w:p w14:paraId="6182D637" w14:textId="77777777" w:rsidR="00B650E5" w:rsidRDefault="00B650E5">
      <w:pPr>
        <w:numPr>
          <w:ilvl w:val="0"/>
          <w:numId w:val="219"/>
        </w:numPr>
        <w:spacing w:before="120" w:after="120"/>
        <w:ind w:left="425" w:hanging="425"/>
        <w:jc w:val="both"/>
        <w:rPr>
          <w:bCs/>
          <w:iCs/>
          <w:szCs w:val="22"/>
          <w:lang w:eastAsia="en-US"/>
        </w:rPr>
      </w:pPr>
      <w:r>
        <w:rPr>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14:paraId="7360DF08" w14:textId="77777777" w:rsidR="00B650E5" w:rsidRDefault="00B650E5" w:rsidP="0045286B">
      <w:pPr>
        <w:pStyle w:val="SRK4"/>
      </w:pPr>
      <w:bookmarkStart w:id="134" w:name="_Toc453233974"/>
      <w:bookmarkStart w:id="135" w:name="_Toc501630026"/>
      <w:r>
        <w:t>2.4.2.1 Opis projektu</w:t>
      </w:r>
      <w:bookmarkEnd w:id="134"/>
      <w:bookmarkEnd w:id="135"/>
    </w:p>
    <w:p w14:paraId="66593B0D" w14:textId="77777777" w:rsidR="00B650E5" w:rsidRDefault="00B650E5">
      <w:pPr>
        <w:numPr>
          <w:ilvl w:val="0"/>
          <w:numId w:val="220"/>
        </w:numPr>
        <w:spacing w:before="120" w:after="120"/>
        <w:ind w:left="425" w:hanging="425"/>
        <w:jc w:val="both"/>
        <w:rPr>
          <w:bCs/>
          <w:iCs/>
        </w:rPr>
      </w:pPr>
      <w:bookmarkStart w:id="136" w:name="_Toc378947490"/>
      <w:r>
        <w:rPr>
          <w:bCs/>
          <w:iCs/>
        </w:rPr>
        <w:t>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Na</w:t>
      </w:r>
      <w:r w:rsidR="005239A6">
        <w:rPr>
          <w:bCs/>
          <w:iCs/>
        </w:rPr>
        <w:t> </w:t>
      </w:r>
      <w:r>
        <w:rPr>
          <w:bCs/>
          <w:iCs/>
        </w:rPr>
        <w:t xml:space="preserve">základe rozhodnutia RO je možné opis projektu zadefinovať aj ako povinnú prílohu projektového zámeru. </w:t>
      </w:r>
    </w:p>
    <w:p w14:paraId="083B5963" w14:textId="77777777" w:rsidR="00B650E5" w:rsidRDefault="00B650E5">
      <w:pPr>
        <w:numPr>
          <w:ilvl w:val="0"/>
          <w:numId w:val="220"/>
        </w:numPr>
        <w:spacing w:before="120" w:after="120"/>
        <w:ind w:left="425" w:hanging="425"/>
        <w:jc w:val="both"/>
        <w:rPr>
          <w:bCs/>
          <w:iCs/>
        </w:rPr>
      </w:pPr>
      <w:r>
        <w:rPr>
          <w:bCs/>
          <w:iCs/>
        </w:rPr>
        <w:t xml:space="preserve">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(logical framework approach) a minimalizoval požiadavky na duplicitné uvádzanie údajov od žiadateľa.  </w:t>
      </w:r>
    </w:p>
    <w:p w14:paraId="67E0E183" w14:textId="77777777" w:rsidR="00B650E5" w:rsidRDefault="00B650E5">
      <w:pPr>
        <w:pStyle w:val="SRK3"/>
      </w:pPr>
      <w:bookmarkStart w:id="137" w:name="_Toc453233975"/>
      <w:bookmarkStart w:id="138" w:name="_Toc501630027"/>
      <w:r>
        <w:t>2.4.3 Kritériá pre výber projektov</w:t>
      </w:r>
      <w:bookmarkEnd w:id="136"/>
      <w:bookmarkEnd w:id="137"/>
      <w:bookmarkEnd w:id="138"/>
      <w:r>
        <w:t xml:space="preserve"> </w:t>
      </w:r>
    </w:p>
    <w:p w14:paraId="3938416C" w14:textId="77777777" w:rsidR="00B650E5" w:rsidRDefault="00B650E5">
      <w:pPr>
        <w:numPr>
          <w:ilvl w:val="0"/>
          <w:numId w:val="221"/>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14:paraId="3E32961D" w14:textId="77777777" w:rsidR="00B650E5" w:rsidRDefault="00B650E5">
      <w:pPr>
        <w:numPr>
          <w:ilvl w:val="0"/>
          <w:numId w:val="221"/>
        </w:numPr>
        <w:spacing w:before="120" w:after="120"/>
        <w:ind w:left="425" w:hanging="425"/>
        <w:jc w:val="both"/>
        <w:rPr>
          <w:bCs/>
          <w:iCs/>
        </w:rPr>
      </w:pPr>
      <w:r>
        <w:rPr>
          <w:bCs/>
          <w:iCs/>
        </w:rPr>
        <w:t xml:space="preserve">V rámci kritérií pre výber projektov RO definuje v závislosti od relevantnosti: </w:t>
      </w:r>
    </w:p>
    <w:p w14:paraId="35B5B41F" w14:textId="77777777" w:rsidR="00B650E5" w:rsidRDefault="00B650E5">
      <w:pPr>
        <w:numPr>
          <w:ilvl w:val="1"/>
          <w:numId w:val="222"/>
        </w:numPr>
        <w:spacing w:before="120" w:after="120"/>
        <w:ind w:left="851" w:hanging="425"/>
        <w:jc w:val="both"/>
        <w:rPr>
          <w:lang w:eastAsia="en-US"/>
        </w:rPr>
      </w:pPr>
      <w:r>
        <w:rPr>
          <w:lang w:eastAsia="en-US"/>
        </w:rPr>
        <w:lastRenderedPageBreak/>
        <w:t>kritériá pre posúdenie projektových zámerov,</w:t>
      </w:r>
    </w:p>
    <w:p w14:paraId="16CBDE15" w14:textId="77777777" w:rsidR="00B650E5" w:rsidRDefault="00B650E5">
      <w:pPr>
        <w:numPr>
          <w:ilvl w:val="1"/>
          <w:numId w:val="222"/>
        </w:numPr>
        <w:spacing w:before="120" w:after="120"/>
        <w:ind w:left="851" w:hanging="425"/>
        <w:jc w:val="both"/>
        <w:rPr>
          <w:lang w:eastAsia="en-US"/>
        </w:rPr>
      </w:pPr>
      <w:r>
        <w:rPr>
          <w:lang w:eastAsia="en-US"/>
        </w:rPr>
        <w:t>hodnotiace kritériá ŽoNFP (obligatórne definovanie),</w:t>
      </w:r>
    </w:p>
    <w:p w14:paraId="261396C9" w14:textId="77777777" w:rsidR="00B650E5" w:rsidRDefault="00B650E5">
      <w:pPr>
        <w:numPr>
          <w:ilvl w:val="1"/>
          <w:numId w:val="222"/>
        </w:numPr>
        <w:spacing w:before="120" w:after="120"/>
        <w:ind w:left="851" w:hanging="425"/>
        <w:jc w:val="both"/>
        <w:rPr>
          <w:lang w:eastAsia="en-US"/>
        </w:rPr>
      </w:pPr>
      <w:r>
        <w:rPr>
          <w:lang w:eastAsia="en-US"/>
        </w:rPr>
        <w:t>výberové kritériá ŽoNFP.</w:t>
      </w:r>
    </w:p>
    <w:p w14:paraId="588C579D" w14:textId="77777777" w:rsidR="00B650E5" w:rsidRDefault="00B650E5">
      <w:pPr>
        <w:numPr>
          <w:ilvl w:val="0"/>
          <w:numId w:val="221"/>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14:paraId="1B09FD86" w14:textId="258E2B9A" w:rsidR="00B650E5" w:rsidRDefault="00B650E5" w:rsidP="00556762">
      <w:pPr>
        <w:numPr>
          <w:ilvl w:val="0"/>
          <w:numId w:val="221"/>
        </w:numPr>
        <w:spacing w:before="120" w:after="120"/>
        <w:ind w:left="426" w:hanging="426"/>
        <w:jc w:val="both"/>
        <w:rPr>
          <w:bCs/>
          <w:iCs/>
        </w:rPr>
      </w:pPr>
      <w:r w:rsidRPr="009078F6">
        <w:rPr>
          <w:bCs/>
          <w:iCs/>
        </w:rPr>
        <w:t>Vylučujúce kritériá (</w:t>
      </w:r>
      <w:r w:rsidR="00C93F30">
        <w:rPr>
          <w:bCs/>
          <w:iCs/>
        </w:rPr>
        <w:t xml:space="preserve">t. j. </w:t>
      </w:r>
      <w:r w:rsidRPr="009078F6">
        <w:rPr>
          <w:bCs/>
          <w:iCs/>
        </w:rPr>
        <w:t>diskvalifikačné kritériá)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r w:rsidR="00C5691C">
        <w:rPr>
          <w:bCs/>
          <w:iCs/>
        </w:rPr>
        <w:t>,</w:t>
      </w:r>
      <w:r w:rsidR="00C5691C" w:rsidRPr="00C5691C">
        <w:t xml:space="preserve"> </w:t>
      </w:r>
      <w:r w:rsidR="00C5691C" w:rsidRPr="00C5691C">
        <w:rPr>
          <w:bCs/>
          <w:iCs/>
        </w:rPr>
        <w:t>pričom v príručke pre odborného hodnotiteľa musí byť jednoznačne definované, kedy sa udeľuje možnosť "áno" a kedy "nie"</w:t>
      </w:r>
      <w:r>
        <w:rPr>
          <w:bCs/>
          <w:iCs/>
        </w:rPr>
        <w:t>.</w:t>
      </w:r>
    </w:p>
    <w:p w14:paraId="694FCF33" w14:textId="77777777" w:rsidR="00B650E5" w:rsidRDefault="00B650E5">
      <w:pPr>
        <w:numPr>
          <w:ilvl w:val="0"/>
          <w:numId w:val="221"/>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Hodnota bodov každého z kritérií je určená ako nezáporné celé číslo (pri bodovaných kritériách sa neurčuje ich váha, </w:t>
      </w:r>
      <w:r w:rsidR="00C93F30">
        <w:rPr>
          <w:bCs/>
          <w:iCs/>
        </w:rPr>
        <w:t xml:space="preserve">t. j. </w:t>
      </w:r>
      <w:r>
        <w:rPr>
          <w:bCs/>
          <w:iCs/>
        </w:rPr>
        <w:t>neurčuje sa koeficient zvýhodnenia, ktorým by sa násobila hodnota hodnotiaceho kritéria).</w:t>
      </w:r>
    </w:p>
    <w:p w14:paraId="35CCC958" w14:textId="77777777" w:rsidR="00B650E5" w:rsidRDefault="00B650E5">
      <w:pPr>
        <w:numPr>
          <w:ilvl w:val="0"/>
          <w:numId w:val="221"/>
        </w:numPr>
        <w:spacing w:before="120" w:after="120"/>
        <w:ind w:left="425" w:hanging="425"/>
        <w:jc w:val="both"/>
        <w:rPr>
          <w:bCs/>
          <w:iCs/>
        </w:rPr>
      </w:pPr>
      <w:r>
        <w:rPr>
          <w:bCs/>
          <w:iCs/>
        </w:rPr>
        <w:t xml:space="preserve">RO jasne definuje, ktoré kritériá pre výber projektov sú vylučujúcimi kritériami. Vylučujúce kritéria sú vždy posudzované ako prvé a až po ich splnení sú posudzované bodované kritériá. </w:t>
      </w:r>
    </w:p>
    <w:p w14:paraId="0C550B71" w14:textId="77777777" w:rsidR="00B650E5" w:rsidRDefault="00B650E5">
      <w:pPr>
        <w:numPr>
          <w:ilvl w:val="0"/>
          <w:numId w:val="221"/>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w:t>
      </w:r>
      <w:r w:rsidR="00E7156E">
        <w:rPr>
          <w:bCs/>
          <w:iCs/>
        </w:rPr>
        <w:t> </w:t>
      </w:r>
      <w:r>
        <w:rPr>
          <w:bCs/>
          <w:iCs/>
        </w:rPr>
        <w:t>splnenie odborného hodnotenia predstavuje 60</w:t>
      </w:r>
      <w:r w:rsidR="00C93F30">
        <w:rPr>
          <w:bCs/>
          <w:iCs/>
        </w:rPr>
        <w:t xml:space="preserve"> </w:t>
      </w:r>
      <w:r>
        <w:rPr>
          <w:bCs/>
          <w:iCs/>
        </w:rPr>
        <w:t>%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w:t>
      </w:r>
      <w:r w:rsidR="00F64BDD">
        <w:rPr>
          <w:bCs/>
          <w:iCs/>
        </w:rPr>
        <w:t xml:space="preserve"> </w:t>
      </w:r>
      <w:r>
        <w:rPr>
          <w:bCs/>
          <w:iCs/>
        </w:rPr>
        <w:t>%) predstavovala celé číslo (v prípade zaokrúhľovania RO zaokrúhľuje na celé číslo smerom nahor).</w:t>
      </w:r>
    </w:p>
    <w:p w14:paraId="35A492B1" w14:textId="77777777" w:rsidR="00B650E5" w:rsidRDefault="00B650E5">
      <w:pPr>
        <w:numPr>
          <w:ilvl w:val="0"/>
          <w:numId w:val="221"/>
        </w:numPr>
        <w:spacing w:before="120" w:after="120"/>
        <w:ind w:left="425" w:hanging="425"/>
        <w:jc w:val="both"/>
        <w:rPr>
          <w:bCs/>
          <w:iCs/>
        </w:rPr>
      </w:pPr>
      <w:r>
        <w:rPr>
          <w:bCs/>
          <w:iCs/>
        </w:rPr>
        <w:t>Aplikáciou kritérií pre výber projektov RO stanoví poradie ŽoNFP, ktoré je vytvorené od</w:t>
      </w:r>
      <w:r w:rsidR="000C761F">
        <w:rPr>
          <w:bCs/>
          <w:iCs/>
        </w:rPr>
        <w:t> </w:t>
      </w:r>
      <w:r>
        <w:rPr>
          <w:bCs/>
          <w:iCs/>
        </w:rPr>
        <w:t>najvyššie umiestnenej ŽoNFP spĺňajúcej všetky podmienky poskytnutia príspevku, po</w:t>
      </w:r>
      <w:r w:rsidR="000C761F">
        <w:rPr>
          <w:bCs/>
          <w:iCs/>
        </w:rPr>
        <w:t> </w:t>
      </w:r>
      <w:r>
        <w:rPr>
          <w:bCs/>
          <w:iCs/>
        </w:rPr>
        <w:t>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w:t>
      </w:r>
      <w:r w:rsidR="000C761F">
        <w:rPr>
          <w:bCs/>
          <w:iCs/>
        </w:rPr>
        <w:t> </w:t>
      </w:r>
      <w:r>
        <w:rPr>
          <w:bCs/>
          <w:iCs/>
        </w:rPr>
        <w:t>výzve. ŽoNFP, ktoré sa umiestnili vytvoreným poradím pod hranicou finančných prostriedkov vyčlenených na výzvu, budú neschválené z dôvodu nedostatku finančných prostriedkov určených na výzvu. Uvedený postup je modifikovaný v prípade zohľadnenia hodnotiacej správy pri</w:t>
      </w:r>
      <w:r w:rsidR="000C761F">
        <w:rPr>
          <w:bCs/>
          <w:iCs/>
        </w:rPr>
        <w:t> </w:t>
      </w:r>
      <w:r>
        <w:rPr>
          <w:bCs/>
          <w:iCs/>
        </w:rPr>
        <w:t>ŽoNFP, kde RO využil dvojkolový proces výberu. V danom prípade RO pri určení poradia postupuje spôsobom upraveným v </w:t>
      </w:r>
      <w:hyperlink w:anchor="kapitola_3222" w:tooltip="kapitole 3.2.2.2" w:history="1">
        <w:r>
          <w:rPr>
            <w:rStyle w:val="Hypertextovprepojenie"/>
            <w:bCs/>
            <w:iCs/>
          </w:rPr>
          <w:t>kapitole 3.2.2.2</w:t>
        </w:r>
      </w:hyperlink>
      <w:r>
        <w:rPr>
          <w:bCs/>
          <w:iCs/>
        </w:rPr>
        <w:t>. Výška alokácie nie je samostatným kritériom výberu a ako taká nie je zaraďovaná medzi podmienky poskytnutia príspevku. ŽoNFP, ktoré boli neschválené len z dôvodu nedostatku finančných prostriedkov vo výzve sú v poradí, v akom boli neschválené zaradené do zásobníka projektov.</w:t>
      </w:r>
    </w:p>
    <w:p w14:paraId="059C6353" w14:textId="77777777" w:rsidR="00B650E5" w:rsidRDefault="00B650E5" w:rsidP="0045286B">
      <w:pPr>
        <w:pStyle w:val="SRK4"/>
      </w:pPr>
      <w:bookmarkStart w:id="139" w:name="_Toc453233976"/>
      <w:bookmarkStart w:id="140" w:name="_Toc501630028"/>
      <w:r>
        <w:lastRenderedPageBreak/>
        <w:t>2.4.3.1 Kritériá pre posúdenie projektových zámerov</w:t>
      </w:r>
      <w:bookmarkEnd w:id="139"/>
      <w:bookmarkEnd w:id="140"/>
    </w:p>
    <w:p w14:paraId="5B9B2484" w14:textId="77777777" w:rsidR="00B650E5" w:rsidRDefault="00B650E5">
      <w:pPr>
        <w:numPr>
          <w:ilvl w:val="0"/>
          <w:numId w:val="61"/>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14:paraId="69D4D316" w14:textId="77777777" w:rsidR="00B650E5" w:rsidRDefault="00B650E5">
      <w:pPr>
        <w:numPr>
          <w:ilvl w:val="0"/>
          <w:numId w:val="61"/>
        </w:numPr>
        <w:spacing w:before="120" w:after="120"/>
        <w:ind w:left="425" w:hanging="425"/>
        <w:jc w:val="both"/>
      </w:pPr>
      <w:r>
        <w:t>RO pri koncipovaní kritérií pre posúdenie projektových zámerov zabezpečí najmä posúdenie najdôležitejších aspektov projektového zámeru, na základe ktorého je vecne rozhodnuté, či RO vydá pre projektový zámer pozitívnu alebo negatívnu hodnotiacu správu.</w:t>
      </w:r>
    </w:p>
    <w:p w14:paraId="24B2EBDA" w14:textId="77777777" w:rsidR="00B650E5" w:rsidRDefault="00B650E5">
      <w:pPr>
        <w:numPr>
          <w:ilvl w:val="0"/>
          <w:numId w:val="61"/>
        </w:numPr>
        <w:spacing w:before="120" w:after="120"/>
        <w:ind w:left="425" w:hanging="425"/>
        <w:jc w:val="both"/>
      </w:pPr>
      <w:r>
        <w:t>Kritériá pre posúdenie projektových zámerov RO posudzuje v rámci odborného hodnotenia projektových zámerov. Ak kritériá pre posúdenie projektových zámerov umožňujú ich absolútnu objektívnu overiteľnosť (matematicky overiteľné a jednoznačne posúditeľné kritériá), je možné zabezpečiť ich aplikáciu a vyhodnotenie v rámci administratívneho overovania.</w:t>
      </w:r>
    </w:p>
    <w:p w14:paraId="7F0EE382" w14:textId="77777777" w:rsidR="00B650E5" w:rsidRDefault="00B650E5" w:rsidP="0045286B">
      <w:pPr>
        <w:pStyle w:val="SRK4"/>
      </w:pPr>
      <w:bookmarkStart w:id="141" w:name="_Toc453233977"/>
      <w:bookmarkStart w:id="142" w:name="_Toc501630029"/>
      <w:r>
        <w:t>2.4.3.2 Hodnotiace kritériá žiadostí o poskytnutie nenávratného finančného príspevk</w:t>
      </w:r>
      <w:bookmarkEnd w:id="141"/>
      <w:r>
        <w:t>u</w:t>
      </w:r>
      <w:bookmarkEnd w:id="142"/>
    </w:p>
    <w:p w14:paraId="793ADFD8" w14:textId="77777777" w:rsidR="00B650E5" w:rsidRDefault="00B650E5">
      <w:pPr>
        <w:numPr>
          <w:ilvl w:val="0"/>
          <w:numId w:val="223"/>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r w:rsidR="00AC75D1">
        <w:rPr>
          <w:rStyle w:val="Odkaznapoznmkupodiarou"/>
        </w:rPr>
        <w:footnoteReference w:id="37"/>
      </w:r>
    </w:p>
    <w:p w14:paraId="62AA57C7" w14:textId="77777777" w:rsidR="00B650E5" w:rsidRDefault="00B650E5">
      <w:pPr>
        <w:numPr>
          <w:ilvl w:val="1"/>
          <w:numId w:val="224"/>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,,príspevok projektu k cieľom OP“ a je odporúčané konkretizovať jednoznačne aspekt, ktorého overením je posúditeľný príspevok projektu k cieľom OP);</w:t>
      </w:r>
    </w:p>
    <w:p w14:paraId="3BF6664D" w14:textId="77777777" w:rsidR="00B650E5" w:rsidRDefault="00B650E5">
      <w:pPr>
        <w:numPr>
          <w:ilvl w:val="1"/>
          <w:numId w:val="224"/>
        </w:numPr>
        <w:spacing w:before="120" w:after="120"/>
        <w:ind w:left="851" w:hanging="425"/>
        <w:jc w:val="both"/>
      </w:pPr>
      <w:r>
        <w:rPr>
          <w:b/>
        </w:rPr>
        <w:t>Navrhovaný spôsob realizácie projektu</w:t>
      </w:r>
      <w:r>
        <w:t xml:space="preserve"> – posúdenie prepojenia navrhovaných aktivít s výsledkami a cieľmi projektu, posúdenie vhodnosti navrhovaných aktivít a spôsobu ich realizácie</w:t>
      </w:r>
      <w:r w:rsidR="000C761F">
        <w:t>,</w:t>
      </w:r>
      <w:r>
        <w:t xml:space="preserve"> posúdenie navrhovaných aktivít z vecného, časového hľadiska a z hľadiska ich prevádzkovej a technickej udržateľnosti (ak relevantné), posúdenie reálnosti plánovanej hodnoty merateľných ukazovateľov s ohľadom na časové, finančné a vecné hľadisko;</w:t>
      </w:r>
    </w:p>
    <w:p w14:paraId="76BF7F39" w14:textId="77777777" w:rsidR="00B650E5" w:rsidRDefault="00B650E5">
      <w:pPr>
        <w:numPr>
          <w:ilvl w:val="1"/>
          <w:numId w:val="224"/>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w:t>
      </w:r>
      <w:r w:rsidR="000C761F">
        <w:t> </w:t>
      </w:r>
      <w:r>
        <w:t xml:space="preserve">originálnym aktivitám žiadateľa (ak relevantné); </w:t>
      </w:r>
    </w:p>
    <w:p w14:paraId="2B809316" w14:textId="77777777" w:rsidR="00B650E5" w:rsidRDefault="00B650E5">
      <w:pPr>
        <w:numPr>
          <w:ilvl w:val="1"/>
          <w:numId w:val="224"/>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 a efektívnosti navrhovaných výdavkov, posúdenie zrealizovanej finančnej analýzy (ak relevantné), posúdenie CBA (ak relevantné), hodnotenie finančnej a ekonomickej výkonnosti žiadateľa vo vzťahu ku schopnosti zabezpečiť finančnú udržateľnosť projektu (napr. zohľadnenie finančnej výkonnosti podniku – napr. ROA, ROE, EBIT, zadlženosť, ukazovatele celkového ekonomického hodnotenia podniku).</w:t>
      </w:r>
      <w:r>
        <w:rPr>
          <w:bCs/>
          <w:iCs/>
        </w:rPr>
        <w:t xml:space="preserve"> </w:t>
      </w:r>
    </w:p>
    <w:p w14:paraId="7E9783B0" w14:textId="77777777" w:rsidR="00B650E5" w:rsidRDefault="00B650E5">
      <w:pPr>
        <w:numPr>
          <w:ilvl w:val="0"/>
          <w:numId w:val="223"/>
        </w:numPr>
        <w:spacing w:before="120" w:after="120"/>
        <w:ind w:left="425" w:hanging="425"/>
        <w:jc w:val="both"/>
      </w:pPr>
      <w:r>
        <w:t xml:space="preserve">RO v rámci definovania hodnotiacich kritérií zabezpečí, aby projekt, ktorý nespĺňa podmienky hospodárnosti a efektívnosti nemohol byť schválený, </w:t>
      </w:r>
      <w:r w:rsidR="00C93F30">
        <w:t xml:space="preserve">t. j. </w:t>
      </w:r>
      <w:r>
        <w:t>aby takýto projekt nesplnil podmienky odborného hodnotenia</w:t>
      </w:r>
      <w:r>
        <w:rPr>
          <w:bCs/>
          <w:iCs/>
        </w:rPr>
        <w:t>.</w:t>
      </w:r>
    </w:p>
    <w:p w14:paraId="15A3E8D5" w14:textId="77777777" w:rsidR="00B650E5" w:rsidRDefault="00B650E5">
      <w:pPr>
        <w:numPr>
          <w:ilvl w:val="0"/>
          <w:numId w:val="223"/>
        </w:numPr>
        <w:spacing w:before="120" w:after="120"/>
        <w:ind w:left="425" w:hanging="425"/>
        <w:jc w:val="both"/>
      </w:pPr>
      <w:bookmarkStart w:id="143" w:name="kapitola_2432_ods_3"/>
      <w:r>
        <w:lastRenderedPageBreak/>
        <w:t xml:space="preserve">Pri vecne relevantných OP je RO povinný pri tvorbe hodnotiacich kritérií zabezpečiť, aby boli </w:t>
      </w:r>
      <w:r>
        <w:rPr>
          <w:b/>
        </w:rPr>
        <w:t>bodovo zvýhodnené</w:t>
      </w:r>
      <w:r>
        <w:t xml:space="preserve"> také ŽoNFP, ktoré sú predložené na základe projektov identifikovaných v</w:t>
      </w:r>
      <w:r w:rsidR="000C761F">
        <w:t> </w:t>
      </w:r>
      <w:r>
        <w:t xml:space="preserve">schválených RIÚS v súlade s § 15 zákona o príspevku z EŠIF. </w:t>
      </w:r>
    </w:p>
    <w:bookmarkEnd w:id="143"/>
    <w:p w14:paraId="4C27EA73" w14:textId="77777777" w:rsidR="00B650E5" w:rsidRDefault="00B650E5">
      <w:pPr>
        <w:numPr>
          <w:ilvl w:val="0"/>
          <w:numId w:val="223"/>
        </w:numPr>
        <w:spacing w:before="120" w:after="120"/>
        <w:ind w:left="425" w:hanging="425"/>
        <w:jc w:val="both"/>
      </w:pPr>
      <w:r>
        <w:rPr>
          <w:bCs/>
          <w:iCs/>
        </w:rPr>
        <w:t>V prípade, ak po dohode s gestorom HP nie je súlad projektu s HP overovaný v rámci administratívneho overenia objektívne stanovenej podmienky poskytnutia príspevku, RO zaradí medzi hodnotiace kritériá na základe návrhu a komunikácie s gestorom HP hodnotiace kritériá pre posúdenie súladu s HP.</w:t>
      </w:r>
    </w:p>
    <w:p w14:paraId="325A2B06" w14:textId="77777777" w:rsidR="00B650E5" w:rsidRDefault="00B650E5">
      <w:pPr>
        <w:numPr>
          <w:ilvl w:val="0"/>
          <w:numId w:val="223"/>
        </w:numPr>
        <w:spacing w:before="120" w:after="120"/>
        <w:ind w:left="425" w:hanging="425"/>
        <w:jc w:val="both"/>
      </w:pPr>
      <w:r>
        <w:t xml:space="preserve">RO je povinný spolu s hodnotiacimi kritériami definovať aj </w:t>
      </w:r>
      <w:r>
        <w:rPr>
          <w:b/>
        </w:rPr>
        <w:t xml:space="preserve">rozlišovacie kritériá; </w:t>
      </w:r>
      <w:r>
        <w:t>uvedené neplatí pre národné a veľké projekty a projekty technickej pomoci. Rozlišovacie kritériá slúžia na</w:t>
      </w:r>
      <w:r w:rsidR="000C761F">
        <w:t> </w:t>
      </w:r>
      <w:r>
        <w:t>určenie poradia v prípade rovnakého počtu bodov dosiahnutého viacerými ŽoNFP v odbornom hodnotení (</w:t>
      </w:r>
      <w:r w:rsidR="00C93F30">
        <w:t xml:space="preserve">t. j. </w:t>
      </w:r>
      <w:r>
        <w:t xml:space="preserve"> ak dve alebo viac ŽoNFP dosiahli rovnaké bodové hodnotenie a alokácia určená vo výzve nepostačuje na schválenie všetkých takýchto ŽoNFP). </w:t>
      </w:r>
    </w:p>
    <w:p w14:paraId="48315893" w14:textId="77777777" w:rsidR="00B650E5" w:rsidRDefault="00B650E5">
      <w:pPr>
        <w:numPr>
          <w:ilvl w:val="0"/>
          <w:numId w:val="223"/>
        </w:numPr>
        <w:spacing w:before="120" w:after="120"/>
        <w:ind w:left="425" w:hanging="425"/>
        <w:jc w:val="both"/>
      </w:pPr>
      <w:r>
        <w:t>Rozlišovacie kritériá RO určí primárne z bodovaných hodnotiacich kritérií z odborného hodnotenia ŽoNFP, pričom môže vybrať jedno alebo viacero z týchto kritérií</w:t>
      </w:r>
      <w:r w:rsidR="000C761F">
        <w:t>.</w:t>
      </w:r>
    </w:p>
    <w:p w14:paraId="281FDF9D" w14:textId="77777777" w:rsidR="00B650E5" w:rsidRDefault="00B650E5">
      <w:pPr>
        <w:numPr>
          <w:ilvl w:val="0"/>
          <w:numId w:val="223"/>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14:paraId="69D24633" w14:textId="77777777" w:rsidR="00B650E5" w:rsidRDefault="00B650E5">
      <w:pPr>
        <w:numPr>
          <w:ilvl w:val="0"/>
          <w:numId w:val="223"/>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14:paraId="42DC0D43" w14:textId="77777777" w:rsidR="00B650E5" w:rsidRDefault="00B650E5">
      <w:pPr>
        <w:numPr>
          <w:ilvl w:val="0"/>
          <w:numId w:val="223"/>
        </w:numPr>
        <w:spacing w:before="120" w:after="120"/>
        <w:ind w:left="425" w:hanging="425"/>
        <w:jc w:val="both"/>
      </w:pPr>
      <w:r>
        <w:t>Hodnotiace kritéria ŽoNFP, vrátane rozlišovacích kritérií predloží RO na schválenie MV a posudzuje ich v rámci odborného hodnotenia ŽoNFP. Schváleniu zo strany MV podlieha rovnako aj zmena hodnotiacich kritérií, vrátane rozlišovacích kritérií.</w:t>
      </w:r>
    </w:p>
    <w:p w14:paraId="0EF58B0D" w14:textId="77777777" w:rsidR="00B650E5" w:rsidRDefault="00B650E5" w:rsidP="0045286B">
      <w:pPr>
        <w:pStyle w:val="SRK4"/>
      </w:pPr>
      <w:bookmarkStart w:id="144" w:name="_Toc453233978"/>
      <w:bookmarkStart w:id="145" w:name="_Toc501630030"/>
      <w:r>
        <w:t>2.4.3.3 Výberové kritériá žiadostí o poskytnutie nenávratného finančného príspevk</w:t>
      </w:r>
      <w:bookmarkEnd w:id="144"/>
      <w:r>
        <w:t>u</w:t>
      </w:r>
      <w:bookmarkEnd w:id="145"/>
    </w:p>
    <w:p w14:paraId="7CE41EAD" w14:textId="77777777" w:rsidR="00B650E5" w:rsidRDefault="00B650E5">
      <w:pPr>
        <w:numPr>
          <w:ilvl w:val="0"/>
          <w:numId w:val="62"/>
        </w:numPr>
        <w:spacing w:before="120" w:after="120"/>
        <w:ind w:left="426" w:hanging="426"/>
        <w:jc w:val="both"/>
        <w:rPr>
          <w:i/>
        </w:rPr>
      </w:pPr>
      <w:r>
        <w:t>RO je oprávnený definovať výberové kritériá ŽoNFP v prípade, ak nie sú ŽoNFP vyberané na</w:t>
      </w:r>
      <w:r w:rsidR="000C761F">
        <w:t> </w:t>
      </w:r>
      <w:r>
        <w:t xml:space="preserve">základe poradia určeného aplikáciou hodnotiacich kritérií. </w:t>
      </w:r>
    </w:p>
    <w:p w14:paraId="5679D273" w14:textId="77777777" w:rsidR="00B650E5" w:rsidRDefault="00B650E5">
      <w:pPr>
        <w:numPr>
          <w:ilvl w:val="0"/>
          <w:numId w:val="62"/>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14:paraId="1A8B6C82" w14:textId="77777777" w:rsidR="00B650E5" w:rsidRDefault="00B650E5">
      <w:pPr>
        <w:numPr>
          <w:ilvl w:val="0"/>
          <w:numId w:val="62"/>
        </w:numPr>
        <w:spacing w:before="120" w:after="120"/>
        <w:ind w:left="426" w:hanging="426"/>
        <w:jc w:val="both"/>
      </w:pPr>
      <w:r>
        <w:rPr>
          <w:bCs/>
          <w:iCs/>
        </w:rPr>
        <w:t xml:space="preserve">RO stanoví výberové kritériá tak, aby zabezpečili </w:t>
      </w:r>
      <w:r>
        <w:rPr>
          <w:b/>
          <w:bCs/>
          <w:iCs/>
        </w:rPr>
        <w:t>objektívne posúdenie všetkých ŽoNFP</w:t>
      </w:r>
      <w:r>
        <w:rPr>
          <w:bCs/>
          <w:iCs/>
        </w:rPr>
        <w:t xml:space="preserve"> (takým kritériom </w:t>
      </w:r>
      <w:r>
        <w:rPr>
          <w:b/>
          <w:bCs/>
          <w:iCs/>
        </w:rPr>
        <w:t>nie je</w:t>
      </w:r>
      <w:r>
        <w:rPr>
          <w:bCs/>
          <w:iCs/>
        </w:rPr>
        <w:t xml:space="preserve"> napr. hodnotenie súladu so strategickým dokumentom, ktoré je na</w:t>
      </w:r>
      <w:r w:rsidR="000C761F">
        <w:rPr>
          <w:bCs/>
          <w:iCs/>
        </w:rPr>
        <w:t> </w:t>
      </w:r>
      <w:r>
        <w:rPr>
          <w:bCs/>
          <w:iCs/>
        </w:rPr>
        <w:t>všeobecnom a subjektívnom posúdení) v rámci skupiny navzájom</w:t>
      </w:r>
      <w:r w:rsidR="006F3B93">
        <w:rPr>
          <w:bCs/>
          <w:iCs/>
        </w:rPr>
        <w:t>,</w:t>
      </w:r>
      <w:r>
        <w:rPr>
          <w:bCs/>
          <w:iCs/>
        </w:rPr>
        <w:t xml:space="preserve"> a to s prihliadnutím na</w:t>
      </w:r>
      <w:r w:rsidR="000C761F">
        <w:rPr>
          <w:bCs/>
          <w:iCs/>
        </w:rPr>
        <w:t> </w:t>
      </w:r>
      <w:r>
        <w:rPr>
          <w:bCs/>
          <w:iCs/>
        </w:rPr>
        <w:t>konkrétne skutočnosti, ktoré môžu byť porovnávané v rámci všetkých ŽoNFP v danej skupine (</w:t>
      </w:r>
      <w:r w:rsidR="00C93F30">
        <w:rPr>
          <w:bCs/>
          <w:iCs/>
        </w:rPr>
        <w:t xml:space="preserve">t. j. </w:t>
      </w:r>
      <w:r>
        <w:rPr>
          <w:bCs/>
          <w:iCs/>
        </w:rPr>
        <w:t xml:space="preserve"> kritéria musia byť aplikované na všetky ŽoNFP rovnako).</w:t>
      </w:r>
    </w:p>
    <w:p w14:paraId="71CE6BD3" w14:textId="77777777" w:rsidR="00B650E5" w:rsidRDefault="00B650E5">
      <w:pPr>
        <w:numPr>
          <w:ilvl w:val="0"/>
          <w:numId w:val="62"/>
        </w:numPr>
        <w:spacing w:before="120" w:after="120"/>
        <w:ind w:left="426" w:hanging="426"/>
        <w:jc w:val="both"/>
      </w:pPr>
      <w:r>
        <w:rPr>
          <w:bCs/>
          <w:iCs/>
        </w:rPr>
        <w:t>Výberové kritériá majú kvantitatívny charakter a nepriraďuje sa im váha (napr. merná investičná náročnosť posudzovaná objektívnym a rovnakým spôsobom pri všetkých projektoch).</w:t>
      </w:r>
    </w:p>
    <w:p w14:paraId="170B6B20" w14:textId="77777777" w:rsidR="00B650E5" w:rsidRDefault="00B650E5">
      <w:pPr>
        <w:numPr>
          <w:ilvl w:val="0"/>
          <w:numId w:val="62"/>
        </w:numPr>
        <w:spacing w:before="120" w:after="120"/>
        <w:ind w:left="426" w:hanging="426"/>
        <w:jc w:val="both"/>
        <w:rPr>
          <w:bCs/>
          <w:iCs/>
        </w:rPr>
      </w:pPr>
      <w:r>
        <w:rPr>
          <w:bCs/>
          <w:iCs/>
        </w:rPr>
        <w:t>Výberové kritériá môžu byť definované nasledovne:</w:t>
      </w:r>
    </w:p>
    <w:p w14:paraId="2C196CA3" w14:textId="77777777" w:rsidR="00B650E5" w:rsidRDefault="00B650E5">
      <w:pPr>
        <w:numPr>
          <w:ilvl w:val="1"/>
          <w:numId w:val="342"/>
        </w:numPr>
        <w:spacing w:before="120" w:after="120"/>
        <w:ind w:left="851" w:hanging="425"/>
        <w:jc w:val="both"/>
        <w:rPr>
          <w:bCs/>
          <w:iCs/>
        </w:rPr>
      </w:pPr>
      <w:r>
        <w:rPr>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14:paraId="66698407" w14:textId="77777777" w:rsidR="00B650E5" w:rsidRDefault="00B650E5">
      <w:pPr>
        <w:numPr>
          <w:ilvl w:val="1"/>
          <w:numId w:val="342"/>
        </w:numPr>
        <w:spacing w:before="120" w:after="120"/>
        <w:ind w:left="851" w:hanging="425"/>
        <w:jc w:val="both"/>
        <w:rPr>
          <w:bCs/>
          <w:iCs/>
        </w:rPr>
      </w:pPr>
      <w:r>
        <w:rPr>
          <w:bCs/>
          <w:iCs/>
        </w:rPr>
        <w:t xml:space="preserve">ako samostatné objektívne kritérium, ktorého aplikáciou je vytvorené jednoznačné poradie v rámci skupiny vyberaných ŽoNFP (napr. zoradenie ŽoNFP na základe hodnoty </w:t>
      </w:r>
      <w:r>
        <w:rPr>
          <w:bCs/>
          <w:iCs/>
        </w:rPr>
        <w:lastRenderedPageBreak/>
        <w:t>konkrétneho, vopred stanoveného merateľného ukazovateľa od najvyššej plánovanej hodnoty po najnižšiu).</w:t>
      </w:r>
    </w:p>
    <w:p w14:paraId="78FAE013" w14:textId="77777777" w:rsidR="00B650E5" w:rsidRDefault="00B650E5">
      <w:pPr>
        <w:numPr>
          <w:ilvl w:val="0"/>
          <w:numId w:val="62"/>
        </w:numPr>
        <w:spacing w:before="120" w:after="120"/>
        <w:ind w:left="426" w:hanging="426"/>
        <w:jc w:val="both"/>
      </w:pPr>
      <w:r>
        <w:t>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rozlišovacie kritériá, ktoré RO aplikuje pre prípady určenie poradia v prípade rovnakého umiestnenia viacerých ŽoNFP.</w:t>
      </w:r>
    </w:p>
    <w:p w14:paraId="4B732972" w14:textId="77777777" w:rsidR="00B650E5" w:rsidRDefault="00B650E5">
      <w:pPr>
        <w:numPr>
          <w:ilvl w:val="0"/>
          <w:numId w:val="62"/>
        </w:numPr>
        <w:spacing w:before="120" w:after="120"/>
        <w:ind w:left="426" w:hanging="426"/>
        <w:jc w:val="both"/>
      </w:pPr>
      <w:r>
        <w:t>RO zabezpečí dostatočný audit trail, vrátane priradenia zodpovednosti za aplikáciu výberových kritérií na úrovni konkrétnych pracovných pozícií.</w:t>
      </w:r>
    </w:p>
    <w:p w14:paraId="1C09CDA9" w14:textId="77777777" w:rsidR="00B650E5" w:rsidRDefault="00B650E5" w:rsidP="0045286B">
      <w:pPr>
        <w:pStyle w:val="SRK4"/>
      </w:pPr>
      <w:bookmarkStart w:id="146" w:name="_Toc453233979"/>
      <w:bookmarkStart w:id="147" w:name="_Toc501630031"/>
      <w:r>
        <w:t>2.4.3.4 Príručka pre odborných hodnotiteľov</w:t>
      </w:r>
      <w:bookmarkEnd w:id="146"/>
      <w:bookmarkEnd w:id="147"/>
    </w:p>
    <w:p w14:paraId="3F239EAB" w14:textId="5E87F713" w:rsidR="00B650E5" w:rsidRDefault="00B650E5">
      <w:pPr>
        <w:numPr>
          <w:ilvl w:val="0"/>
          <w:numId w:val="63"/>
        </w:numPr>
        <w:spacing w:before="120" w:after="120"/>
        <w:ind w:left="425" w:hanging="425"/>
        <w:jc w:val="both"/>
      </w:pPr>
      <w:bookmarkStart w:id="148"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r w:rsidR="007A46AE">
        <w:t xml:space="preserve"> </w:t>
      </w:r>
      <w:r w:rsidR="00C26239">
        <w:t>Odporúčaný</w:t>
      </w:r>
      <w:r w:rsidR="00FA3999">
        <w:t xml:space="preserve"> štandard p</w:t>
      </w:r>
      <w:r w:rsidR="007A46AE">
        <w:t xml:space="preserve">ríručky pre odborných hodnotiteľov </w:t>
      </w:r>
      <w:r w:rsidR="00FA3999">
        <w:t>stanovuje vzor CKO</w:t>
      </w:r>
      <w:r w:rsidR="00FA3999">
        <w:rPr>
          <w:rStyle w:val="Odkaznapoznmkupodiarou"/>
        </w:rPr>
        <w:footnoteReference w:id="38"/>
      </w:r>
      <w:r w:rsidR="007A46AE">
        <w:t>.</w:t>
      </w:r>
    </w:p>
    <w:p w14:paraId="6B889706" w14:textId="77777777" w:rsidR="00B650E5" w:rsidRDefault="00B650E5">
      <w:pPr>
        <w:pStyle w:val="SRK3"/>
      </w:pPr>
      <w:bookmarkStart w:id="149" w:name="_Toc453233980"/>
      <w:bookmarkStart w:id="150" w:name="_Toc501630032"/>
      <w:r>
        <w:t>2.4.4 Príručka pre žiadateľa</w:t>
      </w:r>
      <w:bookmarkEnd w:id="149"/>
      <w:bookmarkEnd w:id="150"/>
      <w:r>
        <w:t xml:space="preserve"> </w:t>
      </w:r>
      <w:bookmarkEnd w:id="148"/>
    </w:p>
    <w:p w14:paraId="7216B64A" w14:textId="77777777" w:rsidR="00B650E5" w:rsidRDefault="00B650E5">
      <w:pPr>
        <w:numPr>
          <w:ilvl w:val="0"/>
          <w:numId w:val="59"/>
        </w:numPr>
        <w:spacing w:before="120" w:after="120"/>
        <w:ind w:left="426" w:hanging="426"/>
        <w:jc w:val="both"/>
        <w:rPr>
          <w:b/>
          <w:bCs/>
          <w:i/>
          <w:iCs/>
          <w:szCs w:val="22"/>
          <w:lang w:eastAsia="en-US"/>
        </w:rPr>
      </w:pPr>
      <w:bookmarkStart w:id="151" w:name="kapitola_244_ods_1"/>
      <w:r>
        <w:rPr>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14:paraId="6C5C317C" w14:textId="77777777" w:rsidR="00B650E5" w:rsidRDefault="00B650E5">
      <w:pPr>
        <w:numPr>
          <w:ilvl w:val="0"/>
          <w:numId w:val="59"/>
        </w:numPr>
        <w:spacing w:before="120" w:after="120"/>
        <w:ind w:left="426" w:hanging="426"/>
        <w:jc w:val="both"/>
        <w:rPr>
          <w:b/>
          <w:bCs/>
          <w:i/>
          <w:iCs/>
          <w:szCs w:val="22"/>
          <w:lang w:eastAsia="en-US"/>
        </w:rPr>
      </w:pPr>
      <w:bookmarkStart w:id="152" w:name="kapitola_244_ods_2"/>
      <w:bookmarkEnd w:id="151"/>
      <w:r>
        <w:rPr>
          <w:bCs/>
          <w:iCs/>
          <w:szCs w:val="22"/>
          <w:lang w:eastAsia="en-US"/>
        </w:rPr>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 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152"/>
    <w:p w14:paraId="27E364F3"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vypracuje príručku pre žiadateľa spravidla pre daný OP, príp. PO/špecifický cieľ alebo na</w:t>
      </w:r>
      <w:r w:rsidR="00742BA9" w:rsidRPr="00773876">
        <w:rPr>
          <w:bCs/>
          <w:iCs/>
          <w:szCs w:val="22"/>
          <w:lang w:eastAsia="en-US"/>
        </w:rPr>
        <w:t> </w:t>
      </w:r>
      <w:r w:rsidRPr="00773876">
        <w:rPr>
          <w:bCs/>
          <w:iCs/>
          <w:szCs w:val="22"/>
          <w:lang w:eastAsia="en-US"/>
        </w:rPr>
        <w:t xml:space="preserve">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14:paraId="59A47E57" w14:textId="3937176B"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 xml:space="preserve">RO pri vypracovaní príručky pre žiadateľa prihliada na minimalizovanie duplicitných informácií a na </w:t>
      </w:r>
      <w:r w:rsidR="00090E63">
        <w:rPr>
          <w:bCs/>
          <w:iCs/>
          <w:szCs w:val="22"/>
          <w:lang w:eastAsia="en-US"/>
        </w:rPr>
        <w:t>užívateľsky prívetivý</w:t>
      </w:r>
      <w:r w:rsidRPr="00773876">
        <w:rPr>
          <w:bCs/>
          <w:iCs/>
          <w:szCs w:val="22"/>
          <w:lang w:eastAsia="en-US"/>
        </w:rPr>
        <w:t xml:space="preserve"> formát poskytnutých informácií. </w:t>
      </w:r>
    </w:p>
    <w:p w14:paraId="168FB510"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RO nie je oprávnený v príručke pre žiadateľa stanovovať podmienky poskytnutia príspevku nad</w:t>
      </w:r>
      <w:r w:rsidR="00773876">
        <w:rPr>
          <w:bCs/>
          <w:iCs/>
          <w:szCs w:val="22"/>
          <w:lang w:eastAsia="en-US"/>
        </w:rPr>
        <w:t> </w:t>
      </w:r>
      <w:r w:rsidRPr="00773876">
        <w:rPr>
          <w:bCs/>
          <w:iCs/>
          <w:szCs w:val="22"/>
          <w:lang w:eastAsia="en-US"/>
        </w:rPr>
        <w:t xml:space="preserve">rozsah stanovený vo výzve. </w:t>
      </w:r>
    </w:p>
    <w:p w14:paraId="2221D80B" w14:textId="77777777" w:rsidR="00B650E5" w:rsidRPr="00773876" w:rsidRDefault="00B650E5">
      <w:pPr>
        <w:numPr>
          <w:ilvl w:val="0"/>
          <w:numId w:val="59"/>
        </w:numPr>
        <w:spacing w:before="120" w:after="120"/>
        <w:ind w:left="426" w:hanging="426"/>
        <w:jc w:val="both"/>
        <w:rPr>
          <w:bCs/>
          <w:iCs/>
          <w:szCs w:val="22"/>
          <w:lang w:eastAsia="en-US"/>
        </w:rPr>
      </w:pPr>
      <w:r w:rsidRPr="00773876">
        <w:rPr>
          <w:bCs/>
          <w:iCs/>
          <w:szCs w:val="22"/>
          <w:lang w:eastAsia="en-US"/>
        </w:rPr>
        <w:t>S prihliadnutím na účel vypracovania príručky pre žiadateľa je obsah a štruktúra príručky pre</w:t>
      </w:r>
      <w:r w:rsidR="00773876">
        <w:rPr>
          <w:bCs/>
          <w:iCs/>
          <w:szCs w:val="22"/>
          <w:lang w:eastAsia="en-US"/>
        </w:rPr>
        <w:t> </w:t>
      </w:r>
      <w:r w:rsidRPr="00773876">
        <w:rPr>
          <w:bCs/>
          <w:iCs/>
          <w:szCs w:val="22"/>
          <w:lang w:eastAsia="en-US"/>
        </w:rPr>
        <w:t xml:space="preserve">žiadateľa v kompetencii RO, musí však obsahovať minimálne tieto informácie: </w:t>
      </w:r>
    </w:p>
    <w:p w14:paraId="0769DE70"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Všeobecné informácie</w:t>
      </w:r>
      <w:r w:rsidRPr="00773876">
        <w:rPr>
          <w:bCs/>
          <w:iCs/>
          <w:szCs w:val="22"/>
          <w:lang w:eastAsia="en-US"/>
        </w:rPr>
        <w:t xml:space="preserve"> – cieľ príručky, definícia pojmov, platnosť príručky; </w:t>
      </w:r>
    </w:p>
    <w:p w14:paraId="03872A42" w14:textId="77777777" w:rsidR="00B650E5" w:rsidRPr="00773876" w:rsidRDefault="00B650E5">
      <w:pPr>
        <w:numPr>
          <w:ilvl w:val="0"/>
          <w:numId w:val="226"/>
        </w:numPr>
        <w:autoSpaceDE w:val="0"/>
        <w:autoSpaceDN w:val="0"/>
        <w:adjustRightInd w:val="0"/>
        <w:spacing w:before="120" w:after="120"/>
        <w:ind w:left="851" w:hanging="446"/>
        <w:jc w:val="both"/>
        <w:rPr>
          <w:bCs/>
          <w:iCs/>
          <w:szCs w:val="22"/>
          <w:lang w:eastAsia="en-US"/>
        </w:rPr>
      </w:pPr>
      <w:r w:rsidRPr="00773876">
        <w:rPr>
          <w:b/>
          <w:bCs/>
          <w:iCs/>
          <w:szCs w:val="22"/>
          <w:lang w:eastAsia="en-US"/>
        </w:rPr>
        <w:t>Pokyny pre žiadateľa v súvislosti s vypracovaním a predkladaním ŽoNFP</w:t>
      </w:r>
      <w:r w:rsidRPr="00773876">
        <w:rPr>
          <w:bCs/>
          <w:iCs/>
          <w:szCs w:val="22"/>
          <w:lang w:eastAsia="en-US"/>
        </w:rPr>
        <w:t xml:space="preserve"> – RO uvedie odkaz na dokument vypracovaný na úrovni CKO, ktorý popisuje spôsob vypracovania ŽoNFP prostredníctvom ITMS 2014+. Osobitne RO definuje spôsob predkladania ŽoNFP </w:t>
      </w:r>
      <w:r w:rsidRPr="00773876">
        <w:rPr>
          <w:bCs/>
          <w:iCs/>
          <w:szCs w:val="22"/>
          <w:lang w:eastAsia="en-US"/>
        </w:rPr>
        <w:lastRenderedPageBreak/>
        <w:t>v podmienkach konkrétneho RO (osobné odovzdanie, poštová preprava a pod., miesto na</w:t>
      </w:r>
      <w:r w:rsidR="00773876">
        <w:rPr>
          <w:bCs/>
          <w:iCs/>
          <w:szCs w:val="22"/>
          <w:lang w:eastAsia="en-US"/>
        </w:rPr>
        <w:t> </w:t>
      </w:r>
      <w:r w:rsidRPr="00773876">
        <w:rPr>
          <w:bCs/>
          <w:iCs/>
          <w:szCs w:val="22"/>
          <w:lang w:eastAsia="en-US"/>
        </w:rPr>
        <w:t>zaslanie dokumentov);</w:t>
      </w:r>
    </w:p>
    <w:p w14:paraId="736CE8F6"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Postupy schvaľovania ŽoNFP</w:t>
      </w:r>
      <w:r>
        <w:rPr>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Pr>
          <w:t>v kapitol</w:t>
        </w:r>
        <w:r>
          <w:rPr>
            <w:rStyle w:val="Hypertextovprepojenie"/>
            <w:bCs/>
            <w:iCs/>
            <w:szCs w:val="22"/>
            <w:lang w:eastAsia="en-US"/>
          </w:rPr>
          <w:t>e</w:t>
        </w:r>
        <w:r>
          <w:rPr>
            <w:rStyle w:val="Hypertextovprepojenie"/>
          </w:rPr>
          <w:t xml:space="preserve"> </w:t>
        </w:r>
        <w:r>
          <w:rPr>
            <w:rStyle w:val="Hypertextovprepojenie"/>
            <w:bCs/>
            <w:iCs/>
            <w:szCs w:val="22"/>
            <w:lang w:eastAsia="en-US"/>
          </w:rPr>
          <w:t>3.</w:t>
        </w:r>
        <w:r>
          <w:rPr>
            <w:rStyle w:val="Hypertextovprepojenie"/>
          </w:rPr>
          <w:t>2</w:t>
        </w:r>
      </w:hyperlink>
      <w:r>
        <w:rPr>
          <w:bCs/>
          <w:iCs/>
          <w:szCs w:val="22"/>
          <w:lang w:eastAsia="en-US"/>
        </w:rPr>
        <w:t>, vrátane komplexného popisu riešenia opravných prostriedkov;</w:t>
      </w:r>
    </w:p>
    <w:p w14:paraId="34320E0B"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 xml:space="preserve">Informácia o HP </w:t>
      </w:r>
      <w:r>
        <w:rPr>
          <w:bCs/>
          <w:iCs/>
          <w:szCs w:val="22"/>
          <w:lang w:eastAsia="en-US"/>
        </w:rPr>
        <w:t>– RO spolupracuje pri vypracúvaní relevantnej časti s gestormi HP;</w:t>
      </w:r>
    </w:p>
    <w:p w14:paraId="7F518C64"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Odkaz na zverejnený štandardný formulár zmluvy o NFP a popis</w:t>
      </w:r>
      <w:r>
        <w:rPr>
          <w:bCs/>
          <w:iCs/>
          <w:szCs w:val="22"/>
          <w:lang w:eastAsia="en-US"/>
        </w:rPr>
        <w:t xml:space="preserve"> </w:t>
      </w:r>
      <w:r>
        <w:rPr>
          <w:b/>
          <w:bCs/>
          <w:iCs/>
          <w:szCs w:val="22"/>
          <w:lang w:eastAsia="en-US"/>
        </w:rPr>
        <w:t>postupov pre</w:t>
      </w:r>
      <w:r w:rsidR="00773876">
        <w:rPr>
          <w:b/>
          <w:bCs/>
          <w:iCs/>
          <w:szCs w:val="22"/>
          <w:lang w:eastAsia="en-US"/>
        </w:rPr>
        <w:t> </w:t>
      </w:r>
      <w:r>
        <w:rPr>
          <w:b/>
          <w:bCs/>
          <w:iCs/>
          <w:szCs w:val="22"/>
          <w:lang w:eastAsia="en-US"/>
        </w:rPr>
        <w:t>uzavretie zmluvy o NFP</w:t>
      </w:r>
      <w:r>
        <w:rPr>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bCs/>
          <w:iCs/>
          <w:szCs w:val="22"/>
          <w:lang w:eastAsia="en-US"/>
        </w:rPr>
        <w:t>implementácie projektov</w:t>
      </w:r>
      <w:r w:rsidR="00773876">
        <w:rPr>
          <w:bCs/>
          <w:iCs/>
          <w:szCs w:val="22"/>
          <w:lang w:eastAsia="en-US"/>
        </w:rPr>
        <w:t>;</w:t>
      </w:r>
      <w:r w:rsidRPr="009078F6">
        <w:rPr>
          <w:bCs/>
          <w:iCs/>
          <w:szCs w:val="22"/>
          <w:lang w:eastAsia="en-US"/>
        </w:rPr>
        <w:t xml:space="preserve"> </w:t>
      </w:r>
    </w:p>
    <w:p w14:paraId="7683D4B5" w14:textId="77777777" w:rsidR="00B650E5" w:rsidRDefault="00B650E5">
      <w:pPr>
        <w:numPr>
          <w:ilvl w:val="0"/>
          <w:numId w:val="226"/>
        </w:numPr>
        <w:autoSpaceDE w:val="0"/>
        <w:autoSpaceDN w:val="0"/>
        <w:adjustRightInd w:val="0"/>
        <w:spacing w:before="120" w:after="120"/>
        <w:ind w:left="851" w:hanging="446"/>
        <w:jc w:val="both"/>
        <w:rPr>
          <w:bCs/>
          <w:iCs/>
          <w:szCs w:val="22"/>
          <w:lang w:eastAsia="en-US"/>
        </w:rPr>
      </w:pPr>
      <w:r>
        <w:rPr>
          <w:b/>
          <w:bCs/>
          <w:iCs/>
          <w:szCs w:val="22"/>
          <w:lang w:eastAsia="en-US"/>
        </w:rPr>
        <w:t>Komunikácia</w:t>
      </w:r>
      <w:r>
        <w:rPr>
          <w:bCs/>
          <w:iCs/>
          <w:szCs w:val="22"/>
          <w:lang w:eastAsia="en-US"/>
        </w:rPr>
        <w:t xml:space="preserve"> </w:t>
      </w:r>
      <w:r>
        <w:rPr>
          <w:b/>
          <w:bCs/>
          <w:iCs/>
          <w:szCs w:val="22"/>
          <w:lang w:eastAsia="en-US"/>
        </w:rPr>
        <w:t>medzi žiadateľmi a RO počas trvania výzvy a konania o ŽoNFP</w:t>
      </w:r>
      <w:r>
        <w:rPr>
          <w:bCs/>
          <w:iCs/>
          <w:szCs w:val="22"/>
          <w:lang w:eastAsia="en-US"/>
        </w:rPr>
        <w:t xml:space="preserve">. </w:t>
      </w:r>
    </w:p>
    <w:p w14:paraId="3A8411AD" w14:textId="77777777" w:rsidR="00B650E5" w:rsidRDefault="00B650E5">
      <w:pPr>
        <w:numPr>
          <w:ilvl w:val="0"/>
          <w:numId w:val="59"/>
        </w:numPr>
        <w:spacing w:before="120" w:after="120"/>
        <w:ind w:left="426" w:hanging="426"/>
        <w:jc w:val="both"/>
        <w:rPr>
          <w:bCs/>
          <w:iCs/>
          <w:szCs w:val="22"/>
          <w:lang w:eastAsia="en-US"/>
        </w:rPr>
      </w:pPr>
      <w:r>
        <w:rPr>
          <w:bCs/>
          <w:iCs/>
          <w:szCs w:val="22"/>
          <w:lang w:eastAsia="en-US"/>
        </w:rPr>
        <w:t xml:space="preserve">RO definuje informácie uvedené v predchádzajúcom odseku vo vhodnej a dostatočne podrobnej forme tak, aby minimalizoval riziko nesprávneho vypracovania a predloženia ŽoNFP. </w:t>
      </w:r>
    </w:p>
    <w:p w14:paraId="77A6DF4E" w14:textId="77777777" w:rsidR="00B650E5" w:rsidRDefault="00B650E5">
      <w:pPr>
        <w:numPr>
          <w:ilvl w:val="0"/>
          <w:numId w:val="59"/>
        </w:numPr>
        <w:spacing w:before="120" w:after="120"/>
        <w:ind w:left="426" w:hanging="426"/>
        <w:jc w:val="both"/>
        <w:rPr>
          <w:lang w:eastAsia="en-US"/>
        </w:rPr>
      </w:pPr>
      <w:r>
        <w:rPr>
          <w:bCs/>
          <w:iCs/>
          <w:szCs w:val="22"/>
          <w:lang w:eastAsia="en-US"/>
        </w:rPr>
        <w:t>Príručka pre žiadateľa neobsahuje informácie týkajúce sa realizácie projektov. Tieto informácie sú obsahom príručky pre prijímateľa.</w:t>
      </w:r>
    </w:p>
    <w:p w14:paraId="57D19BC9" w14:textId="77777777" w:rsidR="00B650E5" w:rsidRDefault="00B650E5">
      <w:pPr>
        <w:numPr>
          <w:ilvl w:val="0"/>
          <w:numId w:val="59"/>
        </w:numPr>
        <w:spacing w:before="120" w:after="120"/>
        <w:ind w:left="426" w:hanging="426"/>
        <w:jc w:val="both"/>
        <w:rPr>
          <w:lang w:eastAsia="en-US"/>
        </w:rPr>
      </w:pPr>
      <w:r>
        <w:rPr>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bCs/>
            <w:iCs/>
            <w:szCs w:val="22"/>
            <w:lang w:eastAsia="en-US"/>
          </w:rPr>
          <w:t>ods. 2 tejto kapitoly</w:t>
        </w:r>
      </w:hyperlink>
      <w:r>
        <w:rPr>
          <w:bCs/>
          <w:iCs/>
          <w:szCs w:val="22"/>
          <w:lang w:eastAsia="en-US"/>
        </w:rPr>
        <w:t>) ako prílohu výzvy na predkladanie projektových zámerov.</w:t>
      </w:r>
    </w:p>
    <w:p w14:paraId="1F524FF4" w14:textId="77777777" w:rsidR="00B650E5" w:rsidRDefault="00B650E5">
      <w:pPr>
        <w:pStyle w:val="SRK3"/>
        <w:tabs>
          <w:tab w:val="left" w:pos="7950"/>
        </w:tabs>
      </w:pPr>
      <w:bookmarkStart w:id="153" w:name="_Toc453233981"/>
      <w:bookmarkStart w:id="154" w:name="_Toc501630033"/>
      <w:r>
        <w:t>2.4.5 Príručka pre prijímateľa</w:t>
      </w:r>
      <w:bookmarkEnd w:id="153"/>
      <w:bookmarkEnd w:id="154"/>
    </w:p>
    <w:p w14:paraId="33D206A1" w14:textId="77777777" w:rsidR="00B650E5" w:rsidRDefault="00B650E5">
      <w:pPr>
        <w:numPr>
          <w:ilvl w:val="0"/>
          <w:numId w:val="60"/>
        </w:numPr>
        <w:spacing w:before="120" w:after="120"/>
        <w:ind w:left="426" w:hanging="426"/>
        <w:jc w:val="both"/>
        <w:rPr>
          <w:bCs/>
          <w:iCs/>
          <w:szCs w:val="22"/>
          <w:lang w:eastAsia="en-US"/>
        </w:rPr>
      </w:pPr>
      <w:bookmarkStart w:id="155" w:name="_Toc378947492"/>
      <w:r>
        <w:rPr>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 v relevantných prípadoch (najmä ak to nie je zrejmé zo samotného popisu nedostatku) opisuje spôsoby ich eliminácie. </w:t>
      </w:r>
    </w:p>
    <w:p w14:paraId="1B5510CD"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vypracuje príručku pre prijímateľa spravidla pre daný OP, príp. PO/špecifický cieľ, prípadne pre vecne podobnú skupinu projektov a/alebo prijímateľov. </w:t>
      </w:r>
    </w:p>
    <w:p w14:paraId="297258CC" w14:textId="00C17188" w:rsidR="00B650E5" w:rsidRDefault="00B650E5">
      <w:pPr>
        <w:numPr>
          <w:ilvl w:val="0"/>
          <w:numId w:val="60"/>
        </w:numPr>
        <w:spacing w:before="120" w:after="120"/>
        <w:ind w:left="426" w:hanging="426"/>
        <w:jc w:val="both"/>
        <w:rPr>
          <w:bCs/>
          <w:iCs/>
          <w:szCs w:val="22"/>
          <w:lang w:eastAsia="en-US"/>
        </w:rPr>
      </w:pPr>
      <w:r>
        <w:rPr>
          <w:bCs/>
          <w:iCs/>
          <w:szCs w:val="22"/>
          <w:lang w:eastAsia="en-US"/>
        </w:rPr>
        <w:t xml:space="preserve">RO pri vypracovaní príručky pre prijímateľa prihliada na minimalizovanie duplicitných informácií a na </w:t>
      </w:r>
      <w:r w:rsidR="00090E63">
        <w:rPr>
          <w:bCs/>
          <w:iCs/>
          <w:szCs w:val="22"/>
          <w:lang w:eastAsia="en-US"/>
        </w:rPr>
        <w:t>užívateľsky prívetivý</w:t>
      </w:r>
      <w:r>
        <w:rPr>
          <w:bCs/>
          <w:iCs/>
          <w:szCs w:val="22"/>
          <w:lang w:eastAsia="en-US"/>
        </w:rPr>
        <w:t xml:space="preserve"> formát poskytnutých informácií. Príručka pre prijímateľa obsahuje predovšetkým popis aplikácie a procesný spôsob výkonu jednotlivých práv a povinností, ktoré musia byť vždy primárne určené v zmluve o NFP.</w:t>
      </w:r>
    </w:p>
    <w:p w14:paraId="22C55929" w14:textId="77777777" w:rsidR="00B650E5" w:rsidRDefault="00B650E5">
      <w:pPr>
        <w:numPr>
          <w:ilvl w:val="0"/>
          <w:numId w:val="60"/>
        </w:numPr>
        <w:spacing w:before="120" w:after="120"/>
        <w:ind w:left="426" w:hanging="426"/>
        <w:jc w:val="both"/>
        <w:rPr>
          <w:bCs/>
          <w:iCs/>
          <w:szCs w:val="22"/>
          <w:lang w:eastAsia="en-US"/>
        </w:rPr>
      </w:pPr>
      <w:r>
        <w:rPr>
          <w:bCs/>
          <w:iCs/>
          <w:szCs w:val="22"/>
          <w:lang w:eastAsia="en-US"/>
        </w:rPr>
        <w:t>S prihliadnutím na účel vypracovania príručky pre prijímateľa je obsah a štruktúra príručky pre</w:t>
      </w:r>
      <w:r w:rsidR="00773876">
        <w:rPr>
          <w:bCs/>
          <w:iCs/>
          <w:szCs w:val="22"/>
          <w:lang w:eastAsia="en-US"/>
        </w:rPr>
        <w:t> </w:t>
      </w:r>
      <w:r>
        <w:rPr>
          <w:bCs/>
          <w:iCs/>
          <w:szCs w:val="22"/>
          <w:lang w:eastAsia="en-US"/>
        </w:rPr>
        <w:t>prijímateľa v kompetencii RO, musí však obsahovať minimálne tieto informácie:</w:t>
      </w:r>
    </w:p>
    <w:p w14:paraId="07FA4593"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Všeobecné informácie</w:t>
      </w:r>
      <w:r>
        <w:rPr>
          <w:bCs/>
          <w:iCs/>
          <w:szCs w:val="22"/>
          <w:lang w:eastAsia="en-US"/>
        </w:rPr>
        <w:t xml:space="preserve"> – cieľ príručky, platnosť príručky; </w:t>
      </w:r>
    </w:p>
    <w:p w14:paraId="274BDD6A" w14:textId="77777777" w:rsidR="00B650E5" w:rsidRPr="00773876" w:rsidRDefault="00B650E5">
      <w:pPr>
        <w:numPr>
          <w:ilvl w:val="1"/>
          <w:numId w:val="227"/>
        </w:numPr>
        <w:spacing w:before="120" w:after="120"/>
        <w:ind w:left="851" w:hanging="425"/>
        <w:jc w:val="both"/>
        <w:rPr>
          <w:b/>
          <w:bCs/>
          <w:iCs/>
          <w:szCs w:val="22"/>
          <w:lang w:eastAsia="en-US"/>
        </w:rPr>
      </w:pPr>
      <w:r>
        <w:rPr>
          <w:b/>
          <w:bCs/>
          <w:iCs/>
          <w:szCs w:val="22"/>
          <w:lang w:eastAsia="en-US"/>
        </w:rPr>
        <w:t xml:space="preserve">Informácie o spôsoboch kontroly projektov, vrátane finančnej kontroly VO – </w:t>
      </w:r>
      <w:r>
        <w:rPr>
          <w:bCs/>
          <w:iCs/>
          <w:szCs w:val="22"/>
          <w:lang w:eastAsia="en-US"/>
        </w:rPr>
        <w:t xml:space="preserve">osobitná časť týkajúca sa kontroly VO definuje aj pravidlá pre zverejňovanie zákaziek nad 15 000 EUR bez DPH na webovom sídle prijímateľa v súlade s postupom </w:t>
      </w:r>
      <w:r w:rsidRPr="00773876">
        <w:rPr>
          <w:bCs/>
          <w:iCs/>
          <w:szCs w:val="22"/>
          <w:lang w:eastAsia="en-US"/>
        </w:rPr>
        <w:t>upraveným v</w:t>
      </w:r>
      <w:r w:rsidR="00773876">
        <w:rPr>
          <w:bCs/>
          <w:iCs/>
          <w:szCs w:val="22"/>
          <w:lang w:eastAsia="en-US"/>
        </w:rPr>
        <w:t> </w:t>
      </w:r>
      <w:hyperlink w:anchor="kapitola_337251" w:history="1">
        <w:r w:rsidR="00773876" w:rsidRPr="00773876">
          <w:rPr>
            <w:rStyle w:val="Hypertextovprepojenie"/>
            <w:bCs/>
            <w:iCs/>
            <w:szCs w:val="22"/>
            <w:lang w:eastAsia="en-US"/>
          </w:rPr>
          <w:t>kapitol</w:t>
        </w:r>
        <w:r w:rsidR="00773876">
          <w:rPr>
            <w:rStyle w:val="Hypertextovprepojenie"/>
            <w:bCs/>
            <w:iCs/>
            <w:szCs w:val="22"/>
            <w:lang w:eastAsia="en-US"/>
          </w:rPr>
          <w:t>e 3.3.7.2.5.1</w:t>
        </w:r>
      </w:hyperlink>
      <w:r w:rsidR="00773876">
        <w:rPr>
          <w:bCs/>
          <w:iCs/>
          <w:szCs w:val="22"/>
          <w:lang w:eastAsia="en-US"/>
        </w:rPr>
        <w:t>;</w:t>
      </w:r>
    </w:p>
    <w:p w14:paraId="2479EA26"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w:t>
      </w:r>
      <w:r>
        <w:rPr>
          <w:bCs/>
          <w:iCs/>
          <w:szCs w:val="22"/>
          <w:lang w:eastAsia="en-US"/>
        </w:rPr>
        <w:t xml:space="preserve"> </w:t>
      </w:r>
      <w:r>
        <w:rPr>
          <w:b/>
          <w:bCs/>
          <w:iCs/>
          <w:szCs w:val="22"/>
          <w:lang w:eastAsia="en-US"/>
        </w:rPr>
        <w:t>o spôsobe poskytovania informácií</w:t>
      </w:r>
      <w:r>
        <w:rPr>
          <w:bCs/>
          <w:iCs/>
          <w:szCs w:val="22"/>
          <w:lang w:eastAsia="en-US"/>
        </w:rPr>
        <w:t xml:space="preserve"> </w:t>
      </w:r>
      <w:r>
        <w:rPr>
          <w:b/>
          <w:bCs/>
          <w:iCs/>
          <w:szCs w:val="22"/>
          <w:lang w:eastAsia="en-US"/>
        </w:rPr>
        <w:t>a dát</w:t>
      </w:r>
      <w:r>
        <w:rPr>
          <w:bCs/>
          <w:iCs/>
          <w:szCs w:val="22"/>
          <w:lang w:eastAsia="en-US"/>
        </w:rPr>
        <w:t xml:space="preserve"> pre RO, predkladania monitorovacích správ; </w:t>
      </w:r>
    </w:p>
    <w:p w14:paraId="741887F2" w14:textId="77777777" w:rsidR="00B650E5" w:rsidRDefault="00B650E5">
      <w:pPr>
        <w:numPr>
          <w:ilvl w:val="1"/>
          <w:numId w:val="227"/>
        </w:numPr>
        <w:spacing w:before="120" w:after="120"/>
        <w:ind w:left="851" w:hanging="425"/>
        <w:jc w:val="both"/>
        <w:rPr>
          <w:bCs/>
          <w:iCs/>
          <w:szCs w:val="22"/>
          <w:lang w:eastAsia="en-US"/>
        </w:rPr>
      </w:pPr>
      <w:r>
        <w:rPr>
          <w:b/>
          <w:bCs/>
          <w:iCs/>
          <w:szCs w:val="22"/>
          <w:lang w:eastAsia="en-US"/>
        </w:rPr>
        <w:t>Informácie o postupe pri zmenách projektu v priebehu implementácie</w:t>
      </w:r>
      <w:r>
        <w:rPr>
          <w:bCs/>
          <w:iCs/>
          <w:szCs w:val="22"/>
          <w:lang w:eastAsia="en-US"/>
        </w:rPr>
        <w:t>;</w:t>
      </w:r>
    </w:p>
    <w:p w14:paraId="6C244E71" w14:textId="77777777" w:rsidR="00B650E5" w:rsidRDefault="00B650E5">
      <w:pPr>
        <w:numPr>
          <w:ilvl w:val="1"/>
          <w:numId w:val="227"/>
        </w:numPr>
        <w:spacing w:before="120" w:after="120"/>
        <w:ind w:left="851" w:hanging="425"/>
        <w:jc w:val="both"/>
        <w:rPr>
          <w:b/>
          <w:bCs/>
          <w:iCs/>
          <w:szCs w:val="22"/>
          <w:lang w:eastAsia="en-US"/>
        </w:rPr>
      </w:pPr>
      <w:r>
        <w:rPr>
          <w:b/>
          <w:bCs/>
          <w:iCs/>
          <w:szCs w:val="22"/>
          <w:lang w:eastAsia="en-US"/>
        </w:rPr>
        <w:lastRenderedPageBreak/>
        <w:t>Informácie o financovaní projektu</w:t>
      </w:r>
      <w:r>
        <w:rPr>
          <w:bCs/>
          <w:iCs/>
          <w:szCs w:val="22"/>
          <w:lang w:eastAsia="en-US"/>
        </w:rPr>
        <w:t>;</w:t>
      </w:r>
      <w:r>
        <w:rPr>
          <w:b/>
          <w:bCs/>
          <w:iCs/>
          <w:szCs w:val="22"/>
          <w:lang w:eastAsia="en-US"/>
        </w:rPr>
        <w:t xml:space="preserve"> </w:t>
      </w:r>
    </w:p>
    <w:p w14:paraId="47E224E2"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Informácie obsahujúce sumár </w:t>
      </w:r>
      <w:r>
        <w:rPr>
          <w:b/>
          <w:bCs/>
          <w:iCs/>
          <w:szCs w:val="22"/>
          <w:lang w:eastAsia="en-US"/>
        </w:rPr>
        <w:t>najčastejších identifikovaných chýb</w:t>
      </w:r>
      <w:r>
        <w:rPr>
          <w:bCs/>
          <w:iCs/>
          <w:szCs w:val="22"/>
          <w:lang w:eastAsia="en-US"/>
        </w:rPr>
        <w:t xml:space="preserve"> v priebehu</w:t>
      </w:r>
      <w:r w:rsidR="00773876">
        <w:rPr>
          <w:bCs/>
          <w:iCs/>
          <w:szCs w:val="22"/>
          <w:lang w:eastAsia="en-US"/>
        </w:rPr>
        <w:t xml:space="preserve"> </w:t>
      </w:r>
      <w:r>
        <w:rPr>
          <w:bCs/>
          <w:iCs/>
          <w:szCs w:val="22"/>
          <w:lang w:eastAsia="en-US"/>
        </w:rPr>
        <w:t>implementácie projektov (ak relevantné s ohľadom na predchádzajúce skúsenosti RO s podobnými chybami v rámci implementácie projektov);</w:t>
      </w:r>
    </w:p>
    <w:p w14:paraId="49ADD83B" w14:textId="77777777" w:rsidR="00B650E5" w:rsidRDefault="00B650E5">
      <w:pPr>
        <w:numPr>
          <w:ilvl w:val="1"/>
          <w:numId w:val="227"/>
        </w:numPr>
        <w:spacing w:before="120" w:after="120"/>
        <w:ind w:left="851" w:hanging="425"/>
        <w:jc w:val="both"/>
        <w:rPr>
          <w:bCs/>
          <w:iCs/>
          <w:szCs w:val="22"/>
          <w:lang w:eastAsia="en-US"/>
        </w:rPr>
      </w:pPr>
      <w:r>
        <w:rPr>
          <w:bCs/>
          <w:iCs/>
          <w:szCs w:val="22"/>
          <w:lang w:eastAsia="en-US"/>
        </w:rPr>
        <w:t xml:space="preserve">Komunikácia medzi prijímateľmi a RO počas implementácie projektov. </w:t>
      </w:r>
    </w:p>
    <w:p w14:paraId="2D4D1904" w14:textId="77777777" w:rsidR="00B650E5" w:rsidRPr="007A00B7" w:rsidRDefault="00B650E5" w:rsidP="00DE5D89">
      <w:pPr>
        <w:numPr>
          <w:ilvl w:val="0"/>
          <w:numId w:val="60"/>
        </w:numPr>
        <w:spacing w:before="120" w:after="120"/>
        <w:ind w:left="426" w:hanging="426"/>
        <w:jc w:val="both"/>
        <w:rPr>
          <w:bCs/>
          <w:iCs/>
          <w:szCs w:val="22"/>
          <w:lang w:eastAsia="en-US"/>
        </w:rPr>
      </w:pPr>
      <w:r>
        <w:rPr>
          <w:bCs/>
          <w:iCs/>
          <w:szCs w:val="22"/>
          <w:lang w:eastAsia="en-US"/>
        </w:rPr>
        <w:t>RO zverejňuje príručku pre prijímateľa a každú jej aktualizáciu na svojom webovom sídle s jasným označením verzie a dátumu, od kedy je predmetná verzia účinná. Príručka pre</w:t>
      </w:r>
      <w:r w:rsidR="00D45D1E">
        <w:rPr>
          <w:bCs/>
          <w:iCs/>
          <w:szCs w:val="22"/>
          <w:lang w:eastAsia="en-US"/>
        </w:rPr>
        <w:t> </w:t>
      </w:r>
      <w:r>
        <w:rPr>
          <w:bCs/>
          <w:iCs/>
          <w:szCs w:val="22"/>
          <w:lang w:eastAsia="en-US"/>
        </w:rPr>
        <w:t xml:space="preserve">prijímateľa a jej aktualizácia nesmie nadobudnúť účinnosť skôr ako došlo k jej zverejneniu. </w:t>
      </w:r>
      <w:r w:rsidRPr="009078F6">
        <w:rPr>
          <w:bCs/>
          <w:iCs/>
          <w:szCs w:val="22"/>
          <w:lang w:eastAsia="en-US"/>
        </w:rPr>
        <w:t>Informácie týkajúce sa implementácie projektov, ktoré sú obsiahnuté v P</w:t>
      </w:r>
      <w:r w:rsidRPr="007A00B7">
        <w:rPr>
          <w:bCs/>
          <w:iCs/>
          <w:szCs w:val="22"/>
          <w:lang w:eastAsia="en-US"/>
        </w:rPr>
        <w:t xml:space="preserve">ríručke pre prijímateľa a tiež v Zmluve o NFP, vrátane požiadaviek týkajúcich sa VO, finančného plánu a časového obmedzenia realizácie projektov musia byť k dispozícii pre potenciálnych prijímateľov, </w:t>
      </w:r>
      <w:r w:rsidR="00C93F30">
        <w:rPr>
          <w:bCs/>
          <w:iCs/>
          <w:szCs w:val="22"/>
          <w:lang w:eastAsia="en-US"/>
        </w:rPr>
        <w:t xml:space="preserve">t. j. </w:t>
      </w:r>
      <w:r w:rsidRPr="007A00B7">
        <w:rPr>
          <w:bCs/>
          <w:iCs/>
          <w:szCs w:val="22"/>
          <w:lang w:eastAsia="en-US"/>
        </w:rPr>
        <w:t xml:space="preserve"> zverejnené na webovom sídle najneskôr v čase vyhlásenia výzvy.</w:t>
      </w:r>
    </w:p>
    <w:p w14:paraId="01C5702B" w14:textId="77777777" w:rsidR="00B650E5" w:rsidRDefault="00B650E5">
      <w:pPr>
        <w:pStyle w:val="SRK3"/>
      </w:pPr>
      <w:bookmarkStart w:id="156" w:name="_Toc453233982"/>
      <w:bookmarkStart w:id="157" w:name="_Toc501630034"/>
      <w:r>
        <w:t>2.4.6 Merateľné ukazovatele</w:t>
      </w:r>
      <w:bookmarkEnd w:id="156"/>
      <w:bookmarkEnd w:id="157"/>
    </w:p>
    <w:p w14:paraId="0E6CE090" w14:textId="77777777" w:rsidR="00B650E5" w:rsidRDefault="00B650E5">
      <w:pPr>
        <w:numPr>
          <w:ilvl w:val="0"/>
          <w:numId w:val="306"/>
        </w:numPr>
        <w:spacing w:before="120" w:after="120"/>
        <w:ind w:left="425" w:hanging="425"/>
        <w:jc w:val="both"/>
        <w:rPr>
          <w:szCs w:val="22"/>
          <w:lang w:eastAsia="en-US"/>
        </w:rPr>
      </w:pPr>
      <w:r>
        <w:rPr>
          <w:szCs w:val="22"/>
          <w:lang w:eastAsia="en-US"/>
        </w:rPr>
        <w:t xml:space="preserve">V súvislosti s prípravou OP je RO zodpovedný za nastavenie efektívneho a účinného systému merateľných ukazovateľov na úrovni OP. </w:t>
      </w:r>
    </w:p>
    <w:p w14:paraId="01EFBDF9" w14:textId="77777777" w:rsidR="00B650E5" w:rsidRDefault="00B650E5">
      <w:pPr>
        <w:numPr>
          <w:ilvl w:val="0"/>
          <w:numId w:val="306"/>
        </w:numPr>
        <w:spacing w:before="120" w:after="120"/>
        <w:ind w:left="425" w:hanging="425"/>
        <w:jc w:val="both"/>
        <w:rPr>
          <w:szCs w:val="22"/>
          <w:lang w:eastAsia="en-US"/>
        </w:rPr>
      </w:pPr>
      <w:r>
        <w:rPr>
          <w:szCs w:val="22"/>
          <w:lang w:eastAsia="en-US"/>
        </w:rPr>
        <w:t>V nadväznosti na stanovenie efektívneho systému merateľných ukazovateľov OP je RO zodpovedný rovnako za nastavenie účinného systému ukazovateľov projektov.</w:t>
      </w:r>
    </w:p>
    <w:p w14:paraId="6557B2C6" w14:textId="77777777" w:rsidR="00B650E5" w:rsidRDefault="00B650E5">
      <w:pPr>
        <w:numPr>
          <w:ilvl w:val="0"/>
          <w:numId w:val="306"/>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14:paraId="70725469" w14:textId="77777777" w:rsidR="00B650E5" w:rsidRDefault="00B650E5">
      <w:pPr>
        <w:numPr>
          <w:ilvl w:val="1"/>
          <w:numId w:val="307"/>
        </w:numPr>
        <w:spacing w:before="120" w:after="120"/>
        <w:ind w:left="851" w:hanging="425"/>
        <w:rPr>
          <w:lang w:val="pl-PL"/>
        </w:rPr>
      </w:pPr>
      <w:r>
        <w:rPr>
          <w:lang w:val="pl-PL"/>
        </w:rPr>
        <w:t>finančné ukazovatele súvisiace s vyčlenenými výdavkami;</w:t>
      </w:r>
    </w:p>
    <w:p w14:paraId="6D1D2200" w14:textId="77777777" w:rsidR="00B650E5" w:rsidRDefault="00B650E5" w:rsidP="001B709E">
      <w:pPr>
        <w:numPr>
          <w:ilvl w:val="1"/>
          <w:numId w:val="307"/>
        </w:numPr>
        <w:spacing w:before="120" w:after="120"/>
        <w:ind w:left="851" w:hanging="425"/>
        <w:jc w:val="both"/>
        <w:rPr>
          <w:lang w:val="pl-PL"/>
        </w:rPr>
      </w:pPr>
      <w:r>
        <w:rPr>
          <w:lang w:val="pl-PL"/>
        </w:rPr>
        <w:t>ukazovatele výstupov súvisiace s podporovanými operáciami; (čl. 96 ods. 2, písm. b) (iv) všeobecného nariadenia);</w:t>
      </w:r>
    </w:p>
    <w:p w14:paraId="11AE3C89" w14:textId="77777777" w:rsidR="00B650E5" w:rsidRDefault="00B650E5">
      <w:pPr>
        <w:numPr>
          <w:ilvl w:val="1"/>
          <w:numId w:val="307"/>
        </w:numPr>
        <w:spacing w:before="120" w:after="120"/>
        <w:ind w:left="851" w:hanging="425"/>
        <w:jc w:val="both"/>
      </w:pPr>
      <w:r>
        <w:rPr>
          <w:lang w:val="pl-PL"/>
        </w:rPr>
        <w:t>ukazovatele výsledkov vzťahujúce sa na definované špecifické ciele OP (čl. 96 ods. 2, písm. b) (ii) všeobecného nariadenia).</w:t>
      </w:r>
    </w:p>
    <w:p w14:paraId="645501D9" w14:textId="77777777" w:rsidR="00B650E5" w:rsidRDefault="00B650E5">
      <w:pPr>
        <w:numPr>
          <w:ilvl w:val="0"/>
          <w:numId w:val="306"/>
        </w:numPr>
        <w:spacing w:before="120" w:after="120"/>
        <w:ind w:left="425" w:hanging="425"/>
        <w:jc w:val="both"/>
      </w:pPr>
      <w:r>
        <w:rPr>
          <w:szCs w:val="22"/>
          <w:lang w:eastAsia="en-US"/>
        </w:rPr>
        <w:t xml:space="preserve">Overenie správneho nastavenia je súčasťou schvaľovania OP v rámci overenia splnenia </w:t>
      </w:r>
      <w:r w:rsidR="00FB1D18">
        <w:rPr>
          <w:szCs w:val="22"/>
          <w:lang w:eastAsia="en-US"/>
        </w:rPr>
        <w:t>ex ante</w:t>
      </w:r>
      <w:r>
        <w:rPr>
          <w:szCs w:val="22"/>
          <w:lang w:eastAsia="en-US"/>
        </w:rPr>
        <w:t xml:space="preserve"> kondicionality - štatistické systémy a ukazovatele výsledku. RO uchováva podpornú dokumentáciu k určeniu merateľných ukazovateľov na úrovni OP a stanovenia ich hodnôt za</w:t>
      </w:r>
      <w:r w:rsidR="00D45D1E">
        <w:rPr>
          <w:szCs w:val="22"/>
          <w:lang w:eastAsia="en-US"/>
        </w:rPr>
        <w:t> </w:t>
      </w:r>
      <w:r>
        <w:rPr>
          <w:szCs w:val="22"/>
          <w:lang w:eastAsia="en-US"/>
        </w:rPr>
        <w:t>účelom možného overenia postupov pri nastavovaní systému merateľných ukazovateľov na</w:t>
      </w:r>
      <w:r w:rsidR="00D45D1E">
        <w:rPr>
          <w:szCs w:val="22"/>
          <w:lang w:eastAsia="en-US"/>
        </w:rPr>
        <w:t> </w:t>
      </w:r>
      <w:r>
        <w:rPr>
          <w:szCs w:val="22"/>
          <w:lang w:eastAsia="en-US"/>
        </w:rPr>
        <w:t>úrovni OP.</w:t>
      </w:r>
    </w:p>
    <w:p w14:paraId="2C34D6DF" w14:textId="77777777" w:rsidR="00B650E5" w:rsidRDefault="00B650E5" w:rsidP="0045286B">
      <w:pPr>
        <w:pStyle w:val="SRK4"/>
      </w:pPr>
      <w:bookmarkStart w:id="158" w:name="_Toc453233983"/>
      <w:bookmarkStart w:id="159" w:name="_Toc501630035"/>
      <w:r>
        <w:t>2.4.6.1 Merateľné ukazovatele na úrovni projektov</w:t>
      </w:r>
      <w:bookmarkEnd w:id="158"/>
      <w:bookmarkEnd w:id="159"/>
    </w:p>
    <w:p w14:paraId="0223F837" w14:textId="77777777" w:rsidR="00B650E5" w:rsidRDefault="00B650E5">
      <w:pPr>
        <w:numPr>
          <w:ilvl w:val="0"/>
          <w:numId w:val="308"/>
        </w:numPr>
        <w:spacing w:before="120" w:after="120"/>
        <w:ind w:left="426" w:hanging="426"/>
        <w:jc w:val="both"/>
      </w:pPr>
      <w:r>
        <w:t xml:space="preserve">RO zostavuje návrh merateľných ukazovateľov na úrovni projektov, za ktorých plnenie a vyhodnocovanie zodpovedá prijímateľ na úrovni schváleného projektu. </w:t>
      </w:r>
    </w:p>
    <w:p w14:paraId="38F6093B" w14:textId="77777777" w:rsidR="00B650E5" w:rsidRDefault="00B650E5">
      <w:pPr>
        <w:numPr>
          <w:ilvl w:val="0"/>
          <w:numId w:val="308"/>
        </w:numPr>
        <w:spacing w:before="120" w:after="120"/>
        <w:ind w:left="426" w:hanging="426"/>
        <w:jc w:val="both"/>
      </w:pPr>
      <w:r>
        <w:t>Merateľné ukazovatele na úrovni projektu majú zabezpečiť, aby RO mal možnosť sledovať a záväzne stanoviť ciele, ktoré majú byť realizáciou projektu dosiahnuté a ktorými sa zabezpečí dosahovanie cieľov na úrovni OP.</w:t>
      </w:r>
    </w:p>
    <w:p w14:paraId="51CCFF91" w14:textId="77777777" w:rsidR="00B650E5" w:rsidRDefault="00B650E5">
      <w:pPr>
        <w:numPr>
          <w:ilvl w:val="0"/>
          <w:numId w:val="308"/>
        </w:numPr>
        <w:spacing w:before="120" w:after="120"/>
        <w:ind w:left="426" w:hanging="426"/>
        <w:jc w:val="both"/>
      </w:pPr>
      <w:r>
        <w:t>RO zodpovedá za návrh merateľných ukazovateľov na úrovni projektu za relevantný OP. RO pri</w:t>
      </w:r>
      <w:r w:rsidR="00D45D1E">
        <w:t> </w:t>
      </w:r>
      <w:r>
        <w:t>návrhu merateľných ukazovateľov na úrovni projektu zabezpečí, aby definovanými merateľnými ukazovateľmi boli pokryté všetky kľúčové aktivity, ktoré sú pre RO nevyhnutné na</w:t>
      </w:r>
      <w:r w:rsidR="00D45D1E">
        <w:t> </w:t>
      </w:r>
      <w:r>
        <w:t>správnu implementáciu OP, a zároveň aby takéto merateľné ukazovatele odzrkadľovali skutočné dosahovanie pokroku na úrovni projektu. V prípade, ak pre potreby monitorovania na</w:t>
      </w:r>
      <w:r w:rsidR="00D45D1E">
        <w:t> </w:t>
      </w:r>
      <w:r>
        <w:t xml:space="preserve">úrovni OP potrebuje RO štatistické údaje z jednotlivých projektov, ale zo strany prijímateľa </w:t>
      </w:r>
      <w:r>
        <w:lastRenderedPageBreak/>
        <w:t>nie je potrebné vopred stanovovať cieľovú hodnotu, resp. táto hodnota nebude pre prijímateľa záväzná, RO uvedené informácie získa prostredníctvom údajov vyžadovaných v rámci monitorovania projektu (ďalej len ,,iné údaje“). Tieto údaje nie sú získavané prostredníctvom merateľných ukazovateľov projektu, ale v priebehu implementácie projektu, na základe uzavretej zmluvy o NFP. RO sa odporúča, aby už v čase vyhlásenia výzvy mal potenciálny žiadateľ dostupnú informáciu o tom, že v prípade schválenia jeho ŽoNFP bude povinný poskytovať RO v stanovených termínoch iné údaje (informáciu je možné zakomponovať napr. v príručke pre</w:t>
      </w:r>
      <w:r w:rsidR="00D45D1E">
        <w:t> </w:t>
      </w:r>
      <w:r>
        <w:t>žiadateľa, ako prílohu výzvy alebo iným vhodným spôsob, dostupným pre žiadateľa).</w:t>
      </w:r>
    </w:p>
    <w:p w14:paraId="40753412" w14:textId="77777777" w:rsidR="00B650E5" w:rsidRDefault="00B650E5">
      <w:pPr>
        <w:numPr>
          <w:ilvl w:val="0"/>
          <w:numId w:val="308"/>
        </w:numPr>
        <w:spacing w:before="120" w:after="120"/>
        <w:ind w:left="426" w:hanging="426"/>
        <w:jc w:val="both"/>
      </w:pPr>
      <w:r>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14:paraId="6B5B5A92" w14:textId="77777777" w:rsidR="00B650E5" w:rsidRDefault="00B650E5">
      <w:pPr>
        <w:numPr>
          <w:ilvl w:val="0"/>
          <w:numId w:val="308"/>
        </w:numPr>
        <w:spacing w:before="120" w:after="120"/>
        <w:ind w:left="426" w:hanging="426"/>
        <w:jc w:val="both"/>
      </w:pPr>
      <w:r>
        <w:t>RO pri návrhu merateľných ukazovateľov na úrovni projektu zabezpečí, aby každý merateľný ukazovateľ obsahoval nasledujúce náležitosti:</w:t>
      </w:r>
    </w:p>
    <w:p w14:paraId="2AAE908C" w14:textId="77777777" w:rsidR="00B650E5" w:rsidRDefault="00B650E5">
      <w:pPr>
        <w:numPr>
          <w:ilvl w:val="1"/>
          <w:numId w:val="308"/>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14:paraId="05EC07EE" w14:textId="77777777" w:rsidR="00B650E5" w:rsidRDefault="00B650E5">
      <w:pPr>
        <w:numPr>
          <w:ilvl w:val="1"/>
          <w:numId w:val="308"/>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14:paraId="4AF8EA5C" w14:textId="182D2DE0" w:rsidR="00B650E5" w:rsidRDefault="00B650E5">
      <w:pPr>
        <w:numPr>
          <w:ilvl w:val="1"/>
          <w:numId w:val="308"/>
        </w:numPr>
        <w:spacing w:before="120" w:after="120"/>
        <w:ind w:left="851" w:hanging="425"/>
        <w:jc w:val="both"/>
      </w:pPr>
      <w:r>
        <w:rPr>
          <w:b/>
        </w:rPr>
        <w:t xml:space="preserve">Merná jednotka </w:t>
      </w:r>
      <w:r>
        <w:t>- každý merateľný ukazovateľ musí mať určenú jednu mernú jednot</w:t>
      </w:r>
      <w:r w:rsidR="00E878C1">
        <w:t>k</w:t>
      </w:r>
      <w:r>
        <w:t>u, ktorá bude jednotne používaná na úrovni všetkých prijímateľov. Definovaná merná jednotka je využívaná vo vzťahu k predmetnému merateľnému ukazovateľu počas celej doby implementácie OP a rovnako na úrovni všetkých OP využívajúcich rovnaký merateľný ukazovateľ tak, aby bolo možné monitorovať relevantné údaje z viacerých projektov v rôznom čase a porovnávať ich navzájom.</w:t>
      </w:r>
    </w:p>
    <w:p w14:paraId="4A43AE67" w14:textId="77777777" w:rsidR="00B650E5" w:rsidRDefault="00B650E5">
      <w:pPr>
        <w:numPr>
          <w:ilvl w:val="1"/>
          <w:numId w:val="308"/>
        </w:numPr>
        <w:spacing w:before="120" w:after="120"/>
        <w:ind w:left="851" w:hanging="425"/>
        <w:jc w:val="both"/>
      </w:pPr>
      <w:r>
        <w:rPr>
          <w:b/>
        </w:rPr>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14:paraId="21867D3C" w14:textId="18459816" w:rsidR="00B650E5" w:rsidRDefault="0053588C">
      <w:pPr>
        <w:numPr>
          <w:ilvl w:val="0"/>
          <w:numId w:val="308"/>
        </w:numPr>
        <w:spacing w:before="120" w:after="120"/>
        <w:ind w:left="425" w:hanging="425"/>
        <w:jc w:val="both"/>
      </w:pPr>
      <w:r>
        <w:rPr>
          <w:noProof/>
        </w:rPr>
        <w:drawing>
          <wp:anchor distT="12192" distB="0" distL="156972" distR="156972" simplePos="0" relativeHeight="251659264" behindDoc="0" locked="0" layoutInCell="1" allowOverlap="1" wp14:anchorId="070FFBF6" wp14:editId="0B41C923">
            <wp:simplePos x="0" y="0"/>
            <wp:positionH relativeFrom="column">
              <wp:posOffset>276352</wp:posOffset>
            </wp:positionH>
            <wp:positionV relativeFrom="paragraph">
              <wp:posOffset>568452</wp:posOffset>
            </wp:positionV>
            <wp:extent cx="5485765" cy="2218690"/>
            <wp:effectExtent l="76200" t="57150" r="114935" b="0"/>
            <wp:wrapTopAndBottom/>
            <wp:docPr id="83" name="Diagram 107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9" r:lo="rId50" r:qs="rId51" r:cs="rId52"/>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4144" behindDoc="0" locked="0" layoutInCell="1" allowOverlap="1" wp14:anchorId="75CE031A" wp14:editId="7B59EFE8">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14:paraId="77305E4B" w14:textId="77777777" w:rsidR="00A84C26" w:rsidRDefault="00A84C26">
                            <w:pPr>
                              <w:jc w:val="center"/>
                            </w:pPr>
                            <w:r>
                              <w:rPr>
                                <w:sz w:val="18"/>
                                <w:szCs w:val="18"/>
                              </w:rPr>
                              <w:t>Základné princípy tvorby merateľných ukazovateľov na úrovni projektu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Blok textu 1051" o:spid="_x0000_s1027" type="#_x0000_t202" style="position:absolute;left:0;text-align:left;margin-left:103.4pt;margin-top:194.45pt;width:279.75pt;height:2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N4BYQIAAMA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Q2ej&#10;56hZUrVF+xwNNPRWzhuUskAeD8KBd2gMdinc46g1ITLtJM5W5H7+TR/xoAOsnHXgccn9j7VwCuV9&#10;MyDKxfjkJBI/XU7yswku7tCyPLSYdXtDaBGYgOySGPFB78XaUfuMlZvFqDAJIxG75GEv3oRhu7Cy&#10;Us1mCQSqWxEW5tHKPWvioJ76Z+HsbpqRbXe0Z7woPgx1wA4zmK0D1U2a+HtXd/TDmqQp7lY67uHh&#10;PaHePzzTXwAAAP//AwBQSwMEFAAGAAgAAAAhAOPIcdThAAAACwEAAA8AAABkcnMvZG93bnJldi54&#10;bWxMjz1PwzAYhHck/oP1IrFRp3UV0hCngopOLMWA2tGJX+IIf0Sx04Z/j5lgPN3p7rlqO1tDzjiG&#10;3jsOy0UGBF3rVe86Du9v+7sCSIjSKWm8Qw7fGGBbX19VslT+4l7xLGJHUokLpeSgYxxKSkOr0cqw&#10;8AO65H360cqY5NhRNcpLKreGrrIsp1b2Li1oOeBOY/slJsvhQ5+EWDbs2Twd2HF/eBF+Pe04v72Z&#10;Hx+ARJzjXxh+8RM61Imp8ZNTgRgOqyxP6JEDK4oNkJS4z3MGpOGwZmwDtK7o/w/1DwAAAP//AwBQ&#10;SwECLQAUAAYACAAAACEAtoM4kv4AAADhAQAAEwAAAAAAAAAAAAAAAAAAAAAAW0NvbnRlbnRfVHlw&#10;ZXNdLnhtbFBLAQItABQABgAIAAAAIQA4/SH/1gAAAJQBAAALAAAAAAAAAAAAAAAAAC8BAABfcmVs&#10;cy8ucmVsc1BLAQItABQABgAIAAAAIQAWJN4BYQIAAMAEAAAOAAAAAAAAAAAAAAAAAC4CAABkcnMv&#10;ZTJvRG9jLnhtbFBLAQItABQABgAIAAAAIQDjyHHU4QAAAAsBAAAPAAAAAAAAAAAAAAAAALsEAABk&#10;cnMvZG93bnJldi54bWxQSwUGAAAAAAQABADzAAAAyQUAAAAA&#10;" fillcolor="window" stroked="f" strokeweight=".5pt">
                <v:path arrowok="t"/>
                <v:textbox>
                  <w:txbxContent>
                    <w:p w14:paraId="77305E4B" w14:textId="77777777" w:rsidR="00A84C26" w:rsidRDefault="00A84C26">
                      <w:pPr>
                        <w:jc w:val="center"/>
                      </w:pPr>
                      <w:r>
                        <w:rPr>
                          <w:sz w:val="18"/>
                          <w:szCs w:val="18"/>
                        </w:rPr>
                        <w:t>Základné princípy tvorby merateľných ukazovateľov na úrovni projektu</w:t>
                      </w:r>
                    </w:p>
                  </w:txbxContent>
                </v:textbox>
              </v:shape>
            </w:pict>
          </mc:Fallback>
        </mc:AlternateContent>
      </w:r>
      <w:r w:rsidR="00B650E5">
        <w:t>RO pri tvorbe merateľných ukazovateľov projektu vychádza z ich priradenia k špecifickému cieľu na úrovni OP a relevantným typom aktivít, ktoré sú zadefinované na úrovni OP.</w:t>
      </w:r>
    </w:p>
    <w:p w14:paraId="3F7F3C24" w14:textId="77777777" w:rsidR="00B650E5" w:rsidRDefault="00B650E5">
      <w:pPr>
        <w:numPr>
          <w:ilvl w:val="0"/>
          <w:numId w:val="308"/>
        </w:numPr>
        <w:spacing w:before="120" w:after="120"/>
        <w:ind w:left="426" w:hanging="426"/>
        <w:jc w:val="both"/>
      </w:pPr>
      <w:r>
        <w:lastRenderedPageBreak/>
        <w:t>V nadväznosti na relevantný špecifický cieľ a zodpovedajúce typy aktivít, RO definuje merateľné ukazovatele projektu nasledovným spôsobom:</w:t>
      </w:r>
    </w:p>
    <w:p w14:paraId="0F3306A6" w14:textId="77777777" w:rsidR="00B650E5" w:rsidRDefault="00B650E5">
      <w:pPr>
        <w:numPr>
          <w:ilvl w:val="1"/>
          <w:numId w:val="308"/>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w:t>
      </w:r>
      <w:r w:rsidR="006F3B93">
        <w:t>,</w:t>
      </w:r>
      <w:r>
        <w:t xml:space="preserve"> ako aj špecifické ukazovatele výstupu). RO na projektovej úrovni vytvára merateľné ukazovatele tak, že ich definuje rovnakým spôsobom ako sú definované v OP, resp. spôsobom umožňujúcim ich priamu agregáciu na úroveň OP. Priamo sa na projektovú úroveň nedefinujú spoločné a špecifické merateľné ukazovatele OP v prípadoch, ak ide o merateľné ukazovatele, ktoré sú agregované na základe údajov z viacerých projektov a slúžia na</w:t>
      </w:r>
      <w:r w:rsidR="00D45D1E">
        <w:t> </w:t>
      </w:r>
      <w:r>
        <w:t xml:space="preserve">sledovanie údajov za subjekty (napr. počet podporených podnikov). </w:t>
      </w:r>
    </w:p>
    <w:p w14:paraId="3392D26A" w14:textId="77777777" w:rsidR="00B650E5" w:rsidRDefault="00B650E5">
      <w:pPr>
        <w:numPr>
          <w:ilvl w:val="1"/>
          <w:numId w:val="308"/>
        </w:numPr>
        <w:spacing w:before="120" w:after="120"/>
        <w:ind w:left="851" w:hanging="425"/>
        <w:jc w:val="both"/>
      </w:pPr>
      <w:r>
        <w:rPr>
          <w:u w:val="single"/>
        </w:rPr>
        <w:t xml:space="preserve">RO definuje ďalšie merateľné ukazovatele projektu, </w:t>
      </w:r>
      <w:r>
        <w:t>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na úrovni projektu však platí, že musí byť jednoznačne priraditeľný k typom podporovaných aktivít a špecifickým cieľom na úrovni OP.</w:t>
      </w:r>
    </w:p>
    <w:p w14:paraId="229F0A9F" w14:textId="77777777" w:rsidR="00B650E5" w:rsidRPr="00AE34F1" w:rsidRDefault="00B650E5">
      <w:pPr>
        <w:numPr>
          <w:ilvl w:val="1"/>
          <w:numId w:val="308"/>
        </w:numPr>
        <w:spacing w:before="120" w:after="120"/>
        <w:ind w:left="851" w:hanging="425"/>
        <w:jc w:val="both"/>
      </w:pPr>
      <w:r w:rsidRPr="00AE34F1">
        <w:rPr>
          <w:u w:val="single"/>
        </w:rPr>
        <w:t>Na základe návrhu gestorov HP</w:t>
      </w:r>
      <w:r w:rsidRPr="00AE34F1">
        <w:t xml:space="preserve"> RO </w:t>
      </w:r>
      <w:r w:rsidR="002B722F">
        <w:t xml:space="preserve">požiada CKO o </w:t>
      </w:r>
      <w:r>
        <w:t>pri</w:t>
      </w:r>
      <w:r w:rsidRPr="00AE34F1">
        <w:t>rad</w:t>
      </w:r>
      <w:r w:rsidR="002B722F">
        <w:t>enie</w:t>
      </w:r>
      <w:r w:rsidRPr="00AE34F1">
        <w:t xml:space="preserve"> </w:t>
      </w:r>
      <w:r>
        <w:t>relevanci</w:t>
      </w:r>
      <w:r w:rsidR="00E96D5F">
        <w:t>e</w:t>
      </w:r>
      <w:r>
        <w:t xml:space="preserve"> HP k</w:t>
      </w:r>
      <w:r w:rsidRPr="00AE34F1">
        <w:t xml:space="preserve"> merateľn</w:t>
      </w:r>
      <w:r>
        <w:t>ým</w:t>
      </w:r>
      <w:r w:rsidRPr="00AE34F1">
        <w:t xml:space="preserve"> ukazovate</w:t>
      </w:r>
      <w:r>
        <w:t>ľom</w:t>
      </w:r>
      <w:r w:rsidRPr="00AE34F1">
        <w:t xml:space="preserve"> </w:t>
      </w:r>
      <w:r>
        <w:t xml:space="preserve">alebo </w:t>
      </w:r>
      <w:r w:rsidR="00D45D1E">
        <w:t xml:space="preserve">o </w:t>
      </w:r>
      <w:r>
        <w:t>vytvoren</w:t>
      </w:r>
      <w:r w:rsidR="00E335EF">
        <w:t>ie</w:t>
      </w:r>
      <w:r>
        <w:t xml:space="preserve"> iných údajov</w:t>
      </w:r>
      <w:r w:rsidRPr="00AE34F1">
        <w:t xml:space="preserve">, ktorými sa zabezpečí sledovanie príspevku k napĺňaniu HP. </w:t>
      </w:r>
      <w:r>
        <w:t>Relevancia HP k merateľným ukazovateľom je jedným z nástrojov sledovania príspevku k plneniu špecifických cieľov HP, nemá vplyv na plnenie podmienok poskytnutia príspevku a slúži výhradne pre potreby gestora HP. Zmena v relevancii HP nie je dôvodom potreby zmeny, resp. aktualizácie výzvy, ŽoNFP, zmluvy o NFP, monitorovacej správy a ďalších dokumentov, do ktorých sa v elektronickej verzii v ITMS 2014+ zmena automaticky premietne.</w:t>
      </w:r>
    </w:p>
    <w:p w14:paraId="4A672EA2" w14:textId="77777777" w:rsidR="00B650E5" w:rsidRDefault="00B650E5" w:rsidP="000D39F8">
      <w:pPr>
        <w:numPr>
          <w:ilvl w:val="0"/>
          <w:numId w:val="308"/>
        </w:numPr>
        <w:spacing w:before="120" w:after="120"/>
        <w:ind w:left="426" w:hanging="426"/>
        <w:jc w:val="both"/>
      </w:pPr>
      <w:bookmarkStart w:id="160" w:name="kapitola_2461_ods_89"/>
      <w:r>
        <w:t>V rámci merateľných ukazovateľov definovaných v príslušnej výzve je RO oprávnený identifikovať také merateľné ukazovatele na úrovni projektu, ktorých dosiahnutie je objektívne ovplyvniteľné externými faktormi, a ktorých dosahovanie nie je plne v kompetencii prijímateľa (merateľné ukazovatele na úrovni projektu s príznakom). Nedosiahnutie plánovanej hodnoty takýchto merateľných ukazovateľov pri preukázaní daného externého vplyvu nemusí byť spojené s finančnou sankciou vo vzťahu k prijímateľovi. RO pri určení takýchto merateľných ukazovateľov vychádza z posúdenia miery externých vplyvov na dosahovanie stanovených hodnôt ukazovateľa, ako aj zo záväzkov, ktoré má RO vo vzťahu k dosahovaniu výstupov a cieľov na úrovni OP.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w:t>
      </w:r>
      <w:r w:rsidR="00D45D1E">
        <w:t> </w:t>
      </w:r>
      <w:r>
        <w:t>nedosiahnutí plánovanej hodnoty.</w:t>
      </w:r>
    </w:p>
    <w:bookmarkEnd w:id="160"/>
    <w:p w14:paraId="7374D185" w14:textId="77777777" w:rsidR="00B650E5" w:rsidRDefault="00B650E5">
      <w:pPr>
        <w:numPr>
          <w:ilvl w:val="0"/>
          <w:numId w:val="308"/>
        </w:numPr>
        <w:spacing w:before="120" w:after="120"/>
        <w:ind w:left="426" w:hanging="426"/>
        <w:jc w:val="both"/>
      </w:pPr>
      <w:r>
        <w:t xml:space="preserve">RO v rámci výzvy na predkladanie projektových zámerov a výzvy definuje vo vzťahu k jednotlivým typom aktivít zodpovedajúce merateľné ukazovatele na úrovni projektu, ktoré bude musieť žiadateľ priradiť k hlavným aktivitám projektu, ak jeho projekt bude priradený k relevantnému typu aktivít. </w:t>
      </w:r>
    </w:p>
    <w:p w14:paraId="6396BEE5" w14:textId="77777777" w:rsidR="00B650E5" w:rsidRDefault="00B650E5">
      <w:pPr>
        <w:numPr>
          <w:ilvl w:val="0"/>
          <w:numId w:val="308"/>
        </w:numPr>
        <w:spacing w:before="120" w:after="120"/>
        <w:ind w:left="426" w:hanging="426"/>
        <w:jc w:val="both"/>
      </w:pPr>
      <w:r>
        <w:t>V prípade OP RH je RO povinný používať spoločné ukazovatele v súlade s čl. 109 nariadenia o</w:t>
      </w:r>
      <w:r w:rsidR="00D45D1E">
        <w:t> </w:t>
      </w:r>
      <w:r>
        <w:t>ENRF.</w:t>
      </w:r>
    </w:p>
    <w:p w14:paraId="29264078" w14:textId="77777777" w:rsidR="00B650E5" w:rsidRDefault="00B650E5">
      <w:pPr>
        <w:pStyle w:val="SRK5"/>
      </w:pPr>
      <w:bookmarkStart w:id="161" w:name="_Toc453233984"/>
      <w:bookmarkStart w:id="162" w:name="_Toc501630036"/>
      <w:r>
        <w:lastRenderedPageBreak/>
        <w:t>2.4.6.1.1 Používanie merateľných ukazovateľov projektu pri predkladaní ŽoNFP a počas implementácie projektu</w:t>
      </w:r>
      <w:bookmarkEnd w:id="161"/>
      <w:bookmarkEnd w:id="162"/>
    </w:p>
    <w:p w14:paraId="3B83F6F0" w14:textId="77777777" w:rsidR="00B650E5" w:rsidRDefault="00B650E5">
      <w:pPr>
        <w:numPr>
          <w:ilvl w:val="0"/>
          <w:numId w:val="309"/>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w:t>
      </w:r>
      <w:r w:rsidR="00D45D1E">
        <w:t>le</w:t>
      </w:r>
      <w:r>
        <w:t xml:space="preserve"> z celkovej sady štyroch merateľných ukazovateľov definovaných RO k typom aktivít. Prijímateľ pri štvrtom (nerelevantnom) merateľnom ukazovateli vypĺňa pri predkladaní ŽoNFP plánovanú hodnotu ,,0“.</w:t>
      </w:r>
    </w:p>
    <w:p w14:paraId="50A529A2" w14:textId="77777777" w:rsidR="00B650E5" w:rsidRDefault="0053588C">
      <w:pPr>
        <w:jc w:val="both"/>
      </w:pPr>
      <w:r>
        <w:rPr>
          <w:noProof/>
        </w:rPr>
        <w:drawing>
          <wp:inline distT="0" distB="0" distL="0" distR="0" wp14:anchorId="44559409" wp14:editId="221D07BF">
            <wp:extent cx="5710555" cy="3206115"/>
            <wp:effectExtent l="0" t="57150" r="0" b="51435"/>
            <wp:docPr id="23" name="Diagram 107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inline>
        </w:drawing>
      </w:r>
    </w:p>
    <w:p w14:paraId="6B3AFA86" w14:textId="77777777" w:rsidR="00B650E5" w:rsidRDefault="00B650E5">
      <w:pPr>
        <w:numPr>
          <w:ilvl w:val="0"/>
          <w:numId w:val="309"/>
        </w:numPr>
        <w:spacing w:before="120" w:after="120"/>
        <w:ind w:left="425" w:hanging="425"/>
        <w:jc w:val="both"/>
      </w:pPr>
      <w:r>
        <w:t>Žiadateľ je povinný ku každej aktivite projektu priradiť minimálne jeden merateľný ukazovateľ, ktorý musí predstavovať kvantifikáciu toho, čo sa realizáciou aktivity za požadované výdavky 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hodnotách výlučne realizáciou projektu, je východisková hodnota všetkých merateľných ukazovateľov projektu vždy ,,0“, preto pri merateľnom ukazovateli žiadateľ uvádza výlučne plánovanú cieľovú hodnotu relevantných ukazovateľov.</w:t>
      </w:r>
    </w:p>
    <w:p w14:paraId="50A9DC3E" w14:textId="77777777" w:rsidR="00B650E5" w:rsidRDefault="00B650E5">
      <w:pPr>
        <w:numPr>
          <w:ilvl w:val="0"/>
          <w:numId w:val="309"/>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 každej aktivite. Jeho hodnota sa určuje s ohľadom na príspevok relevantnej aktivity k naplneniu celkovej hodnoty ukazovateľa.</w:t>
      </w:r>
    </w:p>
    <w:p w14:paraId="1F731037" w14:textId="77777777" w:rsidR="00B650E5" w:rsidRDefault="00B650E5">
      <w:pPr>
        <w:numPr>
          <w:ilvl w:val="0"/>
          <w:numId w:val="309"/>
        </w:numPr>
        <w:spacing w:before="120" w:after="120"/>
        <w:ind w:left="425" w:hanging="425"/>
        <w:jc w:val="both"/>
      </w:pPr>
      <w:r>
        <w:t xml:space="preserve">Merateľné ukazovatele sú počas implementácie projektu záväzné z hľadiska dosiahnutia ich plánovanej hodnoty, pričom akceptovateľná miera odchýlky, ktorá nebude mať za následok vznik finančnej zodpovednosti je určená v zmluve o NFP. </w:t>
      </w:r>
    </w:p>
    <w:p w14:paraId="1C41D1B8" w14:textId="77777777" w:rsidR="00B650E5" w:rsidRPr="00FB48EA" w:rsidRDefault="00B650E5">
      <w:pPr>
        <w:numPr>
          <w:ilvl w:val="0"/>
          <w:numId w:val="309"/>
        </w:numPr>
        <w:spacing w:before="120" w:after="120"/>
        <w:ind w:left="425" w:hanging="425"/>
        <w:jc w:val="both"/>
      </w:pPr>
      <w:r>
        <w:t>V prípade sledovania merateľných ukazovateľov na úrovni projektu s príznakom (</w:t>
      </w:r>
      <w:hyperlink w:anchor="kapitola_2461_ods_89" w:tooltip="ods. 8 a 9 kapitoly 2.4.6.1" w:history="1">
        <w:r>
          <w:rPr>
            <w:rStyle w:val="Hypertextovprepojenie"/>
          </w:rPr>
          <w:t>ods. 8 kapitoly 2.4.6.1</w:t>
        </w:r>
      </w:hyperlink>
      <w:r>
        <w:t xml:space="preserve">) RO pri vyhodnocovaní nedosahovania stanovenej hodnoty posúdi zdôvodnenie </w:t>
      </w:r>
      <w:r w:rsidRPr="00FB48EA">
        <w:lastRenderedPageBreak/>
        <w:t>nedosiahnutia cieľových hodnôt týchto ukazovateľov z hľadiska identifikácie rizík, ktoré boli predmetom analýzy pri predkladaní ŽoNFP a predložených dokumentov preukazujúcich skutočnosť, že nedosiahnutie cieľových hodnôt merateľných ukazovateľov bolo spôsobené faktormi, ktoré prijímateľ objektívne nemohol ovplyvniť. Pri vyhodnocovaní zodpovednosti prijímateľa za nedosiahnutie cieľových hodnôt merateľného ukazovateľa s príznakom RO aplikuje relevantné ustanovenia zmluvy o NFP.</w:t>
      </w:r>
    </w:p>
    <w:p w14:paraId="24173B1D" w14:textId="77777777" w:rsidR="00B650E5" w:rsidRDefault="00B650E5">
      <w:pPr>
        <w:spacing w:before="120" w:after="120"/>
        <w:ind w:left="425"/>
        <w:contextualSpacing/>
        <w:jc w:val="both"/>
      </w:pPr>
      <w:r w:rsidRPr="00FB48EA">
        <w:t>Príklady možností priradenia hlavných aktivít projektu k merateľným ukazovateľom z hľadiska spôsobu dosahovania cieľových hodnôt</w:t>
      </w:r>
      <w:r>
        <w:t xml:space="preserve"> merateľného ukazovateľa realizáciou jednotlivých aktivít.</w:t>
      </w:r>
    </w:p>
    <w:p w14:paraId="2A439503" w14:textId="77777777" w:rsidR="00B650E5" w:rsidRDefault="00B650E5">
      <w:pPr>
        <w:spacing w:before="120" w:after="120"/>
        <w:ind w:left="425"/>
        <w:contextualSpacing/>
        <w:jc w:val="both"/>
      </w:pPr>
    </w:p>
    <w:p w14:paraId="7DB866E2" w14:textId="77777777" w:rsidR="00B650E5" w:rsidRDefault="00B650E5">
      <w:pPr>
        <w:spacing w:before="120" w:after="120"/>
        <w:ind w:left="426"/>
        <w:contextualSpacing/>
        <w:jc w:val="both"/>
        <w:rPr>
          <w:b/>
        </w:rPr>
      </w:pPr>
      <w:r>
        <w:rPr>
          <w:b/>
        </w:rPr>
        <w:t>Variant 1:</w:t>
      </w:r>
    </w:p>
    <w:p w14:paraId="264FE14B" w14:textId="2838D19B" w:rsidR="00B650E5" w:rsidRDefault="0053588C">
      <w:pPr>
        <w:spacing w:before="120" w:after="120"/>
        <w:ind w:left="426"/>
        <w:contextualSpacing/>
        <w:jc w:val="both"/>
      </w:pPr>
      <w:r>
        <w:rPr>
          <w:noProof/>
        </w:rPr>
        <w:drawing>
          <wp:anchor distT="0" distB="0" distL="163068" distR="163068" simplePos="0" relativeHeight="251661312" behindDoc="0" locked="0" layoutInCell="1" allowOverlap="1" wp14:anchorId="4EBEE222" wp14:editId="0BF61197">
            <wp:simplePos x="0" y="0"/>
            <wp:positionH relativeFrom="column">
              <wp:posOffset>-4572</wp:posOffset>
            </wp:positionH>
            <wp:positionV relativeFrom="paragraph">
              <wp:posOffset>484886</wp:posOffset>
            </wp:positionV>
            <wp:extent cx="5760720" cy="2056765"/>
            <wp:effectExtent l="76200" t="0" r="68580" b="0"/>
            <wp:wrapTopAndBottom/>
            <wp:docPr id="82" name="Diagram 107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9" r:lo="rId60" r:qs="rId61" r:cs="rId62"/>
              </a:graphicData>
            </a:graphic>
            <wp14:sizeRelH relativeFrom="page">
              <wp14:pctWidth>0</wp14:pctWidth>
            </wp14:sizeRelH>
            <wp14:sizeRelV relativeFrom="page">
              <wp14:pctHeight>0</wp14:pctHeight>
            </wp14:sizeRelV>
          </wp:anchor>
        </w:drawing>
      </w:r>
      <w:r w:rsidR="00B650E5">
        <w:t>Jedna hlavná aktivita prispieva k dosiahnutia jedného merateľného ukazovateľa definovaného v sade merateľných ukazovateľov na úrovni typov aktivít.</w:t>
      </w:r>
    </w:p>
    <w:p w14:paraId="6182B104" w14:textId="77777777" w:rsidR="00B650E5" w:rsidRDefault="00B650E5">
      <w:pPr>
        <w:spacing w:before="120" w:after="120"/>
        <w:ind w:left="425"/>
        <w:contextualSpacing/>
        <w:jc w:val="both"/>
        <w:rPr>
          <w:b/>
        </w:rPr>
      </w:pPr>
      <w:r>
        <w:rPr>
          <w:b/>
        </w:rPr>
        <w:t>Variant 2:</w:t>
      </w:r>
    </w:p>
    <w:p w14:paraId="6DCDDE30" w14:textId="77777777" w:rsidR="00B650E5" w:rsidRDefault="00B650E5">
      <w:pPr>
        <w:spacing w:before="120" w:after="120"/>
        <w:ind w:left="425"/>
        <w:contextualSpacing/>
        <w:jc w:val="both"/>
      </w:pPr>
      <w:r>
        <w:t>Jedna hlavná aktivita prispieva k dosiahnutiu viac ako jedného merateľného ukazovateľa definovaného v sade merateľných ukazovateľov na úrovni typu aktivít.</w:t>
      </w:r>
    </w:p>
    <w:p w14:paraId="0DD1BB52" w14:textId="77777777" w:rsidR="00B650E5" w:rsidRDefault="0053588C">
      <w:pPr>
        <w:jc w:val="both"/>
      </w:pPr>
      <w:r>
        <w:rPr>
          <w:noProof/>
        </w:rPr>
        <w:drawing>
          <wp:anchor distT="6096" distB="0" distL="114300" distR="114300" simplePos="0" relativeHeight="251662336" behindDoc="0" locked="0" layoutInCell="1" allowOverlap="1" wp14:anchorId="7A0D7C28" wp14:editId="72611479">
            <wp:simplePos x="0" y="0"/>
            <wp:positionH relativeFrom="column">
              <wp:posOffset>-404368</wp:posOffset>
            </wp:positionH>
            <wp:positionV relativeFrom="paragraph">
              <wp:posOffset>232791</wp:posOffset>
            </wp:positionV>
            <wp:extent cx="6505575" cy="2324100"/>
            <wp:effectExtent l="0" t="57150" r="0" b="57150"/>
            <wp:wrapTopAndBottom/>
            <wp:docPr id="81" name="Diagram 107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4" r:lo="rId65" r:qs="rId66" r:cs="rId67"/>
              </a:graphicData>
            </a:graphic>
            <wp14:sizeRelH relativeFrom="page">
              <wp14:pctWidth>0</wp14:pctWidth>
            </wp14:sizeRelH>
            <wp14:sizeRelV relativeFrom="page">
              <wp14:pctHeight>0</wp14:pctHeight>
            </wp14:sizeRelV>
          </wp:anchor>
        </w:drawing>
      </w:r>
    </w:p>
    <w:p w14:paraId="420BF136" w14:textId="77777777" w:rsidR="00B650E5" w:rsidRDefault="00B650E5">
      <w:pPr>
        <w:spacing w:before="120" w:after="120"/>
        <w:ind w:left="425"/>
        <w:contextualSpacing/>
        <w:jc w:val="both"/>
        <w:rPr>
          <w:b/>
        </w:rPr>
      </w:pPr>
    </w:p>
    <w:p w14:paraId="5F3175D6" w14:textId="77777777" w:rsidR="00B650E5" w:rsidRDefault="00B650E5">
      <w:pPr>
        <w:spacing w:before="120" w:after="120"/>
        <w:ind w:left="425"/>
        <w:contextualSpacing/>
        <w:jc w:val="both"/>
        <w:rPr>
          <w:b/>
        </w:rPr>
      </w:pPr>
      <w:r>
        <w:rPr>
          <w:b/>
        </w:rPr>
        <w:t>Variant 3:</w:t>
      </w:r>
    </w:p>
    <w:p w14:paraId="07828F0D" w14:textId="47CCC373" w:rsidR="00B650E5" w:rsidRDefault="0053588C">
      <w:pPr>
        <w:spacing w:before="120" w:after="120"/>
        <w:ind w:left="425"/>
        <w:contextualSpacing/>
        <w:jc w:val="both"/>
        <w:rPr>
          <w:b/>
        </w:rPr>
      </w:pPr>
      <w:r>
        <w:rPr>
          <w:noProof/>
        </w:rPr>
        <w:lastRenderedPageBreak/>
        <w:drawing>
          <wp:anchor distT="0" distB="0" distL="114300" distR="114300" simplePos="0" relativeHeight="251660288" behindDoc="0" locked="0" layoutInCell="1" allowOverlap="1" wp14:anchorId="115B4F3C" wp14:editId="76FB6C36">
            <wp:simplePos x="0" y="0"/>
            <wp:positionH relativeFrom="column">
              <wp:posOffset>-585470</wp:posOffset>
            </wp:positionH>
            <wp:positionV relativeFrom="paragraph">
              <wp:posOffset>548894</wp:posOffset>
            </wp:positionV>
            <wp:extent cx="6172200" cy="3067050"/>
            <wp:effectExtent l="0" t="38100" r="0" b="0"/>
            <wp:wrapTopAndBottom/>
            <wp:docPr id="80" name="Diagram 108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9" r:lo="rId70" r:qs="rId71" r:cs="rId72"/>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58240" behindDoc="0" locked="0" layoutInCell="1" allowOverlap="1" wp14:anchorId="26735565" wp14:editId="319FCE3F">
                <wp:simplePos x="0" y="0"/>
                <wp:positionH relativeFrom="column">
                  <wp:posOffset>4000500</wp:posOffset>
                </wp:positionH>
                <wp:positionV relativeFrom="paragraph">
                  <wp:posOffset>2142490</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76549BCD" w14:textId="77777777" w:rsidR="00A84C26" w:rsidRPr="000E6473" w:rsidRDefault="00A84C26">
                            <w:pPr>
                              <w:jc w:val="center"/>
                              <w:rPr>
                                <w:color w:val="FFFFFF"/>
                              </w:rPr>
                            </w:pPr>
                            <w:r w:rsidRPr="000E6473">
                              <w:rPr>
                                <w:color w:val="FFFFFF"/>
                              </w:rPr>
                              <w:t xml:space="preserve">Merateľné ukazovatele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1065" o:spid="_x0000_s1028" type="#_x0000_t66" style="position:absolute;left:0;text-align:left;margin-left:315pt;margin-top:168.7pt;width:190.5pt;height: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x/6mA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No5zGDzCzQrzBxqx&#10;xY77zohFRfGX4Pw1WCI7dUoL7K/oVyik9rE/cVai/fbWfbAnDpKWs4aWh6D5ugErOVOfNbHzdDAa&#10;hW2Lwmh8PCTB7mtW+xq9qS+QxjKgp8KIeAz2Xu2OhcX6jvZ8FrKSCrSg3N0QeuHCd0tNL4WQs1k0&#10;ow0z4Jf6xogQPCAXkL1t78CankmeOHiJu0WD7AWXOtvgqXG28VhUkWhPuPbUp+2MY+xfkrD++3K0&#10;enrvpn8BAAD//wMAUEsDBBQABgAIAAAAIQCCBbHM4AAAAAwBAAAPAAAAZHJzL2Rvd25yZXYueG1s&#10;TI/LTsMwEEX3SPyDNUjsqB3yaBviVKgSC3Ztga7dZIgN8TiK3TT8Pe4KljNzdebcajPbnk04euNI&#10;QrIQwJAa1xrqJLy/vTysgPmgqFW9I5Twgx429e1NpcrWXWiP0yF0LELIl0qCDmEoOfeNRqv8wg1I&#10;8fbpRqtCHMeOt6O6RLjt+aMQBbfKUPyg1YBbjc334WwlZHsTVruvnRYmXx+n4nXY2o9cyvu7+fkJ&#10;WMA5/IXhqh/VoY5OJ3em1rNeQpGK2CVISNNlBuyaEEkSV6fIX+YZ8Lri/0vUvwAAAP//AwBQSwEC&#10;LQAUAAYACAAAACEAtoM4kv4AAADhAQAAEwAAAAAAAAAAAAAAAAAAAAAAW0NvbnRlbnRfVHlwZXNd&#10;LnhtbFBLAQItABQABgAIAAAAIQA4/SH/1gAAAJQBAAALAAAAAAAAAAAAAAAAAC8BAABfcmVscy8u&#10;cmVsc1BLAQItABQABgAIAAAAIQCYPx/6mAIAADcFAAAOAAAAAAAAAAAAAAAAAC4CAABkcnMvZTJv&#10;RG9jLnhtbFBLAQItABQABgAIAAAAIQCCBbHM4AAAAAwBAAAPAAAAAAAAAAAAAAAAAPIEAABkcnMv&#10;ZG93bnJldi54bWxQSwUGAAAAAAQABADzAAAA/wUAAAAA&#10;" adj="3912" fillcolor="#4f81bd" strokecolor="#385d8a" strokeweight="2pt">
                <v:path arrowok="t"/>
                <v:textbox>
                  <w:txbxContent>
                    <w:p w14:paraId="76549BCD" w14:textId="77777777" w:rsidR="00A84C26" w:rsidRPr="000E6473" w:rsidRDefault="00A84C26">
                      <w:pPr>
                        <w:jc w:val="center"/>
                        <w:rPr>
                          <w:color w:val="FFFFFF"/>
                        </w:rPr>
                      </w:pPr>
                      <w:r w:rsidRPr="000E6473">
                        <w:rPr>
                          <w:color w:val="FFFFFF"/>
                        </w:rPr>
                        <w:t xml:space="preserve">Merateľné ukazovatele </w:t>
                      </w:r>
                    </w:p>
                  </w:txbxContent>
                </v:textbox>
              </v:shape>
            </w:pict>
          </mc:Fallback>
        </mc:AlternateContent>
      </w:r>
      <w:r>
        <w:rPr>
          <w:noProof/>
        </w:rPr>
        <mc:AlternateContent>
          <mc:Choice Requires="wps">
            <w:drawing>
              <wp:anchor distT="0" distB="0" distL="114300" distR="114300" simplePos="0" relativeHeight="251657216" behindDoc="0" locked="0" layoutInCell="1" allowOverlap="1" wp14:anchorId="5AB81676" wp14:editId="634282F5">
                <wp:simplePos x="0" y="0"/>
                <wp:positionH relativeFrom="column">
                  <wp:posOffset>3959225</wp:posOffset>
                </wp:positionH>
                <wp:positionV relativeFrom="paragraph">
                  <wp:posOffset>829945</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785E0A63" w14:textId="77777777" w:rsidR="00A84C26" w:rsidRPr="000E6473" w:rsidRDefault="00A84C26">
                            <w:pPr>
                              <w:jc w:val="center"/>
                              <w:rPr>
                                <w:color w:val="FFFFFF"/>
                              </w:rPr>
                            </w:pPr>
                            <w:r w:rsidRPr="000E6473">
                              <w:rPr>
                                <w:color w:val="FFFFFF"/>
                              </w:rPr>
                              <w:t>Hlavné aktivity projektu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Šípka doľava 1066" o:spid="_x0000_s1029" type="#_x0000_t66" style="position:absolute;left:0;text-align:left;margin-left:311.75pt;margin-top:65.35pt;width:190.5pt;height:69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g0MmAIAADcFAAAOAAAAZHJzL2Uyb0RvYy54bWysVEtu2zAQ3RfoHQjuG8mO7ThC7MCN4aKA&#10;kQRIiqzHFGUJoTgsSVtOT9ML9ArdtL1Xh5ScOJ9VUS0EDuf/5g3Pzne1YltpXYV6wntHKWdSC8wr&#10;vZ7wL7eLD2POnAedg0ItJ/xBOn4+ff/urDGZ7GOJKpeWURDtssZMeOm9yZLEiVLW4I7QSE3KAm0N&#10;nkS7TnILDUWvVdJP01HSoM2NRSGdo9t5q+TTGL8opPBXReGkZ2rCqTYf/zb+V+GfTM8gW1swZSW6&#10;MuAfqqih0pT0MdQcPLCNrV6Fqith0WHhjwTWCRZFJWTsgbrppS+6uSnByNgLgePMI0zu/4UVl9tr&#10;y6qcZpeORpxpqGlKf77/+mHugeX4+ydsgUUdQdUYl5HHjbm2oVlnlijuHSmSZ5oguM5mV9g62FKr&#10;bBdxf3jEXe48E3TZH/ROj4c0HkG68cnoOI2DSSDbexvr/CeJNQuHCVey8DNrsYmYw3bpfCgCsr1d&#10;rA5VlS8qpaJg16sLZdkWiAiDxbj3cR5mTy7u0Exp1lA9wwFVwAQQIQsFno61IYicXnMGak1MF97G&#10;3M+83RtJYvISctmmHqb07TO35q+rCF3MwZWtS0zRuSgd4slI7K7pJ7DDye9WuzjO4+ARblaYP9CI&#10;Lbbcd0YsKoq/BOevwRLZqVNaYH9Fv0IhtY/dibMS7be37oM9cZC0nDW0PATN1w1YyZn6rImdp73B&#10;IGxbFAbDkz4J9lCzOtToTX2BNJYePRVGxGOw92p/LCzWd7Tns5CVVKAF5W6H0AkXvl1qeimEnM2i&#10;GW2YAb/UN0aE4AG5gOzt7g6s6ZjkiYOXuF80yF5wqbUNnhpnG49FFYn2hGtHfdrOOMbuJQnrfyhH&#10;q6f3bvoXAAD//wMAUEsDBBQABgAIAAAAIQCxJOiR3wAAAAwBAAAPAAAAZHJzL2Rvd25yZXYueG1s&#10;TI/LTsMwEEX3SPyDNUjsqE3apCHEqVAlFuza8li78RAb4nEUu2n4e9wVLGfu0Z0z9WZ2PZtwDNaT&#10;hPuFAIbUem2pk/D2+nxXAgtRkVa9J5TwgwE2zfVVrSrtz7TH6RA7lkooVEqCiXGoOA+tQafCwg9I&#10;Kfv0o1MxjWPH9ajOqdz1PBOi4E5ZSheMGnBrsP0+nJyE1d7Gcve1M8LmDx9T8TJs3Xsu5e3N/PQI&#10;LOIc/2C46Cd1aJLT0Z9IB9ZLKLJlntAULMUa2IUQYpVWRwlZUa6BNzX//0TzCwAA//8DAFBLAQIt&#10;ABQABgAIAAAAIQC2gziS/gAAAOEBAAATAAAAAAAAAAAAAAAAAAAAAABbQ29udGVudF9UeXBlc10u&#10;eG1sUEsBAi0AFAAGAAgAAAAhADj9If/WAAAAlAEAAAsAAAAAAAAAAAAAAAAALwEAAF9yZWxzLy5y&#10;ZWxzUEsBAi0AFAAGAAgAAAAhAM7WDQyYAgAANwUAAA4AAAAAAAAAAAAAAAAALgIAAGRycy9lMm9E&#10;b2MueG1sUEsBAi0AFAAGAAgAAAAhALEk6JHfAAAADAEAAA8AAAAAAAAAAAAAAAAA8gQAAGRycy9k&#10;b3ducmV2LnhtbFBLBQYAAAAABAAEAPMAAAD+BQAAAAA=&#10;" adj="3912" fillcolor="#4f81bd" strokecolor="#385d8a" strokeweight="2pt">
                <v:path arrowok="t"/>
                <v:textbox>
                  <w:txbxContent>
                    <w:p w14:paraId="785E0A63" w14:textId="77777777" w:rsidR="00A84C26" w:rsidRPr="000E6473" w:rsidRDefault="00A84C26">
                      <w:pPr>
                        <w:jc w:val="center"/>
                        <w:rPr>
                          <w:color w:val="FFFFFF"/>
                        </w:rPr>
                      </w:pPr>
                      <w:r w:rsidRPr="000E6473">
                        <w:rPr>
                          <w:color w:val="FFFFFF"/>
                        </w:rPr>
                        <w:t>Hlavné aktivity projektu</w:t>
                      </w:r>
                    </w:p>
                  </w:txbxContent>
                </v:textbox>
              </v:shape>
            </w:pict>
          </mc:Fallback>
        </mc:AlternateContent>
      </w:r>
      <w:r w:rsidR="00B650E5">
        <w:t>Viacero hlavných aktivít spoločnou realizáciou naplní dosiahnutie plánovanej hodnoty jedného merateľného ukazovateľa.</w:t>
      </w:r>
    </w:p>
    <w:p w14:paraId="36B6A650" w14:textId="77777777" w:rsidR="00B650E5" w:rsidRDefault="0053588C">
      <w:r>
        <w:rPr>
          <w:noProof/>
        </w:rPr>
        <mc:AlternateContent>
          <mc:Choice Requires="wps">
            <w:drawing>
              <wp:anchor distT="0" distB="0" distL="114300" distR="114300" simplePos="0" relativeHeight="251656192" behindDoc="0" locked="0" layoutInCell="1" allowOverlap="1" wp14:anchorId="09A6E5E5" wp14:editId="62CE4374">
                <wp:simplePos x="0" y="0"/>
                <wp:positionH relativeFrom="column">
                  <wp:posOffset>4575175</wp:posOffset>
                </wp:positionH>
                <wp:positionV relativeFrom="paragraph">
                  <wp:posOffset>2868295</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14:paraId="78771A9B" w14:textId="77777777" w:rsidR="00A84C26" w:rsidRPr="000E6473" w:rsidRDefault="00A84C26" w:rsidP="000E6473">
                            <w:pPr>
                              <w:shd w:val="clear" w:color="auto" w:fill="548DD4"/>
                              <w:jc w:val="center"/>
                              <w:rPr>
                                <w:color w:val="FFFFFF"/>
                              </w:rPr>
                            </w:pPr>
                            <w:r w:rsidRPr="000E6473">
                              <w:rPr>
                                <w:color w:val="FFFFFF"/>
                              </w:rPr>
                              <w:t>Typy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Blok textu 1069" o:spid="_x0000_s1030" type="#_x0000_t202" style="position:absolute;margin-left:360.25pt;margin-top:225.85pt;width:129pt;height:24.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G7wcwIAAOkEAAAOAAAAZHJzL2Uyb0RvYy54bWysVEtvGjEQvlfqf7B8L7vAQgJiiQiIqhJN&#10;IpEqZ+P1wiq2x7UNu+mvz9jLq2lPVTmY8czneX6zk7tGSXIQ1lWgc9rtpJQIzaGo9DanP56XX24p&#10;cZ7pgknQIqdvwtG76edPk9qMRQ92IAthCTrRblybnO68N+MkcXwnFHMdMEKjsQSrmMer3SaFZTV6&#10;VzLppekwqcEWxgIXzqF20RrpNPovS8H9Y1k64YnMKebm42njuQlnMp2w8dYys6v4MQ32D1koVmkM&#10;ena1YJ6Rva3+cKUqbsFB6TscVAJlWXERa8BquumHatY7ZkSsBZvjzLlN7v+55Q+HJ0uqAmeXDkeU&#10;aKZwSvcSXokXjd+TqMYu1caNEbw2CPfNPTT4IlbszAr4q0NIcoVpHzhEh640pVXhH+sl+BAH8XZu&#10;PkYhPHgb9m/7KZo42vrdrN8bhOkkl9fGOv9VgCJByKnF4cYM2GHlfAs9QUIwB7IqlpWU8WK3m7m0&#10;5MCQCN1lNrpZxLdyr75D0aqHKf5aRqAaedOqs5MaU3Gtm5jWb/6lJnVOh/1BGt1qCIHbnKQOCYhI&#10;xmOioVFtb4Lkm00TR5CF4EGzgeIN+2yh5aszfFlhzSvm/BOzSFBsEy6df8SjlICR4ShRsgP762/6&#10;gEfeoJWSGgmfU/dzz6ygRH7TyKhRN8vChsRLNrjp4cVeWzbXFr1XcwitxPU2PIoB7+VJLC2oF9zN&#10;WYiKJqY5xs6pP4lz364h7jYXs1kE4U4Y5ld6bfiJXmGiz80Ls+Y49kDLBzitBht/mH6LDR3XMNt7&#10;KKtIjUtXjzzFfYpTPO5+WNjre0RdvlDTdwAAAP//AwBQSwMEFAAGAAgAAAAhAJARQsfhAAAACwEA&#10;AA8AAABkcnMvZG93bnJldi54bWxMj0FOwzAQRfdI3MEaJDaI2okSUkKcqiAhqm4QbQ/gxEMSGo8j&#10;223D7TErWM7M05/3q9VsRnZG5wdLEpKFAIbUWj1QJ+Gwf71fAvNBkVajJZTwjR5W9fVVpUptL/SB&#10;513oWAwhXyoJfQhTyblvezTKL+yEFG+f1hkV4ug6rp26xHAz8lSIB27UQPFDryZ86bE97k5Gwtu6&#10;e9dZs2k3zy77GrO745ZQSHl7M6+fgAWcwx8Mv/pRHero1NgTac9GCUUq8ohKyPKkABaJx2IZN42E&#10;XCQp8Lri/zvUPwAAAP//AwBQSwECLQAUAAYACAAAACEAtoM4kv4AAADhAQAAEwAAAAAAAAAAAAAA&#10;AAAAAAAAW0NvbnRlbnRfVHlwZXNdLnhtbFBLAQItABQABgAIAAAAIQA4/SH/1gAAAJQBAAALAAAA&#10;AAAAAAAAAAAAAC8BAABfcmVscy8ucmVsc1BLAQItABQABgAIAAAAIQAEjG7wcwIAAOkEAAAOAAAA&#10;AAAAAAAAAAAAAC4CAABkcnMvZTJvRG9jLnhtbFBLAQItABQABgAIAAAAIQCQEULH4QAAAAsBAAAP&#10;AAAAAAAAAAAAAAAAAM0EAABkcnMvZG93bnJldi54bWxQSwUGAAAAAAQABADzAAAA2wUAAAAA&#10;" fillcolor="#558ed5" stroked="f" strokeweight=".5pt">
                <v:path arrowok="t"/>
                <v:textbox>
                  <w:txbxContent>
                    <w:p w14:paraId="78771A9B" w14:textId="77777777" w:rsidR="00A84C26" w:rsidRPr="000E6473" w:rsidRDefault="00A84C26" w:rsidP="000E6473">
                      <w:pPr>
                        <w:shd w:val="clear" w:color="auto" w:fill="548DD4"/>
                        <w:jc w:val="center"/>
                        <w:rPr>
                          <w:color w:val="FFFFFF"/>
                        </w:rPr>
                      </w:pPr>
                      <w:r w:rsidRPr="000E6473">
                        <w:rPr>
                          <w:color w:val="FFFFFF"/>
                        </w:rPr>
                        <w:t>Typy aktivít</w:t>
                      </w:r>
                    </w:p>
                  </w:txbxContent>
                </v:textbox>
              </v:shape>
            </w:pict>
          </mc:Fallback>
        </mc:AlternateContent>
      </w:r>
      <w:r>
        <w:rPr>
          <w:noProof/>
        </w:rPr>
        <mc:AlternateContent>
          <mc:Choice Requires="wps">
            <w:drawing>
              <wp:anchor distT="0" distB="0" distL="114300" distR="114300" simplePos="0" relativeHeight="251655168" behindDoc="0" locked="0" layoutInCell="1" allowOverlap="1" wp14:anchorId="1DFE9B00" wp14:editId="4B8D0B04">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14:paraId="42FC7F81" w14:textId="77777777" w:rsidR="00A84C26" w:rsidRDefault="00A84C26">
                            <w:pPr>
                              <w:jc w:val="center"/>
                            </w:pPr>
                            <w:r>
                              <w:t>Merateľné ukazovatele výstupu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Blok textu 6" o:spid="_x0000_s1031" type="#_x0000_t202" style="position:absolute;margin-left:-35.65pt;margin-top:204.05pt;width:.05pt;height:.0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t5OcgIAAOEEAAAOAAAAZHJzL2Uyb0RvYy54bWysVMlu2zAQvRfoPxC8N7JdZ6kQOfACFwWM&#10;JEBS5DymSEsIxWFJ2lL69R1ScuKmPRW90EPO0yxv3vj6pms0O0jnazQFH5+NOJNGYFmbXcG/P64/&#10;XXHmA5gSNBpZ8Bfp+c3s44fr1uZyghXqUjpGQYzPW1vwKgSbZ5kXlWzAn6GVhpwKXQOBrm6XlQ5a&#10;it7obDIaXWQtutI6FNJ7el31Tj5L8ZWSItwp5WVguuBUW0inS+c2ntnsGvKdA1vVYigD/qGKBmpD&#10;SV9DrSAA27v6j1BNLRx6VOFMYJOhUrWQqQfqZjx6181DBVamXogcb19p8v8vrLg93DtWlzS70eWY&#10;MwMNTWmh8ZkF2YU9u4gUtdbnhHywhA3dAjuCp3a93aB49gTJTjD9B57QkZJOuSb+UrOMPqQpvLwy&#10;TymYoMeLz+ecCXqPRoz29pl1PnyV2LBoFNzRSFNqOGx86KFHSMziUdflutY6Xdxuu9SOHYDGP11f&#10;jRerIfpvMG1YW/DJ+XRExQkgGSoNgczGEjHe7DgDvSN9i+BSboMxAyWHPOZega/6HCnskEKb6JdJ&#10;hEOpkaOelmiFbtsl6lPL8WWL5QtR7LDXqbdiXVP8DfhwD46ESfXRsoU7OpRGKhoHi7MK3c+/vUc8&#10;6YW8nLUkdGroxx6c5Ex/M6SkL+PpNG5GukzPLyd0caee7anH7JslEpkkFaoumREf9NFUDpsn2sl5&#10;zEouMIJyF5zo7M1l6NePdlrI+TyBaBcshI15sOKorMjrY/cEzg6Dj3K8xeNKQP5u/j02Mm5wvg+o&#10;6iSON1YHidIeJXkNOx8X9fSeUG//TLNfAAAA//8DAFBLAwQUAAYACAAAACEAXnzqNNwAAAALAQAA&#10;DwAAAGRycy9kb3ducmV2LnhtbEyPwU7DMAyG70i8Q2QkblvaMm1TaTohECcOiBU4e63XViRO1WRd&#10;eXsMF3b071+fPxe72Vk10Rh6zwbSZQKKuPZNz62B9+p5sQUVInKD1jMZ+KYAu/L6qsC88Wd+o2kf&#10;WyUQDjka6GIccq1D3ZHDsPQDseyOfnQYZRxb3Yx4FrizOkuStXbYs1zocKDHjuqv/ckZWFXhs/7A&#10;p5Wt/MuReTPFdftqzO3N/HAPKtIc/8vwqy/qUIrTwZ+4CcoaWGzSO6kKLNmmoKQhSQbq8JdkoMtC&#10;X/5Q/gAAAP//AwBQSwECLQAUAAYACAAAACEAtoM4kv4AAADhAQAAEwAAAAAAAAAAAAAAAAAAAAAA&#10;W0NvbnRlbnRfVHlwZXNdLnhtbFBLAQItABQABgAIAAAAIQA4/SH/1gAAAJQBAAALAAAAAAAAAAAA&#10;AAAAAC8BAABfcmVscy8ucmVsc1BLAQItABQABgAIAAAAIQCiGt5OcgIAAOEEAAAOAAAAAAAAAAAA&#10;AAAAAC4CAABkcnMvZTJvRG9jLnhtbFBLAQItABQABgAIAAAAIQBefOo03AAAAAsBAAAPAAAAAAAA&#10;AAAAAAAAAMwEAABkcnMvZG93bnJldi54bWxQSwUGAAAAAAQABADzAAAA1QUAAAAA&#10;" fillcolor="#4f81bd" stroked="f" strokeweight="2pt">
                <v:path arrowok="t"/>
                <v:textbox>
                  <w:txbxContent>
                    <w:p w14:paraId="42FC7F81" w14:textId="77777777" w:rsidR="00A84C26" w:rsidRDefault="00A84C26">
                      <w:pPr>
                        <w:jc w:val="center"/>
                      </w:pPr>
                      <w:r>
                        <w:t>Merateľné ukazovatele výstupu</w:t>
                      </w:r>
                    </w:p>
                  </w:txbxContent>
                </v:textbox>
              </v:shape>
            </w:pict>
          </mc:Fallback>
        </mc:AlternateContent>
      </w:r>
    </w:p>
    <w:p w14:paraId="18171492" w14:textId="77777777" w:rsidR="00B650E5" w:rsidRDefault="00B650E5" w:rsidP="0045286B">
      <w:pPr>
        <w:pStyle w:val="SRK4"/>
      </w:pPr>
      <w:bookmarkStart w:id="163" w:name="_Toc453233985"/>
      <w:bookmarkStart w:id="164" w:name="_Toc501630037"/>
      <w:r>
        <w:t>2.4.6.2 Číselník merateľných ukazovateľov</w:t>
      </w:r>
      <w:bookmarkEnd w:id="163"/>
      <w:bookmarkEnd w:id="164"/>
    </w:p>
    <w:p w14:paraId="487CDFC8" w14:textId="77777777" w:rsidR="00B650E5" w:rsidRDefault="00B650E5">
      <w:pPr>
        <w:numPr>
          <w:ilvl w:val="0"/>
          <w:numId w:val="7"/>
        </w:numPr>
        <w:spacing w:before="120" w:after="120"/>
        <w:ind w:left="425" w:hanging="425"/>
        <w:jc w:val="both"/>
      </w:pPr>
      <w:r>
        <w:t>Číselník merateľných ukazovateľov predstavuje zoznam merateľných ukazovateľov a iných údajov používaných RO na úrovni programov a projektov, ktorý bol zostavený CKO v spolupráci s príslušnými RO a gestormi HP.</w:t>
      </w:r>
    </w:p>
    <w:p w14:paraId="79A1E514" w14:textId="77777777" w:rsidR="00B650E5" w:rsidRDefault="00B650E5" w:rsidP="004F700A">
      <w:pPr>
        <w:numPr>
          <w:ilvl w:val="0"/>
          <w:numId w:val="7"/>
        </w:numPr>
        <w:spacing w:before="120" w:after="120"/>
        <w:ind w:left="426" w:hanging="426"/>
        <w:jc w:val="both"/>
      </w:pPr>
      <w:r>
        <w:t xml:space="preserve">Číselník merateľných ukazovateľov je tvorený z merateľných ukazovateľov na úrovni programu a projektu. Súčasťou číselníka sú aj iné údaje, ktoré sú na úrovni podporených projektov monitorované. CKO je oprávnený zaradiť do číselníka iné údaje (štatistické údaje prierezového charakteru), ktorých jednotné vykazovanie na úrovni všetkých OP je dôležité z pohľadu cieľov PD a ktoré sú sledované na úrovni všetkých alebo jednoznačne určených projektov. </w:t>
      </w:r>
    </w:p>
    <w:p w14:paraId="52DE1FE8" w14:textId="77777777" w:rsidR="00B650E5" w:rsidRDefault="00B650E5">
      <w:pPr>
        <w:numPr>
          <w:ilvl w:val="0"/>
          <w:numId w:val="7"/>
        </w:numPr>
        <w:spacing w:before="120" w:after="120"/>
        <w:ind w:left="426" w:hanging="426"/>
        <w:jc w:val="both"/>
      </w:pPr>
      <w:r>
        <w:t xml:space="preserve">Merateľné ukazovatele na úrovni projektov a iné údaje na základe návrhu RO zaraďuje CKO </w:t>
      </w:r>
      <w:r>
        <w:br/>
        <w:t>do číselníka merateľných ukazovateľov, pričom pri zaradení navrhovaných merateľných ukazovateľov a iných údajov zo strany RO CKO zabezpečí, aby položky s rovnakou definíciou, ktoré sú využívané na projektovej úrovni naprieč viacerými RO, boli v číselníku zaradené iba jeden krát. Zároveň je CKO za účelom tvorby a aktualizácie číselníka zodpovedný za zjednotenie používaných definícií merateľných ukazovateľov a iných údajov tak, aby rovnaký merateľný ukazovateľ a iný údaj využívaný na úrovni viacerých OP bol definovaný vždy jednotne.</w:t>
      </w:r>
    </w:p>
    <w:p w14:paraId="2E7AF9FF" w14:textId="77777777" w:rsidR="00B650E5" w:rsidRDefault="00B650E5">
      <w:pPr>
        <w:numPr>
          <w:ilvl w:val="0"/>
          <w:numId w:val="7"/>
        </w:numPr>
        <w:spacing w:before="120" w:after="120"/>
        <w:ind w:left="426" w:hanging="426"/>
        <w:jc w:val="both"/>
        <w:rPr>
          <w:u w:val="single"/>
        </w:rPr>
      </w:pPr>
      <w:r>
        <w:t>Za správu číselníka a jeho aktualizáciu je zodpovedný CKO.</w:t>
      </w:r>
    </w:p>
    <w:p w14:paraId="3ED588FF" w14:textId="77777777" w:rsidR="00B650E5" w:rsidRDefault="00B650E5">
      <w:pPr>
        <w:pStyle w:val="SRK3"/>
      </w:pPr>
      <w:bookmarkStart w:id="165" w:name="_Toc453233986"/>
      <w:bookmarkStart w:id="166" w:name="_Toc501630038"/>
      <w:r>
        <w:t>2.4.7 Ďalšia dokumentácia na úrovni projektov</w:t>
      </w:r>
      <w:bookmarkEnd w:id="165"/>
      <w:bookmarkEnd w:id="166"/>
      <w:r>
        <w:t xml:space="preserve"> </w:t>
      </w:r>
    </w:p>
    <w:p w14:paraId="20F584EB" w14:textId="77777777" w:rsidR="00B650E5" w:rsidRDefault="00B650E5">
      <w:pPr>
        <w:numPr>
          <w:ilvl w:val="0"/>
          <w:numId w:val="310"/>
        </w:numPr>
        <w:spacing w:before="120" w:after="120"/>
        <w:ind w:left="426" w:hanging="426"/>
        <w:jc w:val="both"/>
      </w:pPr>
      <w:r>
        <w:t>Vzhľadom na rozsah údajov uvádzaných v OP a ostatných dokumentoch RO zabezpečí, aby na</w:t>
      </w:r>
      <w:r w:rsidR="00FB48EA">
        <w:t> </w:t>
      </w:r>
      <w:r>
        <w:t>úrovni OP boli podrobnejšie upravené minimálne nasledujúce časti:</w:t>
      </w:r>
    </w:p>
    <w:p w14:paraId="05F8DC87" w14:textId="77777777" w:rsidR="00B650E5" w:rsidRDefault="00B650E5">
      <w:pPr>
        <w:numPr>
          <w:ilvl w:val="1"/>
          <w:numId w:val="310"/>
        </w:numPr>
        <w:spacing w:before="120" w:after="120"/>
        <w:ind w:left="851" w:hanging="425"/>
        <w:jc w:val="both"/>
      </w:pPr>
      <w:r>
        <w:rPr>
          <w:b/>
        </w:rPr>
        <w:t>Podmienky oprávnenosti výdavkov</w:t>
      </w:r>
      <w: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14:paraId="3730E084" w14:textId="77777777" w:rsidR="00B650E5" w:rsidRDefault="00B650E5">
      <w:pPr>
        <w:numPr>
          <w:ilvl w:val="1"/>
          <w:numId w:val="310"/>
        </w:numPr>
        <w:spacing w:before="120" w:after="120"/>
        <w:ind w:left="851" w:hanging="425"/>
        <w:jc w:val="both"/>
      </w:pPr>
      <w:r>
        <w:rPr>
          <w:b/>
        </w:rPr>
        <w:lastRenderedPageBreak/>
        <w:t xml:space="preserve">Oprávnené aktivity </w:t>
      </w:r>
      <w:r>
        <w:t xml:space="preserve">– </w:t>
      </w:r>
      <w:r w:rsidR="00C93F30">
        <w:t>keďže</w:t>
      </w:r>
      <w:r>
        <w:t xml:space="preserve">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14:paraId="6921E7A4" w14:textId="77777777" w:rsidR="00B650E5" w:rsidRDefault="00B650E5">
      <w:pPr>
        <w:pStyle w:val="SRK2"/>
        <w:rPr>
          <w:rStyle w:val="Nadpis1Char"/>
          <w:sz w:val="36"/>
          <w:szCs w:val="26"/>
        </w:rPr>
      </w:pPr>
      <w:bookmarkStart w:id="167" w:name="_Toc453233987"/>
      <w:bookmarkStart w:id="168" w:name="_Toc501630039"/>
      <w:r>
        <w:rPr>
          <w:rStyle w:val="Nadpis1Char"/>
          <w:sz w:val="36"/>
          <w:szCs w:val="26"/>
        </w:rPr>
        <w:t>2.5 Výber odborných hodnotiteľov</w:t>
      </w:r>
      <w:bookmarkEnd w:id="155"/>
      <w:r>
        <w:rPr>
          <w:rStyle w:val="Nadpis1Char"/>
          <w:sz w:val="36"/>
          <w:szCs w:val="26"/>
        </w:rPr>
        <w:t xml:space="preserve"> v procese odborného hodnotenia</w:t>
      </w:r>
      <w:bookmarkEnd w:id="167"/>
      <w:bookmarkEnd w:id="168"/>
    </w:p>
    <w:p w14:paraId="54C0678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7451786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125 ods. 3 všeobecného nariadenia </w:t>
      </w:r>
    </w:p>
    <w:p w14:paraId="748585C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i/>
        </w:rPr>
        <w:t>Delegované nariadenie Komisie (EÚ) č. 240/2014</w:t>
      </w:r>
      <w:r>
        <w:rPr>
          <w:bCs/>
          <w:i/>
          <w:iCs/>
        </w:rPr>
        <w:t xml:space="preserve"> </w:t>
      </w:r>
    </w:p>
    <w:p w14:paraId="416AD6B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ABC5B8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19 ods. 6 zákona o príspevku z EŠIF</w:t>
      </w:r>
    </w:p>
    <w:p w14:paraId="671078EC" w14:textId="77777777" w:rsidR="00B650E5" w:rsidRDefault="007A46AE">
      <w:pPr>
        <w:numPr>
          <w:ilvl w:val="0"/>
          <w:numId w:val="324"/>
        </w:numPr>
        <w:spacing w:before="120" w:after="120"/>
        <w:ind w:left="426" w:hanging="426"/>
        <w:jc w:val="both"/>
      </w:pPr>
      <w:r>
        <w:t>Minimálne štandardy výber</w:t>
      </w:r>
      <w:r w:rsidR="00AE5573">
        <w:t>u</w:t>
      </w:r>
      <w:r>
        <w:t xml:space="preserve"> odborných hodnotiteľov </w:t>
      </w:r>
      <w:r w:rsidR="00AE5573">
        <w:t xml:space="preserve">sú predmetom úpravy </w:t>
      </w:r>
      <w:r>
        <w:t>v metodickom pokyne</w:t>
      </w:r>
      <w:r w:rsidR="00AE5573">
        <w:t xml:space="preserve"> CKO</w:t>
      </w:r>
      <w:r w:rsidR="00AE5573">
        <w:rPr>
          <w:rStyle w:val="Odkaznapoznmkupodiarou"/>
        </w:rPr>
        <w:footnoteReference w:id="39"/>
      </w:r>
      <w:r>
        <w:t>.</w:t>
      </w:r>
    </w:p>
    <w:p w14:paraId="45CC0D39" w14:textId="50696D81" w:rsidR="00B650E5" w:rsidRDefault="00E878C1" w:rsidP="0028265C">
      <w:pPr>
        <w:numPr>
          <w:ilvl w:val="0"/>
          <w:numId w:val="324"/>
        </w:numPr>
        <w:spacing w:before="120" w:after="120"/>
        <w:ind w:left="426" w:hanging="426"/>
        <w:jc w:val="both"/>
      </w:pPr>
      <w:r w:rsidRPr="00E878C1">
        <w:t>RO spravuje zoznam odborných hodnotiteľov oprávnených vykonávať odborné hodnotenie v</w:t>
      </w:r>
      <w:r>
        <w:t> </w:t>
      </w:r>
      <w:r w:rsidRPr="00E878C1">
        <w:t>rámci OP a je povinný ho zaevidovať do ITMS 2014+</w:t>
      </w:r>
      <w:r>
        <w:t>.</w:t>
      </w:r>
    </w:p>
    <w:p w14:paraId="434C6404" w14:textId="3F9F50E4" w:rsidR="00B650E5" w:rsidRDefault="00B650E5" w:rsidP="00B84909">
      <w:pPr>
        <w:numPr>
          <w:ilvl w:val="0"/>
          <w:numId w:val="324"/>
        </w:numPr>
        <w:spacing w:before="120" w:after="120"/>
        <w:ind w:left="426" w:hanging="426"/>
        <w:jc w:val="both"/>
      </w:pPr>
      <w:r>
        <w:t xml:space="preserve">RO vyberá odborných hodnotiteľov, ktorí budú hodnotiť ŽoNFP </w:t>
      </w:r>
      <w:r w:rsidR="00B84909">
        <w:t>a</w:t>
      </w:r>
      <w:r>
        <w:t xml:space="preserve"> priraďuje ŽoNFP prostredníctvom funkcionality ITMS 2014+.</w:t>
      </w:r>
    </w:p>
    <w:p w14:paraId="64A5C80A" w14:textId="77777777" w:rsidR="00B650E5" w:rsidRDefault="00B650E5" w:rsidP="0028265C">
      <w:pPr>
        <w:numPr>
          <w:ilvl w:val="0"/>
          <w:numId w:val="324"/>
        </w:numPr>
        <w:spacing w:before="120" w:after="120"/>
        <w:ind w:left="426" w:hanging="426"/>
        <w:jc w:val="both"/>
      </w:pPr>
      <w:r w:rsidRPr="005243B9">
        <w:t xml:space="preserve">RO je </w:t>
      </w:r>
      <w:r w:rsidR="003A3228" w:rsidRPr="005243B9">
        <w:t>oprávnený</w:t>
      </w:r>
      <w:r w:rsidRPr="005243B9">
        <w:t xml:space="preserve"> preverovať a vyhodnocovať kvalitu práce odborných hodnotiteľov. V prípade nedostatočnej kvality ich práce je RO oprávnený vylúčiť odborných hodnotiteľov zo zoznamu odborných hodnotiteľov. Presné kritériá hodnotenia kvality práce odborných hodnotiteľov, ako aj postupy ich vylúčenia pri neplnení kritérií uvedie RO v manuáli procedúr</w:t>
      </w:r>
      <w:r w:rsidR="00E96D5F">
        <w:t>, resp. v inej relevantnej dokumentácii</w:t>
      </w:r>
      <w:r w:rsidR="00D726B2">
        <w:t xml:space="preserve"> </w:t>
      </w:r>
      <w:r w:rsidR="00E96D5F">
        <w:t xml:space="preserve">(napr. </w:t>
      </w:r>
      <w:r w:rsidR="00D726B2">
        <w:t>v </w:t>
      </w:r>
      <w:r w:rsidR="00E96D5F">
        <w:t>P</w:t>
      </w:r>
      <w:r w:rsidR="00D726B2">
        <w:t>ríručke pre odborných hodnotiteľov</w:t>
      </w:r>
      <w:r w:rsidR="00E96D5F">
        <w:t>)</w:t>
      </w:r>
      <w:r w:rsidRPr="005243B9">
        <w:t>.</w:t>
      </w:r>
    </w:p>
    <w:p w14:paraId="46F818A0" w14:textId="77777777" w:rsidR="00B650E5" w:rsidRDefault="00B650E5">
      <w:bookmarkStart w:id="169" w:name="_Toc378947493"/>
      <w:r>
        <w:br w:type="page"/>
      </w:r>
    </w:p>
    <w:p w14:paraId="36D588AB" w14:textId="77777777" w:rsidR="00B650E5" w:rsidRDefault="00B650E5" w:rsidP="00227685">
      <w:pPr>
        <w:pStyle w:val="SRK1"/>
      </w:pPr>
      <w:bookmarkStart w:id="170" w:name="_Toc453233988"/>
      <w:bookmarkStart w:id="171" w:name="_Toc501630040"/>
      <w:r>
        <w:lastRenderedPageBreak/>
        <w:t>Časť 3</w:t>
      </w:r>
      <w:bookmarkEnd w:id="169"/>
      <w:r>
        <w:t xml:space="preserve"> </w:t>
      </w:r>
      <w:bookmarkStart w:id="172" w:name="_Toc378947494"/>
      <w:r>
        <w:t>Implementácia operačných programov</w:t>
      </w:r>
      <w:bookmarkEnd w:id="170"/>
      <w:bookmarkEnd w:id="171"/>
      <w:bookmarkEnd w:id="172"/>
    </w:p>
    <w:p w14:paraId="38E8DA18" w14:textId="77777777" w:rsidR="00B650E5" w:rsidRDefault="00B650E5">
      <w:pPr>
        <w:pStyle w:val="SRK2"/>
        <w:rPr>
          <w:rStyle w:val="Nadpis1Char"/>
          <w:bCs/>
          <w:sz w:val="36"/>
          <w:szCs w:val="26"/>
        </w:rPr>
      </w:pPr>
      <w:bookmarkStart w:id="173" w:name="_Toc378954330"/>
      <w:bookmarkStart w:id="174" w:name="_Toc378947495"/>
      <w:bookmarkStart w:id="175" w:name="_Toc453233989"/>
      <w:bookmarkStart w:id="176" w:name="_Toc501630041"/>
      <w:bookmarkStart w:id="177" w:name="kapitola_31"/>
      <w:r>
        <w:rPr>
          <w:rStyle w:val="Nadpis1Char"/>
          <w:bCs/>
          <w:sz w:val="36"/>
          <w:szCs w:val="26"/>
        </w:rPr>
        <w:t>3.1 Výzvy – spoločné ustanovenia</w:t>
      </w:r>
      <w:bookmarkEnd w:id="173"/>
      <w:bookmarkEnd w:id="174"/>
      <w:bookmarkEnd w:id="175"/>
      <w:bookmarkEnd w:id="176"/>
    </w:p>
    <w:p w14:paraId="5803999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178" w:name="_Toc378947496"/>
      <w:bookmarkEnd w:id="177"/>
      <w:r>
        <w:rPr>
          <w:u w:val="single"/>
        </w:rPr>
        <w:t>Relevantná úprava v legislatíve EÚ:</w:t>
      </w:r>
    </w:p>
    <w:p w14:paraId="1D29268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szCs w:val="22"/>
          <w:lang w:eastAsia="en-US"/>
        </w:rPr>
      </w:pPr>
      <w:r>
        <w:rPr>
          <w:bCs/>
          <w:i/>
          <w:iCs/>
          <w:szCs w:val="22"/>
          <w:lang w:eastAsia="en-US"/>
        </w:rPr>
        <w:t xml:space="preserve">Čl. 125 ods. 1 až 3 všeobecného nariadenia </w:t>
      </w:r>
    </w:p>
    <w:p w14:paraId="4EB6F01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5B266CC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16 až 18 zákona o príspevku z EŠIF</w:t>
      </w:r>
    </w:p>
    <w:p w14:paraId="6C285C91" w14:textId="77777777" w:rsidR="00B650E5" w:rsidRPr="00430C9B" w:rsidRDefault="00B650E5">
      <w:pPr>
        <w:numPr>
          <w:ilvl w:val="0"/>
          <w:numId w:val="22"/>
        </w:numPr>
        <w:spacing w:before="120" w:after="120"/>
        <w:ind w:left="426" w:hanging="426"/>
        <w:jc w:val="both"/>
      </w:pPr>
      <w:r w:rsidRPr="00726CCE">
        <w:rPr>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14:paraId="6374290D" w14:textId="77777777" w:rsidR="00B650E5" w:rsidRPr="00A13E26" w:rsidRDefault="00B650E5">
      <w:pPr>
        <w:numPr>
          <w:ilvl w:val="0"/>
          <w:numId w:val="22"/>
        </w:numPr>
        <w:spacing w:before="120" w:after="120"/>
        <w:ind w:left="426" w:hanging="426"/>
        <w:jc w:val="both"/>
        <w:rPr>
          <w:bCs/>
          <w:iCs/>
          <w:szCs w:val="22"/>
          <w:lang w:eastAsia="en-US"/>
        </w:rPr>
      </w:pPr>
      <w:r w:rsidRPr="00663970">
        <w:rPr>
          <w:bCs/>
          <w:iCs/>
          <w:szCs w:val="22"/>
          <w:lang w:eastAsia="en-US"/>
        </w:rPr>
        <w:t>Výzva na predkladanie projektový</w:t>
      </w:r>
      <w:r w:rsidRPr="00A13E26">
        <w:rPr>
          <w:bCs/>
          <w:iCs/>
          <w:szCs w:val="22"/>
          <w:lang w:eastAsia="en-US"/>
        </w:rPr>
        <w:t xml:space="preserve">ch zámerov a výzva na predkladanie ŽoNFP (ďalej spolu len ,,výzvy“) sú základným metodickým podkladom pre žiadateľa na predkladanie projektových zámerov/ŽoNFP. </w:t>
      </w:r>
    </w:p>
    <w:p w14:paraId="7A57B3A8" w14:textId="77777777" w:rsidR="00B650E5" w:rsidRPr="00430C9B" w:rsidRDefault="00B650E5">
      <w:pPr>
        <w:numPr>
          <w:ilvl w:val="0"/>
          <w:numId w:val="22"/>
        </w:numPr>
        <w:spacing w:before="120" w:after="120"/>
        <w:ind w:left="426" w:hanging="426"/>
        <w:jc w:val="both"/>
        <w:rPr>
          <w:bCs/>
          <w:iCs/>
          <w:szCs w:val="22"/>
          <w:lang w:eastAsia="en-US"/>
        </w:rPr>
      </w:pPr>
      <w:r w:rsidRPr="00A13E26">
        <w:rPr>
          <w:bCs/>
          <w:iCs/>
          <w:szCs w:val="22"/>
          <w:lang w:eastAsia="en-US"/>
        </w:rPr>
        <w:t xml:space="preserve">RO môže rozhodnúť v závislosti od charakteru projektov, ktorých podporu plánuje realizovať, že </w:t>
      </w:r>
      <w:r w:rsidRPr="00726CCE">
        <w:rPr>
          <w:bCs/>
          <w:iCs/>
          <w:szCs w:val="22"/>
          <w:lang w:eastAsia="en-US"/>
        </w:rPr>
        <w:t>výber projektov zabezpečí prostredníctvom dvoch výberových kôl (výzva na predkladanie projektových zámerov a výzva) alebo iba prostredníctvom jedného kola výberu (výzva na</w:t>
      </w:r>
      <w:r w:rsidR="00726CCE">
        <w:rPr>
          <w:bCs/>
          <w:iCs/>
          <w:szCs w:val="22"/>
          <w:lang w:eastAsia="en-US"/>
        </w:rPr>
        <w:t> </w:t>
      </w:r>
      <w:r w:rsidRPr="00726CCE">
        <w:rPr>
          <w:bCs/>
          <w:iCs/>
          <w:szCs w:val="22"/>
          <w:lang w:eastAsia="en-US"/>
        </w:rPr>
        <w:t>predkladanie ŽoNFP). RO je v závislosti od vhodnosti oprávnený využiť výber projektov prostredníctvom dvoch výberov</w:t>
      </w:r>
      <w:r w:rsidRPr="00430C9B">
        <w:rPr>
          <w:bCs/>
          <w:iCs/>
          <w:szCs w:val="22"/>
          <w:lang w:eastAsia="en-US"/>
        </w:rPr>
        <w:t>ých kôl aj pre časť OP (iba pre vybrané PO, špecifické ciele, resp. pre inú vhodnú úroveň implementácie OP v závislosti od rozhodnutia RO).</w:t>
      </w:r>
    </w:p>
    <w:p w14:paraId="11942F5E" w14:textId="77777777" w:rsidR="00B650E5" w:rsidRDefault="00B650E5">
      <w:pPr>
        <w:numPr>
          <w:ilvl w:val="0"/>
          <w:numId w:val="22"/>
        </w:numPr>
        <w:spacing w:before="120" w:after="120"/>
        <w:ind w:left="426" w:hanging="426"/>
        <w:jc w:val="both"/>
        <w:rPr>
          <w:bCs/>
          <w:iCs/>
          <w:szCs w:val="22"/>
          <w:lang w:eastAsia="en-US"/>
        </w:rPr>
      </w:pPr>
      <w:r w:rsidRPr="00663970">
        <w:rPr>
          <w:bCs/>
          <w:iCs/>
          <w:szCs w:val="22"/>
          <w:lang w:eastAsia="en-US"/>
        </w:rPr>
        <w:t>RO s cieľom dostatočnej informovanosti potenciálnych žiadateľov o možnostiach získan</w:t>
      </w:r>
      <w:r w:rsidRPr="00A13E26">
        <w:rPr>
          <w:bCs/>
          <w:iCs/>
          <w:szCs w:val="22"/>
          <w:lang w:eastAsia="en-US"/>
        </w:rPr>
        <w:t>ia NFP na financovanie projektov a dostatočnej pripravenosti predkladaných projektov vypracuje</w:t>
      </w:r>
      <w:r>
        <w:rPr>
          <w:bCs/>
          <w:iCs/>
          <w:szCs w:val="22"/>
          <w:lang w:eastAsia="en-US"/>
        </w:rPr>
        <w:t xml:space="preserve"> indikatívny harmonogram výziev, v ktorom zohľadní plánované termíny vyhlásenia výziev.</w:t>
      </w:r>
    </w:p>
    <w:p w14:paraId="7CE9DC05" w14:textId="77777777" w:rsidR="00B650E5" w:rsidRDefault="00B650E5">
      <w:pPr>
        <w:numPr>
          <w:ilvl w:val="0"/>
          <w:numId w:val="22"/>
        </w:numPr>
        <w:spacing w:before="120" w:after="120"/>
        <w:ind w:left="426" w:hanging="426"/>
        <w:jc w:val="both"/>
        <w:rPr>
          <w:bCs/>
          <w:iCs/>
          <w:szCs w:val="22"/>
          <w:lang w:eastAsia="en-US"/>
        </w:rPr>
      </w:pPr>
      <w:r>
        <w:rPr>
          <w:bCs/>
          <w:iCs/>
          <w:szCs w:val="22"/>
          <w:lang w:eastAsia="en-US"/>
        </w:rPr>
        <w:t>Harmonogram výziev definuje pre jednotlivé PO a špecifické ciele plánované termíny zverejňovania príslušných výziev (kalendárny mesiac, v ktorom sa plánujú výzvy vyhlásiť) a obsahuje aj ďalšie informácie týkajúce sa plánovaných výziev. Vzor</w:t>
      </w:r>
      <w:r>
        <w:rPr>
          <w:rStyle w:val="Odkaznapoznmkupodiarou"/>
          <w:bCs/>
          <w:iCs/>
          <w:szCs w:val="22"/>
          <w:lang w:eastAsia="en-US"/>
        </w:rPr>
        <w:footnoteReference w:id="40"/>
      </w:r>
      <w:r>
        <w:rPr>
          <w:bCs/>
          <w:iCs/>
          <w:szCs w:val="22"/>
          <w:lang w:eastAsia="en-US"/>
        </w:rPr>
        <w:t xml:space="preserve"> harmonogramu výziev vydáva CKO.</w:t>
      </w:r>
    </w:p>
    <w:p w14:paraId="32AAB8D5" w14:textId="1423F7E6" w:rsidR="00B650E5" w:rsidRDefault="00B650E5">
      <w:pPr>
        <w:numPr>
          <w:ilvl w:val="0"/>
          <w:numId w:val="22"/>
        </w:numPr>
        <w:spacing w:before="120" w:after="120"/>
        <w:ind w:left="426" w:hanging="426"/>
        <w:jc w:val="both"/>
        <w:rPr>
          <w:bCs/>
          <w:iCs/>
          <w:szCs w:val="22"/>
          <w:lang w:eastAsia="en-US"/>
        </w:rPr>
      </w:pPr>
      <w:r>
        <w:rPr>
          <w:szCs w:val="22"/>
          <w:lang w:eastAsia="en-US"/>
        </w:rPr>
        <w:t xml:space="preserve">RO zostavuje harmonogram výziev na obdobie kalendárneho roka </w:t>
      </w:r>
      <w:r w:rsidR="00F9068C">
        <w:rPr>
          <w:szCs w:val="22"/>
          <w:lang w:eastAsia="en-US"/>
        </w:rPr>
        <w:t xml:space="preserve">n + 1 a po zadaní údajov do ITMS 2014+ ho </w:t>
      </w:r>
      <w:r>
        <w:rPr>
          <w:szCs w:val="22"/>
          <w:lang w:eastAsia="en-US"/>
        </w:rPr>
        <w:t>zverejňuje na svojom webovom sídle v termíne najneskôr do</w:t>
      </w:r>
      <w:r w:rsidR="00726CCE">
        <w:rPr>
          <w:szCs w:val="22"/>
          <w:lang w:eastAsia="en-US"/>
        </w:rPr>
        <w:t> </w:t>
      </w:r>
      <w:r>
        <w:rPr>
          <w:szCs w:val="22"/>
          <w:lang w:eastAsia="en-US"/>
        </w:rPr>
        <w:t>31. októbra roku „n“</w:t>
      </w:r>
      <w:r w:rsidR="00F9068C" w:rsidRPr="00F9068C">
        <w:rPr>
          <w:rStyle w:val="Odkaznapoznmkupodiarou"/>
          <w:szCs w:val="22"/>
          <w:lang w:eastAsia="en-US"/>
        </w:rPr>
        <w:t xml:space="preserve"> </w:t>
      </w:r>
      <w:r w:rsidR="00F9068C">
        <w:rPr>
          <w:rStyle w:val="Odkaznapoznmkupodiarou"/>
          <w:szCs w:val="22"/>
          <w:lang w:eastAsia="en-US"/>
        </w:rPr>
        <w:footnoteReference w:id="41"/>
      </w:r>
      <w:r>
        <w:rPr>
          <w:szCs w:val="22"/>
          <w:lang w:eastAsia="en-US"/>
        </w:rPr>
        <w:t xml:space="preserve">. RO zodpovedá za aktuálnosť harmonogramu výziev na svojom webovom sídle, pričom aktualizáciu vyžaduje harmonogram v prípade, ak posun vyhlásenia výzvy v porovnaní s plánovaným termínom je väčší ako dva mesiace. RO vyhlási výzvu zaradenú do harmonogramu </w:t>
      </w:r>
      <w:r>
        <w:rPr>
          <w:szCs w:val="22"/>
          <w:lang w:eastAsia="en-US"/>
        </w:rPr>
        <w:lastRenderedPageBreak/>
        <w:t>výziev po tom, ako informácia o jej vyhlásení bola súčasťou zverejneného harmonogramu výziev minimálne počas dvoch mesiacov.</w:t>
      </w:r>
    </w:p>
    <w:p w14:paraId="5A819786" w14:textId="42E9ED00" w:rsidR="00B650E5" w:rsidRDefault="00B650E5">
      <w:pPr>
        <w:numPr>
          <w:ilvl w:val="0"/>
          <w:numId w:val="22"/>
        </w:numPr>
        <w:spacing w:before="120" w:after="120"/>
        <w:ind w:left="426" w:hanging="426"/>
        <w:jc w:val="both"/>
        <w:rPr>
          <w:szCs w:val="22"/>
          <w:lang w:eastAsia="en-US"/>
        </w:rPr>
      </w:pPr>
      <w:r>
        <w:rPr>
          <w:szCs w:val="22"/>
          <w:lang w:eastAsia="en-US"/>
        </w:rPr>
        <w:t xml:space="preserve">S cieľom zabezpečenia zverejnenia aktuálneho harmonogramu výziev v rámci jednotlivých OP na centrálnej úrovni, je harmonogram </w:t>
      </w:r>
      <w:r w:rsidR="00B125D3">
        <w:rPr>
          <w:szCs w:val="22"/>
          <w:lang w:eastAsia="en-US"/>
        </w:rPr>
        <w:t xml:space="preserve">schválený RO </w:t>
      </w:r>
      <w:r>
        <w:rPr>
          <w:szCs w:val="22"/>
          <w:lang w:eastAsia="en-US"/>
        </w:rPr>
        <w:t xml:space="preserve">zverejňovaný na webovom sídle </w:t>
      </w:r>
      <w:hyperlink r:id="rId74" w:history="1">
        <w:r w:rsidRPr="00E42CB6">
          <w:rPr>
            <w:rStyle w:val="Hypertextovprepojenie"/>
          </w:rPr>
          <w:t>www.partnerskadohoda.gov.sk</w:t>
        </w:r>
      </w:hyperlink>
      <w:r>
        <w:rPr>
          <w:szCs w:val="22"/>
          <w:lang w:eastAsia="en-US"/>
        </w:rPr>
        <w:t xml:space="preserve"> po jeho zadaní a aktivovaní zo strany RO v ITMS 2014+. RO aktivuje harmonogram výziev na kalendárny rok „n+1“ v termíne do 31. októbra kalendárneho roka „n“. RO pripravuje výzvy pre jednotlivé PO/špecifické ciele podľa harmonogramu výziev a v súlade:</w:t>
      </w:r>
    </w:p>
    <w:p w14:paraId="389EC8D8" w14:textId="77777777" w:rsidR="00B650E5" w:rsidRDefault="00B650E5">
      <w:pPr>
        <w:numPr>
          <w:ilvl w:val="1"/>
          <w:numId w:val="76"/>
        </w:numPr>
        <w:spacing w:before="120" w:after="120"/>
        <w:ind w:left="850" w:hanging="425"/>
        <w:jc w:val="both"/>
        <w:rPr>
          <w:szCs w:val="22"/>
          <w:lang w:eastAsia="en-US"/>
        </w:rPr>
      </w:pPr>
      <w:r>
        <w:rPr>
          <w:szCs w:val="22"/>
          <w:lang w:eastAsia="en-US"/>
        </w:rPr>
        <w:t xml:space="preserve">s príslušným OP, schémou pomoci (ak relevantné), </w:t>
      </w:r>
    </w:p>
    <w:p w14:paraId="3E8BE627" w14:textId="77777777" w:rsidR="00B650E5" w:rsidRDefault="00B650E5">
      <w:pPr>
        <w:numPr>
          <w:ilvl w:val="1"/>
          <w:numId w:val="76"/>
        </w:numPr>
        <w:spacing w:before="120" w:after="120"/>
        <w:ind w:left="850" w:hanging="425"/>
        <w:jc w:val="both"/>
        <w:rPr>
          <w:szCs w:val="22"/>
          <w:lang w:eastAsia="en-US"/>
        </w:rPr>
      </w:pPr>
      <w:r>
        <w:rPr>
          <w:szCs w:val="22"/>
          <w:lang w:eastAsia="en-US"/>
        </w:rPr>
        <w:t>s kritériami pre výber projektov schválenými MV,</w:t>
      </w:r>
    </w:p>
    <w:p w14:paraId="18093E49" w14:textId="77777777" w:rsidR="00B650E5" w:rsidRDefault="00B650E5">
      <w:pPr>
        <w:numPr>
          <w:ilvl w:val="1"/>
          <w:numId w:val="76"/>
        </w:numPr>
        <w:spacing w:before="120" w:after="120"/>
        <w:ind w:left="850" w:hanging="425"/>
        <w:jc w:val="both"/>
        <w:rPr>
          <w:szCs w:val="22"/>
          <w:lang w:eastAsia="en-US"/>
        </w:rPr>
      </w:pPr>
      <w:r>
        <w:rPr>
          <w:szCs w:val="22"/>
          <w:lang w:eastAsia="en-US"/>
        </w:rPr>
        <w:t>so Systémom riadenia EŠIF, Systémom finančného riadenia, Stratégiou financovania Európskych štrukturálnych a investičných fondov na programové obdobie 2014 - 2020 a s</w:t>
      </w:r>
      <w:r w:rsidR="00726CCE">
        <w:rPr>
          <w:szCs w:val="22"/>
          <w:lang w:eastAsia="en-US"/>
        </w:rPr>
        <w:t> </w:t>
      </w:r>
      <w:r>
        <w:rPr>
          <w:szCs w:val="22"/>
          <w:lang w:eastAsia="en-US"/>
        </w:rPr>
        <w:t xml:space="preserve">relevantnými predpismi SR a EÚ a ďalšími záväznými riadiacimi dokumentmi. </w:t>
      </w:r>
    </w:p>
    <w:p w14:paraId="35A74160" w14:textId="77777777" w:rsidR="00B650E5" w:rsidRDefault="00B650E5" w:rsidP="004F36BB">
      <w:pPr>
        <w:numPr>
          <w:ilvl w:val="0"/>
          <w:numId w:val="22"/>
        </w:numPr>
        <w:spacing w:before="120" w:after="120"/>
        <w:ind w:left="426" w:hanging="426"/>
        <w:jc w:val="both"/>
        <w:rPr>
          <w:szCs w:val="22"/>
          <w:lang w:eastAsia="en-US"/>
        </w:rPr>
      </w:pPr>
      <w:r>
        <w:rPr>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szCs w:val="22"/>
          <w:lang w:eastAsia="en-US"/>
        </w:rPr>
        <w:footnoteReference w:id="42"/>
      </w:r>
      <w:r>
        <w:rPr>
          <w:szCs w:val="22"/>
          <w:lang w:eastAsia="en-US"/>
        </w:rPr>
        <w:t xml:space="preserve"> v súlade so vzorom</w:t>
      </w:r>
      <w:r>
        <w:rPr>
          <w:rStyle w:val="Odkaznapoznmkupodiarou"/>
          <w:szCs w:val="22"/>
          <w:lang w:eastAsia="en-US"/>
        </w:rPr>
        <w:footnoteReference w:id="43"/>
      </w:r>
      <w:r>
        <w:rPr>
          <w:szCs w:val="22"/>
          <w:lang w:eastAsia="en-US"/>
        </w:rPr>
        <w:t xml:space="preserve"> vydaným CKO. RO je povinný posúdiť pri príprave výzvy  oprávnené aktivity, ktoré budú zahrnuté v rámci výzvy z hľadiska  ich  zaradenia pod rozsah smernice EIA</w:t>
      </w:r>
      <w:r w:rsidR="004F36BB">
        <w:rPr>
          <w:szCs w:val="22"/>
          <w:lang w:eastAsia="en-US"/>
        </w:rPr>
        <w:t xml:space="preserve">, resp. </w:t>
      </w:r>
      <w:r w:rsidR="004F36BB" w:rsidRPr="004F36BB">
        <w:rPr>
          <w:szCs w:val="22"/>
          <w:lang w:eastAsia="en-US"/>
        </w:rPr>
        <w:t>zákona o posudzovaní vplyvov</w:t>
      </w:r>
      <w:r>
        <w:rPr>
          <w:szCs w:val="22"/>
          <w:lang w:eastAsia="en-US"/>
        </w:rPr>
        <w:t>, pričom v prípade potreby spolupracuje s</w:t>
      </w:r>
      <w:r w:rsidR="00C057CA">
        <w:rPr>
          <w:szCs w:val="22"/>
          <w:lang w:eastAsia="en-US"/>
        </w:rPr>
        <w:t> </w:t>
      </w:r>
      <w:r>
        <w:rPr>
          <w:szCs w:val="22"/>
          <w:lang w:eastAsia="en-US"/>
        </w:rPr>
        <w:t>MŽP SR (vecne príslušným útvarom, do pôsobnosti ktorého spadá problematika posudzovania vplyvov na životné prostredie) ako koordinátorom EIA pre EŠIF a výsledky zohľadniť pri</w:t>
      </w:r>
      <w:r w:rsidR="00C057CA">
        <w:rPr>
          <w:szCs w:val="22"/>
          <w:lang w:eastAsia="en-US"/>
        </w:rPr>
        <w:t> </w:t>
      </w:r>
      <w:r>
        <w:rPr>
          <w:szCs w:val="22"/>
          <w:lang w:eastAsia="en-US"/>
        </w:rPr>
        <w:t>definovaní podmienok poskytnutia príspevku a povinných príloh ŽoNFP.</w:t>
      </w:r>
      <w:r w:rsidR="00ED51C9">
        <w:rPr>
          <w:szCs w:val="22"/>
          <w:lang w:eastAsia="en-US"/>
        </w:rPr>
        <w:t xml:space="preserve"> Podrobnosti spolupráce upraví CKO v metodickom pokyne.</w:t>
      </w:r>
    </w:p>
    <w:p w14:paraId="6C83C4F5" w14:textId="77777777" w:rsidR="00B650E5" w:rsidRDefault="00B650E5">
      <w:pPr>
        <w:numPr>
          <w:ilvl w:val="0"/>
          <w:numId w:val="22"/>
        </w:numPr>
        <w:spacing w:before="120" w:after="120"/>
        <w:ind w:left="426" w:hanging="426"/>
        <w:jc w:val="both"/>
        <w:rPr>
          <w:szCs w:val="22"/>
          <w:lang w:eastAsia="en-US"/>
        </w:rPr>
      </w:pPr>
      <w:r>
        <w:rPr>
          <w:szCs w:val="22"/>
          <w:lang w:eastAsia="en-US"/>
        </w:rPr>
        <w:t>RO pri príprave výziev a dokumentov, ktoré sú relevantné vo vzťahu k výzve a týkajú sa informácií potrebných k aplikácii HP priebežne spolupracuje s gestormi HP tak, aby na</w:t>
      </w:r>
      <w:r w:rsidR="00726CCE">
        <w:rPr>
          <w:szCs w:val="22"/>
          <w:lang w:eastAsia="en-US"/>
        </w:rPr>
        <w:t> </w:t>
      </w:r>
      <w:r>
        <w:rPr>
          <w:szCs w:val="22"/>
          <w:lang w:eastAsia="en-US"/>
        </w:rPr>
        <w:t xml:space="preserve">vyjadrenie gestora HP bol k pripravovaným dokumentom poskytnutý dostatočný časový priestor. </w:t>
      </w:r>
    </w:p>
    <w:p w14:paraId="1627D6FA" w14:textId="77777777" w:rsidR="00B650E5" w:rsidRDefault="00B650E5">
      <w:pPr>
        <w:numPr>
          <w:ilvl w:val="0"/>
          <w:numId w:val="22"/>
        </w:numPr>
        <w:spacing w:before="120" w:after="120"/>
        <w:ind w:left="426" w:hanging="426"/>
        <w:jc w:val="both"/>
        <w:rPr>
          <w:szCs w:val="22"/>
          <w:lang w:eastAsia="en-US"/>
        </w:rPr>
      </w:pPr>
      <w:r>
        <w:rPr>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 žiadateľa, využívanie adekvátnych informačných a komunikačných nástrojov vo</w:t>
      </w:r>
      <w:r w:rsidR="00726CCE">
        <w:rPr>
          <w:szCs w:val="22"/>
          <w:lang w:eastAsia="en-US"/>
        </w:rPr>
        <w:t> </w:t>
      </w:r>
      <w:r>
        <w:rPr>
          <w:szCs w:val="22"/>
          <w:lang w:eastAsia="en-US"/>
        </w:rPr>
        <w:t>vzťahu k verejnosti o vyhlásených výzvach (informačné akcie, zverejnenie odpovedí na často kladené otázky na webových sídlach, možnosť telefonických/osobných konzultácií a pod.).</w:t>
      </w:r>
    </w:p>
    <w:p w14:paraId="116F04EC" w14:textId="77777777" w:rsidR="00B650E5" w:rsidRDefault="00B650E5" w:rsidP="001B709E">
      <w:pPr>
        <w:numPr>
          <w:ilvl w:val="0"/>
          <w:numId w:val="22"/>
        </w:numPr>
        <w:spacing w:before="120" w:after="120"/>
        <w:ind w:left="426" w:hanging="426"/>
        <w:jc w:val="both"/>
        <w:rPr>
          <w:szCs w:val="22"/>
          <w:lang w:eastAsia="en-US"/>
        </w:rPr>
      </w:pPr>
      <w:r w:rsidRPr="00A07153">
        <w:rPr>
          <w:szCs w:val="22"/>
          <w:lang w:eastAsia="en-US"/>
        </w:rPr>
        <w:t xml:space="preserve">RO zverejňuje výzvy na svojom webovom sídle. RO je povinný zabezpečiť, aby výzvy, ktoré už boli ukončené, boli zverejnené na webovom sídle a dostupné v archíve výziev najmenej po dobu 3 rokov. RO je povinný zverejňovať aj akékoľvek zmeny a zrušenie. Po posúdení výzvy v súlade s ods. </w:t>
      </w:r>
      <w:hyperlink w:anchor="kapitola_311_ods_3" w:history="1">
        <w:r w:rsidRPr="00726CCE">
          <w:rPr>
            <w:rStyle w:val="Hypertextovprepojenie"/>
            <w:szCs w:val="22"/>
            <w:lang w:eastAsia="en-US"/>
          </w:rPr>
          <w:t>3 až ods. 12 kapitoly 3.1.1</w:t>
        </w:r>
      </w:hyperlink>
      <w:r w:rsidRPr="00A07153">
        <w:rPr>
          <w:szCs w:val="22"/>
          <w:lang w:eastAsia="en-US"/>
        </w:rPr>
        <w:t xml:space="preserve"> </w:t>
      </w:r>
      <w:r>
        <w:rPr>
          <w:szCs w:val="22"/>
          <w:lang w:eastAsia="en-US"/>
        </w:rPr>
        <w:t>je</w:t>
      </w:r>
      <w:r w:rsidRPr="00A07153">
        <w:rPr>
          <w:szCs w:val="22"/>
          <w:lang w:eastAsia="en-US"/>
        </w:rPr>
        <w:t xml:space="preserve"> RO</w:t>
      </w:r>
      <w:r>
        <w:rPr>
          <w:szCs w:val="22"/>
          <w:lang w:eastAsia="en-US"/>
        </w:rPr>
        <w:t xml:space="preserve"> povinný</w:t>
      </w:r>
      <w:r w:rsidRPr="00A07153">
        <w:rPr>
          <w:szCs w:val="22"/>
          <w:lang w:eastAsia="en-US"/>
        </w:rPr>
        <w:t xml:space="preserve"> zverejn</w:t>
      </w:r>
      <w:r>
        <w:rPr>
          <w:szCs w:val="22"/>
          <w:lang w:eastAsia="en-US"/>
        </w:rPr>
        <w:t>iť</w:t>
      </w:r>
      <w:r w:rsidRPr="00A07153">
        <w:rPr>
          <w:szCs w:val="22"/>
          <w:lang w:eastAsia="en-US"/>
        </w:rPr>
        <w:t xml:space="preserve"> výzvu </w:t>
      </w:r>
      <w:r w:rsidR="00CE0253">
        <w:rPr>
          <w:szCs w:val="22"/>
          <w:lang w:eastAsia="en-US"/>
        </w:rPr>
        <w:t>súčasne</w:t>
      </w:r>
      <w:r w:rsidR="00CE0253" w:rsidRPr="00A07153">
        <w:rPr>
          <w:szCs w:val="22"/>
          <w:lang w:eastAsia="en-US"/>
        </w:rPr>
        <w:t xml:space="preserve"> </w:t>
      </w:r>
      <w:r w:rsidR="00CE0253">
        <w:rPr>
          <w:szCs w:val="22"/>
          <w:lang w:eastAsia="en-US"/>
        </w:rPr>
        <w:t>so</w:t>
      </w:r>
      <w:r w:rsidR="00CE0253" w:rsidRPr="00A07153">
        <w:rPr>
          <w:szCs w:val="22"/>
          <w:lang w:eastAsia="en-US"/>
        </w:rPr>
        <w:t xml:space="preserve"> zverejnením na</w:t>
      </w:r>
      <w:r w:rsidR="00CE0253">
        <w:rPr>
          <w:szCs w:val="22"/>
          <w:lang w:eastAsia="en-US"/>
        </w:rPr>
        <w:t> </w:t>
      </w:r>
      <w:r w:rsidR="00CE0253" w:rsidRPr="00A07153">
        <w:rPr>
          <w:szCs w:val="22"/>
          <w:lang w:eastAsia="en-US"/>
        </w:rPr>
        <w:t>webovom sídle</w:t>
      </w:r>
      <w:r w:rsidR="00CE0253">
        <w:rPr>
          <w:szCs w:val="22"/>
          <w:lang w:eastAsia="en-US"/>
        </w:rPr>
        <w:t xml:space="preserve"> RO aj </w:t>
      </w:r>
      <w:r w:rsidRPr="00A07153">
        <w:rPr>
          <w:szCs w:val="22"/>
          <w:lang w:eastAsia="en-US"/>
        </w:rPr>
        <w:t>v</w:t>
      </w:r>
      <w:r>
        <w:rPr>
          <w:szCs w:val="22"/>
          <w:lang w:eastAsia="en-US"/>
        </w:rPr>
        <w:t> </w:t>
      </w:r>
      <w:r w:rsidRPr="00A07153">
        <w:rPr>
          <w:szCs w:val="22"/>
          <w:lang w:eastAsia="en-US"/>
        </w:rPr>
        <w:t>ITMS</w:t>
      </w:r>
      <w:r>
        <w:rPr>
          <w:szCs w:val="22"/>
          <w:lang w:eastAsia="en-US"/>
        </w:rPr>
        <w:t xml:space="preserve"> </w:t>
      </w:r>
      <w:r w:rsidRPr="00A07153">
        <w:rPr>
          <w:szCs w:val="22"/>
          <w:lang w:eastAsia="en-US"/>
        </w:rPr>
        <w:t>2014+.</w:t>
      </w:r>
    </w:p>
    <w:p w14:paraId="6B1C8BE0" w14:textId="77777777" w:rsidR="00B650E5" w:rsidRDefault="00B650E5">
      <w:pPr>
        <w:numPr>
          <w:ilvl w:val="0"/>
          <w:numId w:val="22"/>
        </w:numPr>
        <w:spacing w:before="120" w:after="120"/>
        <w:ind w:left="426" w:hanging="426"/>
        <w:jc w:val="both"/>
      </w:pPr>
      <w:r>
        <w:t>Výzvy môžu mať formu:</w:t>
      </w:r>
    </w:p>
    <w:p w14:paraId="412F0EC7" w14:textId="77777777" w:rsidR="00B650E5" w:rsidRDefault="00B650E5">
      <w:pPr>
        <w:numPr>
          <w:ilvl w:val="0"/>
          <w:numId w:val="77"/>
        </w:numPr>
        <w:spacing w:before="120" w:after="120"/>
        <w:ind w:left="851" w:hanging="425"/>
        <w:jc w:val="both"/>
      </w:pPr>
      <w:r>
        <w:t xml:space="preserve">uzavretej výzvy, ktorá je charakteristická presným určením dátumu jej vyhlásenia a dátumu uzavretia; využitie uzavretej výzvy je vhodné najmä v prípade projektov inovatívneho </w:t>
      </w:r>
      <w:r>
        <w:lastRenderedPageBreak/>
        <w:t>charakteru, kde výber najoptimálnejšieho projektu vyžaduje jeho porovnanie s inými predloženými projektmi,</w:t>
      </w:r>
    </w:p>
    <w:p w14:paraId="4556D29E" w14:textId="77777777" w:rsidR="00B650E5" w:rsidRDefault="00B650E5">
      <w:pPr>
        <w:numPr>
          <w:ilvl w:val="0"/>
          <w:numId w:val="77"/>
        </w:numPr>
        <w:spacing w:before="120" w:after="120"/>
        <w:ind w:left="851" w:hanging="425"/>
        <w:jc w:val="both"/>
        <w:rPr>
          <w:szCs w:val="22"/>
          <w:lang w:eastAsia="en-US"/>
        </w:rPr>
      </w:pPr>
      <w:r>
        <w:t>otvorenej výzvy, ktorej dĺžka trvania je závislá na disponibilných finančných prostriedkoch, ktorých vyčerpanie je základným dôvodom na ukončenie tohto druhu výzvy; využitie otvorenej výzvy je vhodné najmä v prípade výziev zameraných na podporu štandardných typov projektov, ktoré nevyžadujú zabezpečenie súťaže založenej na kvalitatívnom porovnaní projektov</w:t>
      </w:r>
      <w:r>
        <w:rPr>
          <w:szCs w:val="22"/>
          <w:lang w:eastAsia="en-US"/>
        </w:rPr>
        <w:t>.</w:t>
      </w:r>
    </w:p>
    <w:p w14:paraId="2EDAC793" w14:textId="77777777" w:rsidR="00B650E5" w:rsidRDefault="00B650E5">
      <w:pPr>
        <w:numPr>
          <w:ilvl w:val="0"/>
          <w:numId w:val="22"/>
        </w:numPr>
        <w:spacing w:before="120" w:after="120"/>
        <w:ind w:left="426" w:hanging="426"/>
        <w:jc w:val="both"/>
        <w:rPr>
          <w:szCs w:val="22"/>
          <w:lang w:eastAsia="en-US"/>
        </w:rPr>
      </w:pPr>
      <w:r>
        <w:t>V prípade výziev na realizáciu dopytovo-orientovaných projektov (</w:t>
      </w:r>
      <w:r w:rsidR="00C93F30">
        <w:t xml:space="preserve">t. j. </w:t>
      </w:r>
      <w:r>
        <w:t>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szCs w:val="22"/>
          <w:lang w:eastAsia="en-US"/>
        </w:rPr>
        <w:t>.</w:t>
      </w:r>
    </w:p>
    <w:p w14:paraId="1A271385" w14:textId="77777777" w:rsidR="00B650E5" w:rsidRDefault="00B650E5">
      <w:pPr>
        <w:pStyle w:val="SRK3"/>
      </w:pPr>
      <w:bookmarkStart w:id="179" w:name="_Toc378954332"/>
      <w:bookmarkStart w:id="180" w:name="_Toc378947497"/>
      <w:bookmarkStart w:id="181" w:name="_Toc453233990"/>
      <w:bookmarkStart w:id="182" w:name="_Toc501630042"/>
      <w:r>
        <w:t>3.1.1 Výzva</w:t>
      </w:r>
      <w:bookmarkEnd w:id="179"/>
      <w:bookmarkEnd w:id="180"/>
      <w:bookmarkEnd w:id="181"/>
      <w:bookmarkEnd w:id="182"/>
      <w:r>
        <w:t xml:space="preserve"> </w:t>
      </w:r>
    </w:p>
    <w:p w14:paraId="682482DF" w14:textId="65DA88FC" w:rsidR="00B650E5" w:rsidRPr="009243AC" w:rsidRDefault="00B650E5" w:rsidP="00556762">
      <w:pPr>
        <w:numPr>
          <w:ilvl w:val="0"/>
          <w:numId w:val="379"/>
        </w:numPr>
        <w:spacing w:before="120" w:after="120"/>
        <w:ind w:left="426" w:hanging="426"/>
        <w:jc w:val="both"/>
        <w:rPr>
          <w:szCs w:val="22"/>
          <w:lang w:eastAsia="en-US"/>
        </w:rPr>
      </w:pPr>
      <w:r w:rsidRPr="001F355F">
        <w:rPr>
          <w:szCs w:val="22"/>
          <w:lang w:eastAsia="en-US"/>
        </w:rPr>
        <w:t>Výzva predstavuje podnet a základný metodický podklad, na základe ktorého žiadateľ o NFP vypracúva a predkladá ŽoNFP. Pre RO predstavuje spolu s efektívnym využitím prvého kola výberu (v prípade jeho vhodnosti)</w:t>
      </w:r>
      <w:r w:rsidRPr="00354FBA">
        <w:rPr>
          <w:szCs w:val="22"/>
          <w:lang w:eastAsia="en-US"/>
        </w:rPr>
        <w:t xml:space="preserve"> základný regulačný nástroj kvality a množstva ŽoNFP predkladaných žiadateľmi.</w:t>
      </w:r>
      <w:r w:rsidR="00BB0509">
        <w:rPr>
          <w:szCs w:val="22"/>
          <w:lang w:eastAsia="en-US"/>
        </w:rPr>
        <w:t xml:space="preserve"> Za účelom</w:t>
      </w:r>
      <w:r w:rsidR="00BB0509" w:rsidRPr="00FC6301">
        <w:rPr>
          <w:szCs w:val="22"/>
          <w:lang w:eastAsia="en-US"/>
        </w:rPr>
        <w:t>, aby výzva zodpovedala potrebám cieľových skupín</w:t>
      </w:r>
      <w:r w:rsidR="00BB0509">
        <w:rPr>
          <w:szCs w:val="22"/>
          <w:lang w:eastAsia="en-US"/>
        </w:rPr>
        <w:t xml:space="preserve">, odporúča CKO </w:t>
      </w:r>
      <w:r w:rsidR="00BB0509" w:rsidRPr="00FC6301">
        <w:rPr>
          <w:szCs w:val="22"/>
          <w:lang w:eastAsia="en-US"/>
        </w:rPr>
        <w:t xml:space="preserve">pred </w:t>
      </w:r>
      <w:r w:rsidR="00BB0509">
        <w:rPr>
          <w:szCs w:val="22"/>
          <w:lang w:eastAsia="en-US"/>
        </w:rPr>
        <w:t>vyhlásením výzvy</w:t>
      </w:r>
      <w:r w:rsidR="00BB0509" w:rsidRPr="00FC6301">
        <w:rPr>
          <w:szCs w:val="22"/>
          <w:lang w:eastAsia="en-US"/>
        </w:rPr>
        <w:t xml:space="preserve"> uskutočn</w:t>
      </w:r>
      <w:r w:rsidR="00BB0509">
        <w:rPr>
          <w:szCs w:val="22"/>
          <w:lang w:eastAsia="en-US"/>
        </w:rPr>
        <w:t>iť</w:t>
      </w:r>
      <w:r w:rsidR="00BB0509" w:rsidRPr="00FC6301">
        <w:rPr>
          <w:szCs w:val="22"/>
          <w:lang w:eastAsia="en-US"/>
        </w:rPr>
        <w:t xml:space="preserve"> informatívne konzultačné stretnuti</w:t>
      </w:r>
      <w:r w:rsidR="00BB0509">
        <w:rPr>
          <w:szCs w:val="22"/>
          <w:lang w:eastAsia="en-US"/>
        </w:rPr>
        <w:t>e</w:t>
      </w:r>
      <w:r w:rsidR="00BB0509" w:rsidRPr="00FC6301">
        <w:rPr>
          <w:szCs w:val="22"/>
          <w:lang w:eastAsia="en-US"/>
        </w:rPr>
        <w:t xml:space="preserve"> (okrúhl</w:t>
      </w:r>
      <w:r w:rsidR="00BB0509">
        <w:rPr>
          <w:szCs w:val="22"/>
          <w:lang w:eastAsia="en-US"/>
        </w:rPr>
        <w:t>y</w:t>
      </w:r>
      <w:r w:rsidR="00BB0509" w:rsidRPr="00FC6301">
        <w:rPr>
          <w:szCs w:val="22"/>
          <w:lang w:eastAsia="en-US"/>
        </w:rPr>
        <w:t xml:space="preserve"> st</w:t>
      </w:r>
      <w:r w:rsidR="00BB0509">
        <w:rPr>
          <w:szCs w:val="22"/>
          <w:lang w:eastAsia="en-US"/>
        </w:rPr>
        <w:t>ô</w:t>
      </w:r>
      <w:r w:rsidR="00BB0509" w:rsidRPr="00FC6301">
        <w:rPr>
          <w:szCs w:val="22"/>
          <w:lang w:eastAsia="en-US"/>
        </w:rPr>
        <w:t>l) za účasti predstaviteľov RO s odbornou verejnosťou</w:t>
      </w:r>
      <w:r w:rsidR="00841474">
        <w:rPr>
          <w:szCs w:val="22"/>
          <w:lang w:eastAsia="en-US"/>
        </w:rPr>
        <w:t>,</w:t>
      </w:r>
      <w:r w:rsidR="00841474" w:rsidRPr="00556762">
        <w:rPr>
          <w:szCs w:val="22"/>
          <w:lang w:eastAsia="en-US"/>
        </w:rPr>
        <w:t xml:space="preserve"> </w:t>
      </w:r>
      <w:r w:rsidR="00841474" w:rsidRPr="00841474">
        <w:rPr>
          <w:szCs w:val="22"/>
          <w:lang w:eastAsia="en-US"/>
        </w:rPr>
        <w:t>pričom uvedením konaním nie je dotknutá povinnosť postupovať v zmysle § 46 ods. 1 zákona o príspevku z EŠIF pre zúčastnené strany</w:t>
      </w:r>
      <w:r w:rsidR="00BB0509">
        <w:rPr>
          <w:szCs w:val="22"/>
          <w:lang w:eastAsia="en-US"/>
        </w:rPr>
        <w:t>.</w:t>
      </w:r>
      <w:r w:rsidR="00BB0509" w:rsidRPr="00FC6301">
        <w:rPr>
          <w:szCs w:val="22"/>
          <w:lang w:eastAsia="en-US"/>
        </w:rPr>
        <w:t xml:space="preserve"> </w:t>
      </w:r>
      <w:r w:rsidR="00BB0509">
        <w:rPr>
          <w:szCs w:val="22"/>
          <w:lang w:eastAsia="en-US"/>
        </w:rPr>
        <w:t>N</w:t>
      </w:r>
      <w:r w:rsidR="00BB0509" w:rsidRPr="00FC6301">
        <w:rPr>
          <w:szCs w:val="22"/>
          <w:lang w:eastAsia="en-US"/>
        </w:rPr>
        <w:t>a</w:t>
      </w:r>
      <w:r w:rsidR="00BB0509">
        <w:rPr>
          <w:szCs w:val="22"/>
          <w:lang w:eastAsia="en-US"/>
        </w:rPr>
        <w:t> stretnutí</w:t>
      </w:r>
      <w:r w:rsidR="00BB0509" w:rsidRPr="00FC6301">
        <w:rPr>
          <w:szCs w:val="22"/>
          <w:lang w:eastAsia="en-US"/>
        </w:rPr>
        <w:t xml:space="preserve"> budú odkonzultované základné parametre výzvy. </w:t>
      </w:r>
    </w:p>
    <w:p w14:paraId="5BBD8FA2"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Výzvu RO vyhlási jej zverejnením na svojom webovom sídle. RO je povinný pred vyhlásením výzvy vykonať kontrolu jej správnosti a kompletnosti, pričom vzor</w:t>
      </w:r>
      <w:r>
        <w:rPr>
          <w:rStyle w:val="Odkaznapoznmkupodiarou"/>
          <w:szCs w:val="22"/>
          <w:lang w:eastAsia="en-US"/>
        </w:rPr>
        <w:footnoteReference w:id="44"/>
      </w:r>
      <w:r>
        <w:rPr>
          <w:szCs w:val="22"/>
          <w:lang w:eastAsia="en-US"/>
        </w:rPr>
        <w:t xml:space="preserve"> kontrolného zoznamu k návrhu výzvy vydáva CKO. Kontrola je zameraná predovšetkým na overenie súladu výzvy s OP, podmienkami uvedenými v relevantnej schéme pomoci a ostatnými relevantnými dokumentmi, ako aj požiadavkami legislatívy EÚ a SR. </w:t>
      </w:r>
      <w:r w:rsidR="00536A8B" w:rsidRPr="007361F7">
        <w:rPr>
          <w:szCs w:val="22"/>
          <w:lang w:eastAsia="en-US"/>
        </w:rPr>
        <w:t xml:space="preserve">RO </w:t>
      </w:r>
      <w:r w:rsidR="00536A8B">
        <w:rPr>
          <w:szCs w:val="22"/>
          <w:lang w:eastAsia="en-US"/>
        </w:rPr>
        <w:t xml:space="preserve">je </w:t>
      </w:r>
      <w:r w:rsidR="00536A8B" w:rsidRPr="007361F7">
        <w:rPr>
          <w:szCs w:val="22"/>
          <w:lang w:eastAsia="en-US"/>
        </w:rPr>
        <w:t>povinn</w:t>
      </w:r>
      <w:r w:rsidR="00536A8B">
        <w:rPr>
          <w:szCs w:val="22"/>
          <w:lang w:eastAsia="en-US"/>
        </w:rPr>
        <w:t>ý</w:t>
      </w:r>
      <w:r w:rsidR="00536A8B" w:rsidRPr="007361F7">
        <w:rPr>
          <w:szCs w:val="22"/>
          <w:lang w:eastAsia="en-US"/>
        </w:rPr>
        <w:t xml:space="preserve"> pred samotným vyhlásením výzvy realizovať publicitu výzvy prostredníctvom tlačovej konferencie, tlačového brífingu, resp. minimálne prostredníctvom tlačovej správy. Prostredníctvom týchto nástrojov budú vysvetlené základné ciele výzvy a pravidlá oprávnenosti. Budú taktiež predstavené základné parametre výzvy vo vzťahu k splneniu cieľov OP a vo vzťahu zníženia administratívnej náročnosti pre žiadateľov.</w:t>
      </w:r>
      <w:r w:rsidR="00536A8B">
        <w:rPr>
          <w:szCs w:val="22"/>
          <w:lang w:eastAsia="en-US"/>
        </w:rPr>
        <w:t xml:space="preserve"> </w:t>
      </w:r>
      <w:r>
        <w:rPr>
          <w:szCs w:val="22"/>
          <w:lang w:eastAsia="en-US"/>
        </w:rPr>
        <w:t>RO je oprávnený informáciu o zverejnenej výzve za účelom lepšej informovanosti šíriť následne aj inými masovo komunikačnými prostriedkami (tlač, médiá a pod.), pričom záväzné znenie je vždy to, ktoré je zverejnené na webovom sídle RO.</w:t>
      </w:r>
      <w:r w:rsidR="00536A8B">
        <w:rPr>
          <w:szCs w:val="22"/>
          <w:lang w:eastAsia="en-US"/>
        </w:rPr>
        <w:t xml:space="preserve"> </w:t>
      </w:r>
    </w:p>
    <w:p w14:paraId="123C25E7" w14:textId="436A18B6" w:rsidR="00B650E5" w:rsidRPr="00245F8B" w:rsidRDefault="00B650E5" w:rsidP="00F57A5F">
      <w:pPr>
        <w:numPr>
          <w:ilvl w:val="0"/>
          <w:numId w:val="379"/>
        </w:numPr>
        <w:spacing w:before="120" w:after="120"/>
        <w:ind w:left="426" w:hanging="426"/>
        <w:jc w:val="both"/>
        <w:rPr>
          <w:szCs w:val="22"/>
          <w:lang w:eastAsia="en-US"/>
        </w:rPr>
      </w:pPr>
      <w:bookmarkStart w:id="183" w:name="kapitola_311_ods_3"/>
      <w:r w:rsidRPr="00245F8B">
        <w:rPr>
          <w:szCs w:val="22"/>
          <w:lang w:eastAsia="en-US"/>
        </w:rPr>
        <w:t xml:space="preserve">RO </w:t>
      </w:r>
      <w:r>
        <w:rPr>
          <w:szCs w:val="22"/>
          <w:lang w:eastAsia="en-US"/>
        </w:rPr>
        <w:t xml:space="preserve">pred vyhlásením výzvy </w:t>
      </w:r>
      <w:r w:rsidRPr="00245F8B">
        <w:rPr>
          <w:szCs w:val="22"/>
          <w:lang w:eastAsia="en-US"/>
        </w:rPr>
        <w:t xml:space="preserve">zašle </w:t>
      </w:r>
      <w:r w:rsidRPr="000E286B">
        <w:rPr>
          <w:szCs w:val="22"/>
          <w:lang w:eastAsia="en-US"/>
        </w:rPr>
        <w:t xml:space="preserve">CKO na e-mailovú adresu </w:t>
      </w:r>
      <w:hyperlink r:id="rId75" w:history="1">
        <w:r w:rsidRPr="000E286B">
          <w:rPr>
            <w:rStyle w:val="Hypertextovprepojenie"/>
            <w:szCs w:val="22"/>
            <w:lang w:eastAsia="en-US"/>
          </w:rPr>
          <w:t>vyzvy@vicepremier.gov.s</w:t>
        </w:r>
        <w:r w:rsidRPr="0065304D">
          <w:rPr>
            <w:rStyle w:val="Hypertextovprepojenie"/>
            <w:szCs w:val="22"/>
            <w:lang w:eastAsia="en-US"/>
          </w:rPr>
          <w:t>k</w:t>
        </w:r>
      </w:hyperlink>
      <w:r w:rsidRPr="000E286B">
        <w:rPr>
          <w:szCs w:val="22"/>
          <w:lang w:eastAsia="en-US"/>
        </w:rPr>
        <w:t xml:space="preserve"> a zároveň gestorom HP na posúdenie </w:t>
      </w:r>
      <w:r>
        <w:rPr>
          <w:szCs w:val="22"/>
          <w:lang w:eastAsia="en-US"/>
        </w:rPr>
        <w:t xml:space="preserve">finálny </w:t>
      </w:r>
      <w:r w:rsidRPr="000E286B">
        <w:rPr>
          <w:szCs w:val="22"/>
          <w:lang w:eastAsia="en-US"/>
        </w:rPr>
        <w:t>návrh výzvy</w:t>
      </w:r>
      <w:r>
        <w:rPr>
          <w:rStyle w:val="Odkaznapoznmkupodiarou"/>
          <w:szCs w:val="22"/>
          <w:lang w:eastAsia="en-US"/>
        </w:rPr>
        <w:footnoteReference w:id="45"/>
      </w:r>
      <w:r w:rsidRPr="000E286B">
        <w:rPr>
          <w:szCs w:val="22"/>
          <w:lang w:eastAsia="en-US"/>
        </w:rPr>
        <w:t xml:space="preserve">, vrátane všetkých jej príloh </w:t>
      </w:r>
      <w:r w:rsidRPr="000E286B">
        <w:rPr>
          <w:szCs w:val="22"/>
          <w:lang w:eastAsia="en-US"/>
        </w:rPr>
        <w:lastRenderedPageBreak/>
        <w:t>a dokumentov, na ktoré sa výzva odvoláva a ktoré nie sú verejne dostupné. V prípade, že prílohy a dokumenty, na ktoré sa výzva odvoláva, sú verejne dostupné, RO spolu s návrh</w:t>
      </w:r>
      <w:r>
        <w:rPr>
          <w:szCs w:val="22"/>
          <w:lang w:eastAsia="en-US"/>
        </w:rPr>
        <w:t>om</w:t>
      </w:r>
      <w:r w:rsidRPr="000E286B">
        <w:rPr>
          <w:szCs w:val="22"/>
          <w:lang w:eastAsia="en-US"/>
        </w:rPr>
        <w:t xml:space="preserve"> výzvy zašle CKO aj hypertextové odkazy na miesto zverejnenia týchto príloh a dokumentov. RO nie je povinný zasielať na posúdenie dokumenty vzťahujúce sa na implementáciu projektov, hoci sa na</w:t>
      </w:r>
      <w:r w:rsidR="002157DF">
        <w:rPr>
          <w:szCs w:val="22"/>
          <w:lang w:eastAsia="en-US"/>
        </w:rPr>
        <w:t> </w:t>
      </w:r>
      <w:r w:rsidRPr="000E286B">
        <w:rPr>
          <w:szCs w:val="22"/>
          <w:lang w:eastAsia="en-US"/>
        </w:rPr>
        <w:t xml:space="preserve">nich výzva odvoláva (napr. príručku pre prijímateľa), ak takéto dokumenty nie sú priamo prílohou výzvy. </w:t>
      </w:r>
      <w:r w:rsidRPr="001B709E">
        <w:t>Súčasťou predloženého návrhu výzvy je „Dotazník zabezpečenia synergií a</w:t>
      </w:r>
      <w:r w:rsidRPr="00F12951">
        <w:t> </w:t>
      </w:r>
      <w:r w:rsidRPr="001B709E">
        <w:t>komplementarít, plnenia zákona č. 336/2015 Z.</w:t>
      </w:r>
      <w:r w:rsidR="00A4267B">
        <w:t xml:space="preserve"> </w:t>
      </w:r>
      <w:r w:rsidRPr="001B709E">
        <w:t>z. a</w:t>
      </w:r>
      <w:r w:rsidRPr="00F12951">
        <w:t> </w:t>
      </w:r>
      <w:r w:rsidRPr="001B709E">
        <w:t>doplňujúce informácie k</w:t>
      </w:r>
      <w:r w:rsidRPr="00F12951">
        <w:t> </w:t>
      </w:r>
      <w:r w:rsidRPr="001B709E">
        <w:t>výzve“</w:t>
      </w:r>
      <w:r w:rsidR="000647CD">
        <w:t xml:space="preserve"> a riziková analýza výziev v zmysle MP CKO č. </w:t>
      </w:r>
      <w:r w:rsidR="009C47E8">
        <w:t>3</w:t>
      </w:r>
      <w:r w:rsidR="00E6485A">
        <w:t>2</w:t>
      </w:r>
      <w:r w:rsidR="002C7F3E">
        <w:rPr>
          <w:rStyle w:val="Odkaznapoznmkupodiarou"/>
        </w:rPr>
        <w:footnoteReference w:id="46"/>
      </w:r>
      <w:r w:rsidRPr="001B709E">
        <w:t>.</w:t>
      </w:r>
      <w:r>
        <w:rPr>
          <w:color w:val="FF0000"/>
        </w:rPr>
        <w:t xml:space="preserve"> </w:t>
      </w:r>
      <w:r>
        <w:rPr>
          <w:szCs w:val="22"/>
          <w:lang w:eastAsia="en-US"/>
        </w:rPr>
        <w:t xml:space="preserve">Gestor HP zašle záväzné substanovisko v zmysle </w:t>
      </w:r>
      <w:hyperlink w:anchor="kapitola_1315_ods_2s" w:tooltip="kapitoly 1.3.1.5, ods. 2, písm. s)" w:history="1">
        <w:r w:rsidRPr="00BF4EA4">
          <w:rPr>
            <w:rStyle w:val="Hypertextovprepojenie"/>
            <w:szCs w:val="22"/>
            <w:lang w:eastAsia="en-US"/>
          </w:rPr>
          <w:t>kapitoly 1.3.1.5, ods. 2, písm. s)</w:t>
        </w:r>
      </w:hyperlink>
      <w:r>
        <w:rPr>
          <w:szCs w:val="22"/>
          <w:lang w:eastAsia="en-US"/>
        </w:rPr>
        <w:t xml:space="preserve"> CKO </w:t>
      </w:r>
      <w:r>
        <w:t>v termíne stanovenom v systéme implementácie HP (ak je v tomto dokumente stanovený kratší termín ako 7 pracovných dní), resp. najneskôr do 7 pracovných dní od doručenia návrhu výzvy zo strany RO.</w:t>
      </w:r>
    </w:p>
    <w:bookmarkEnd w:id="183"/>
    <w:p w14:paraId="2886BF8C" w14:textId="27C2AAA8" w:rsidR="00B650E5" w:rsidRPr="00245F8B" w:rsidRDefault="00C14CF4" w:rsidP="000E286B">
      <w:pPr>
        <w:numPr>
          <w:ilvl w:val="0"/>
          <w:numId w:val="379"/>
        </w:numPr>
        <w:spacing w:before="120" w:after="120"/>
        <w:ind w:left="425" w:hanging="425"/>
        <w:jc w:val="both"/>
        <w:rPr>
          <w:szCs w:val="22"/>
          <w:lang w:eastAsia="en-US"/>
        </w:rPr>
      </w:pPr>
      <w:r>
        <w:rPr>
          <w:szCs w:val="22"/>
          <w:lang w:eastAsia="en-US"/>
        </w:rPr>
        <w:t>CKO</w:t>
      </w:r>
      <w:r w:rsidRPr="00245F8B">
        <w:rPr>
          <w:szCs w:val="22"/>
          <w:lang w:eastAsia="en-US"/>
        </w:rPr>
        <w:t xml:space="preserve"> </w:t>
      </w:r>
      <w:r w:rsidR="00B650E5" w:rsidRPr="00245F8B">
        <w:rPr>
          <w:szCs w:val="22"/>
          <w:lang w:eastAsia="en-US"/>
        </w:rPr>
        <w:t>predloženú výzvu posudzuje z hľadiska:</w:t>
      </w:r>
    </w:p>
    <w:p w14:paraId="546F3347"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formálnych náležitostí výzvy a podmienok poskytnutia príspevku podľa § 17 ods. 2 až 5 zákona o príspevku z EŠIF,</w:t>
      </w:r>
    </w:p>
    <w:p w14:paraId="490F0754" w14:textId="77777777" w:rsidR="00B650E5" w:rsidRPr="00245F8B" w:rsidRDefault="00B650E5" w:rsidP="000E286B">
      <w:pPr>
        <w:numPr>
          <w:ilvl w:val="0"/>
          <w:numId w:val="404"/>
        </w:numPr>
        <w:spacing w:before="120" w:after="120"/>
        <w:ind w:left="850" w:hanging="425"/>
        <w:jc w:val="both"/>
        <w:rPr>
          <w:szCs w:val="22"/>
          <w:lang w:eastAsia="en-US"/>
        </w:rPr>
      </w:pPr>
      <w:r w:rsidRPr="00245F8B">
        <w:rPr>
          <w:szCs w:val="22"/>
          <w:lang w:eastAsia="en-US"/>
        </w:rPr>
        <w:t>identifikácie diskriminačných podmienok</w:t>
      </w:r>
      <w:r>
        <w:rPr>
          <w:szCs w:val="22"/>
          <w:lang w:eastAsia="en-US"/>
        </w:rPr>
        <w:t xml:space="preserve"> </w:t>
      </w:r>
      <w:r w:rsidRPr="00C45265">
        <w:rPr>
          <w:szCs w:val="22"/>
          <w:lang w:eastAsia="en-US"/>
        </w:rPr>
        <w:t>(neopodstatnené zvýhodnenie alebo</w:t>
      </w:r>
      <w:r w:rsidR="002157DF">
        <w:rPr>
          <w:szCs w:val="22"/>
          <w:lang w:eastAsia="en-US"/>
        </w:rPr>
        <w:t xml:space="preserve"> </w:t>
      </w:r>
      <w:r w:rsidRPr="00C45265">
        <w:rPr>
          <w:szCs w:val="22"/>
          <w:lang w:eastAsia="en-US"/>
        </w:rPr>
        <w:t xml:space="preserve">znevýhodnenie </w:t>
      </w:r>
      <w:r>
        <w:rPr>
          <w:szCs w:val="22"/>
          <w:lang w:eastAsia="en-US"/>
        </w:rPr>
        <w:t xml:space="preserve">žiadateľa alebo </w:t>
      </w:r>
      <w:r w:rsidRPr="00C45265">
        <w:rPr>
          <w:szCs w:val="22"/>
          <w:lang w:eastAsia="en-US"/>
        </w:rPr>
        <w:t>skupiny žiadateľov s výnimkou aspektov posudzovaných zo</w:t>
      </w:r>
      <w:r w:rsidR="002157DF">
        <w:rPr>
          <w:szCs w:val="22"/>
          <w:lang w:eastAsia="en-US"/>
        </w:rPr>
        <w:t> </w:t>
      </w:r>
      <w:r w:rsidRPr="00C45265">
        <w:rPr>
          <w:szCs w:val="22"/>
          <w:lang w:eastAsia="en-US"/>
        </w:rPr>
        <w:t xml:space="preserve">strany gestora HP </w:t>
      </w:r>
      <w:r w:rsidRPr="00C45265">
        <w:rPr>
          <w:iCs/>
          <w:szCs w:val="22"/>
          <w:lang w:eastAsia="en-US"/>
        </w:rPr>
        <w:t>rovnosť medzi mužmi a ženami a nediskriminácia)</w:t>
      </w:r>
      <w:r>
        <w:rPr>
          <w:iCs/>
          <w:szCs w:val="22"/>
          <w:lang w:eastAsia="en-US"/>
        </w:rPr>
        <w:t xml:space="preserve">, </w:t>
      </w:r>
      <w:r w:rsidRPr="00660BC3">
        <w:rPr>
          <w:iCs/>
          <w:szCs w:val="22"/>
          <w:lang w:eastAsia="en-US"/>
        </w:rPr>
        <w:t xml:space="preserve">pričom spolupracuje s gestorom HP </w:t>
      </w:r>
      <w:r w:rsidRPr="000E286B">
        <w:rPr>
          <w:iCs/>
          <w:color w:val="000000"/>
        </w:rPr>
        <w:t>rovnosť medzi mužmi a ženami a nediskriminácia</w:t>
      </w:r>
      <w:r w:rsidRPr="00660BC3">
        <w:rPr>
          <w:szCs w:val="22"/>
          <w:lang w:eastAsia="en-US"/>
        </w:rPr>
        <w:t>,</w:t>
      </w:r>
    </w:p>
    <w:p w14:paraId="609907DE" w14:textId="77777777" w:rsidR="00B650E5" w:rsidRPr="00245F8B" w:rsidRDefault="00B650E5" w:rsidP="000E286B">
      <w:pPr>
        <w:numPr>
          <w:ilvl w:val="0"/>
          <w:numId w:val="404"/>
        </w:numPr>
        <w:spacing w:before="120" w:after="120"/>
        <w:ind w:left="850" w:hanging="425"/>
        <w:jc w:val="both"/>
        <w:rPr>
          <w:szCs w:val="22"/>
          <w:lang w:eastAsia="en-US"/>
        </w:rPr>
      </w:pPr>
      <w:r w:rsidRPr="00245F8B">
        <w:t>zabezpečenia synergických účinkov a komplementarít európskych štrukturálnych a investičných fondov so zreteľom na podporu využívania integrovaných prístupov,</w:t>
      </w:r>
    </w:p>
    <w:p w14:paraId="69CFAE21" w14:textId="77777777" w:rsidR="00B650E5" w:rsidRPr="00245F8B" w:rsidRDefault="00B650E5" w:rsidP="000E286B">
      <w:pPr>
        <w:numPr>
          <w:ilvl w:val="0"/>
          <w:numId w:val="404"/>
        </w:numPr>
        <w:spacing w:before="120" w:after="120"/>
        <w:ind w:left="850" w:hanging="425"/>
        <w:jc w:val="both"/>
        <w:rPr>
          <w:szCs w:val="22"/>
          <w:lang w:eastAsia="en-US"/>
        </w:rPr>
      </w:pPr>
      <w:bookmarkStart w:id="184" w:name="kapitola_311_ods_4_d"/>
      <w:r w:rsidRPr="00245F8B">
        <w:t xml:space="preserve">súladu s Partnerskou dohodou Slovenskej republiky na roky 2014 – 2020, operačným programom, záväznými </w:t>
      </w:r>
      <w:r w:rsidRPr="00C45265">
        <w:t xml:space="preserve">pravidlami </w:t>
      </w:r>
      <w:r w:rsidRPr="00245F8B">
        <w:t>upravujúcimi poskytovanie európskych štrukturálnych a investičných fondov a schváleným záväzným plánom operačného programu; súlad s</w:t>
      </w:r>
      <w:r w:rsidR="002157DF">
        <w:t> </w:t>
      </w:r>
      <w:r w:rsidRPr="00245F8B">
        <w:t>dokumentmi podľa tohto písmena je posudzovaný aj s ohľadom na minimalizáciu administratívnej záťaže pre žiadateľov a súlad s horizontálnymi princípmi.</w:t>
      </w:r>
    </w:p>
    <w:p w14:paraId="5F582A10" w14:textId="77777777" w:rsidR="00B650E5" w:rsidRPr="000E286B" w:rsidRDefault="00B650E5" w:rsidP="00C45265">
      <w:pPr>
        <w:numPr>
          <w:ilvl w:val="0"/>
          <w:numId w:val="379"/>
        </w:numPr>
        <w:spacing w:before="120" w:after="120"/>
        <w:ind w:left="425" w:hanging="425"/>
        <w:jc w:val="both"/>
        <w:rPr>
          <w:szCs w:val="22"/>
          <w:lang w:eastAsia="en-US"/>
        </w:rPr>
      </w:pPr>
      <w:bookmarkStart w:id="185" w:name="kapitola_311_ods_5"/>
      <w:bookmarkEnd w:id="184"/>
      <w:r w:rsidRPr="00C45265">
        <w:rPr>
          <w:szCs w:val="22"/>
          <w:lang w:eastAsia="en-US"/>
        </w:rPr>
        <w:t xml:space="preserve">CKO vydá stanovisko do 10 pracovných dní od predloženia výzvy. </w:t>
      </w:r>
      <w:r w:rsidRPr="00E71AC3">
        <w:t>CKO</w:t>
      </w:r>
      <w:r w:rsidRPr="00FC1D92">
        <w:t xml:space="preserve"> je oprávnený za účelom posúdenia predloženej výzvy vyžadovať od RO doplnenie ďalších dokumentov alebo informácií, ktoré sú ne</w:t>
      </w:r>
      <w:r w:rsidRPr="009B0F7F">
        <w:t>vyhnutné na posúdenie výzvy. Čas potrebný na predloženie vyžadovaných dokumentov alebo informácií sa do lehoty podľa prvej vety tohto odseku nezapočítava</w:t>
      </w:r>
      <w:r w:rsidRPr="00C45265">
        <w:t xml:space="preserve">. </w:t>
      </w:r>
      <w:r w:rsidRPr="000E286B">
        <w:t>CKO vydá:</w:t>
      </w:r>
    </w:p>
    <w:p w14:paraId="54528E3D" w14:textId="77777777" w:rsidR="00B650E5" w:rsidRPr="000E286B" w:rsidRDefault="00B650E5" w:rsidP="00C45265">
      <w:pPr>
        <w:numPr>
          <w:ilvl w:val="0"/>
          <w:numId w:val="406"/>
        </w:numPr>
        <w:spacing w:before="120" w:after="120"/>
        <w:ind w:left="851" w:hanging="425"/>
        <w:jc w:val="both"/>
        <w:rPr>
          <w:szCs w:val="22"/>
          <w:lang w:eastAsia="en-US"/>
        </w:rPr>
      </w:pPr>
      <w:bookmarkStart w:id="186" w:name="kapitola_311_ods_5_a"/>
      <w:r w:rsidRPr="000E286B">
        <w:rPr>
          <w:szCs w:val="22"/>
          <w:lang w:eastAsia="en-US"/>
        </w:rPr>
        <w:t>súhlasné stanovisko s vyhlásením výzvy bez návrhu na jej úpravu alebo zmenu ako schválenie výzvy, alebo</w:t>
      </w:r>
    </w:p>
    <w:p w14:paraId="7E279F9C" w14:textId="77777777" w:rsidR="00B650E5" w:rsidRPr="000E286B" w:rsidRDefault="00B650E5" w:rsidP="00C45265">
      <w:pPr>
        <w:numPr>
          <w:ilvl w:val="0"/>
          <w:numId w:val="406"/>
        </w:numPr>
        <w:spacing w:before="120" w:after="120"/>
        <w:ind w:left="851" w:hanging="425"/>
        <w:jc w:val="both"/>
        <w:rPr>
          <w:szCs w:val="22"/>
          <w:lang w:eastAsia="en-US"/>
        </w:rPr>
      </w:pPr>
      <w:bookmarkStart w:id="187" w:name="kapitola_311_ods_5_b"/>
      <w:bookmarkEnd w:id="186"/>
      <w:r w:rsidRPr="000E286B">
        <w:rPr>
          <w:szCs w:val="22"/>
          <w:lang w:eastAsia="en-US"/>
        </w:rPr>
        <w:t>súhlasné</w:t>
      </w:r>
      <w:r w:rsidRPr="000E286B">
        <w:rPr>
          <w:szCs w:val="20"/>
        </w:rPr>
        <w:t xml:space="preserve"> </w:t>
      </w:r>
      <w:r w:rsidRPr="000E286B">
        <w:rPr>
          <w:szCs w:val="22"/>
          <w:lang w:eastAsia="en-US"/>
        </w:rPr>
        <w:t>stanovisko s vyhlásením výzvy, ktoré obsahuje odporúčania na jej úpravu ako schválenie výzvy, alebo</w:t>
      </w:r>
    </w:p>
    <w:p w14:paraId="512321A0" w14:textId="3CBD5244" w:rsidR="00B650E5" w:rsidRPr="00C45265" w:rsidRDefault="00B650E5" w:rsidP="000E286B">
      <w:pPr>
        <w:numPr>
          <w:ilvl w:val="0"/>
          <w:numId w:val="406"/>
        </w:numPr>
        <w:spacing w:before="120" w:after="120"/>
        <w:ind w:left="851" w:hanging="425"/>
        <w:jc w:val="both"/>
        <w:rPr>
          <w:szCs w:val="22"/>
          <w:lang w:eastAsia="en-US"/>
        </w:rPr>
      </w:pPr>
      <w:bookmarkStart w:id="188" w:name="kapitola_311_ods_5_c"/>
      <w:bookmarkEnd w:id="187"/>
      <w:r w:rsidRPr="000E286B">
        <w:rPr>
          <w:szCs w:val="22"/>
          <w:lang w:eastAsia="en-US"/>
        </w:rPr>
        <w:t>nesúhlasné stanovisko s vyhlásením výzvy z dôvodu identifikácie závažných nedostatkov brániacich jej vyhláseniu ako neschválenie výzvy; stanovisko obsahuje jasnú identifikáciu zistených nedostatkov a návrh nápravných opatrení na ich odstránenie. Za závažné nedostatky brániace vyhláseniu výzvy sa považuje najmä rozpor výzvy so všeobecne záväznými právnymi predpismi</w:t>
      </w:r>
      <w:r w:rsidR="00C14CF4">
        <w:rPr>
          <w:szCs w:val="22"/>
          <w:lang w:eastAsia="en-US"/>
        </w:rPr>
        <w:t xml:space="preserve"> SR a EÚ</w:t>
      </w:r>
      <w:r w:rsidRPr="000E286B">
        <w:rPr>
          <w:szCs w:val="22"/>
          <w:lang w:eastAsia="en-US"/>
        </w:rPr>
        <w:t>, Systémom riadenia EŠIF a dokumentmi vydávanými na</w:t>
      </w:r>
      <w:r w:rsidR="002157DF">
        <w:rPr>
          <w:szCs w:val="22"/>
          <w:lang w:eastAsia="en-US"/>
        </w:rPr>
        <w:t> </w:t>
      </w:r>
      <w:r w:rsidRPr="000E286B">
        <w:rPr>
          <w:szCs w:val="22"/>
          <w:lang w:eastAsia="en-US"/>
        </w:rPr>
        <w:t xml:space="preserve">jeho základe v zmysle </w:t>
      </w:r>
      <w:hyperlink w:anchor="kapitola_12_ods_3" w:tooltip="kapitoly 1.2, ods. 3., písm. a) až d)" w:history="1">
        <w:r w:rsidRPr="000E286B">
          <w:rPr>
            <w:szCs w:val="22"/>
            <w:lang w:eastAsia="en-US"/>
          </w:rPr>
          <w:t>kapitoly 1.2, ods. 3., písm. a) až d)</w:t>
        </w:r>
      </w:hyperlink>
      <w:r w:rsidRPr="000E286B">
        <w:rPr>
          <w:szCs w:val="22"/>
          <w:lang w:eastAsia="en-US"/>
        </w:rPr>
        <w:t>.</w:t>
      </w:r>
    </w:p>
    <w:bookmarkEnd w:id="185"/>
    <w:bookmarkEnd w:id="188"/>
    <w:p w14:paraId="4BCDDE00" w14:textId="77777777" w:rsidR="00B650E5" w:rsidRPr="000E286B" w:rsidRDefault="00B650E5" w:rsidP="000E286B">
      <w:pPr>
        <w:numPr>
          <w:ilvl w:val="0"/>
          <w:numId w:val="379"/>
        </w:numPr>
        <w:spacing w:before="120" w:after="120"/>
        <w:ind w:left="425" w:hanging="425"/>
        <w:jc w:val="both"/>
        <w:rPr>
          <w:szCs w:val="22"/>
          <w:lang w:eastAsia="en-US"/>
        </w:rPr>
      </w:pPr>
      <w:r w:rsidRPr="00C45265">
        <w:t xml:space="preserve">Ak počas plynutia lehoty podľa </w:t>
      </w:r>
      <w:hyperlink w:anchor="kapitola_311_ods_5" w:tooltip="ods. 5 tejto kapitoly" w:history="1">
        <w:r w:rsidRPr="005470DD">
          <w:rPr>
            <w:rStyle w:val="Hypertextovprepojenie"/>
          </w:rPr>
          <w:t>ods. 5 tejto kapitoly</w:t>
        </w:r>
      </w:hyperlink>
      <w:r w:rsidRPr="00C45265">
        <w:t xml:space="preserve"> RO vykoná vo výzve alebo jej prílohách a dokumentoch, na ktoré sa výzva odvoláva akékoľvek úpravy, je RO povinný zaslať upravenú </w:t>
      </w:r>
      <w:r w:rsidRPr="00C45265">
        <w:lastRenderedPageBreak/>
        <w:t xml:space="preserve">výzvu opätovne </w:t>
      </w:r>
      <w:r>
        <w:t xml:space="preserve">na posúdenie </w:t>
      </w:r>
      <w:r w:rsidRPr="00C45265">
        <w:t xml:space="preserve">podľa </w:t>
      </w:r>
      <w:hyperlink w:anchor="kapitola_311_ods_3" w:tooltip="ods. 3 tejto kapitoly" w:history="1">
        <w:r w:rsidRPr="00C45265">
          <w:rPr>
            <w:rStyle w:val="Hypertextovprepojenie"/>
          </w:rPr>
          <w:t>ods. 3 tejto kapitoly</w:t>
        </w:r>
      </w:hyperlink>
      <w:r w:rsidRPr="00C45265">
        <w:t xml:space="preserve">, pričom CKO </w:t>
      </w:r>
      <w:r>
        <w:t>začne plynúť nová lehota</w:t>
      </w:r>
      <w:r w:rsidRPr="00C45265">
        <w:t xml:space="preserve"> podľa </w:t>
      </w:r>
      <w:hyperlink w:anchor="kapitola_311_ods_5" w:tooltip="ods. 5 tejto kapitoly" w:history="1">
        <w:r w:rsidRPr="00C45265">
          <w:rPr>
            <w:rStyle w:val="Hypertextovprepojenie"/>
          </w:rPr>
          <w:t>ods. 5 tejto kapitoly</w:t>
        </w:r>
      </w:hyperlink>
      <w:r w:rsidRPr="00C45265">
        <w:t>.</w:t>
      </w:r>
    </w:p>
    <w:p w14:paraId="33CA8EE7" w14:textId="77777777" w:rsidR="00B650E5" w:rsidRDefault="00B650E5" w:rsidP="000E286B">
      <w:pPr>
        <w:numPr>
          <w:ilvl w:val="0"/>
          <w:numId w:val="379"/>
        </w:numPr>
        <w:spacing w:before="120" w:after="120"/>
        <w:ind w:left="425" w:hanging="425"/>
        <w:jc w:val="both"/>
        <w:rPr>
          <w:szCs w:val="22"/>
          <w:lang w:eastAsia="en-US"/>
        </w:rPr>
      </w:pPr>
      <w:r>
        <w:rPr>
          <w:szCs w:val="22"/>
          <w:lang w:eastAsia="en-US"/>
        </w:rPr>
        <w:t>Ak sa RO doručí súhlasné stanovisko bez návrhu na úpravu alebo zmenu, je oprávnený vyhlásiť výzvu v súlade s návrhom predloženým CKO.</w:t>
      </w:r>
    </w:p>
    <w:p w14:paraId="7CD8F2C8" w14:textId="77777777" w:rsidR="00B650E5" w:rsidRPr="000E286B" w:rsidRDefault="00B650E5" w:rsidP="000E286B">
      <w:pPr>
        <w:numPr>
          <w:ilvl w:val="0"/>
          <w:numId w:val="379"/>
        </w:numPr>
        <w:spacing w:before="120" w:after="120"/>
        <w:ind w:left="425" w:hanging="425"/>
        <w:jc w:val="both"/>
        <w:rPr>
          <w:szCs w:val="22"/>
          <w:lang w:eastAsia="en-US"/>
        </w:rPr>
      </w:pPr>
      <w:r>
        <w:rPr>
          <w:szCs w:val="22"/>
          <w:lang w:eastAsia="en-US"/>
        </w:rPr>
        <w:t xml:space="preserve">Ak sa RO doručí súhlasné stanovisko s vyhlásením výzvy, ktoré obsahuje odporúčania na jej úpravu, riadiaci orgán pred vyhlásením výzvy zváži </w:t>
      </w:r>
      <w:r w:rsidR="007C6114">
        <w:rPr>
          <w:szCs w:val="22"/>
          <w:lang w:eastAsia="en-US"/>
        </w:rPr>
        <w:t xml:space="preserve">jej </w:t>
      </w:r>
      <w:r>
        <w:rPr>
          <w:szCs w:val="22"/>
          <w:lang w:eastAsia="en-US"/>
        </w:rPr>
        <w:t xml:space="preserve">úpravu na základe navrhnutých odporúčaní. </w:t>
      </w:r>
      <w:r w:rsidR="00316337" w:rsidRPr="00AF0BE2">
        <w:rPr>
          <w:szCs w:val="22"/>
          <w:lang w:eastAsia="en-US"/>
        </w:rPr>
        <w:t>RO nie je povinný prijať navrhované odporúčania a môže výzvu vyhlásiť. Uvedené sa netýka prípadov, ak CKO označil vybrané odporúčania za zásadné. V prípade, ak sa po</w:t>
      </w:r>
      <w:r w:rsidR="002157DF">
        <w:rPr>
          <w:szCs w:val="22"/>
          <w:lang w:eastAsia="en-US"/>
        </w:rPr>
        <w:t> </w:t>
      </w:r>
      <w:r w:rsidR="00316337" w:rsidRPr="00AF0BE2">
        <w:rPr>
          <w:szCs w:val="22"/>
          <w:lang w:eastAsia="en-US"/>
        </w:rPr>
        <w:t xml:space="preserve">zvážení zásadných odporúčaní rozhodne RO tieto odporúčania nezapracovať, je RO povinný požiadať CKO o ich prerokovanie ešte pred samotným vyhlásením výzvy. </w:t>
      </w:r>
      <w:r>
        <w:rPr>
          <w:szCs w:val="22"/>
          <w:lang w:eastAsia="en-US"/>
        </w:rPr>
        <w:t xml:space="preserve">Vyhodnotenie spôsobu zohľadnenia navrhovaných odporúčaní vrátane zdôvodnenia nezapracovaných odporúčaní zasiela riadiaci orgán CKO </w:t>
      </w:r>
      <w:r w:rsidR="00A71464">
        <w:rPr>
          <w:szCs w:val="22"/>
          <w:lang w:eastAsia="en-US"/>
        </w:rPr>
        <w:t xml:space="preserve">a v kópii gestorom HP </w:t>
      </w:r>
      <w:r>
        <w:rPr>
          <w:szCs w:val="22"/>
          <w:lang w:eastAsia="en-US"/>
        </w:rPr>
        <w:t xml:space="preserve">do 10 pracovných dní od vyhlásenia výzvy. </w:t>
      </w:r>
    </w:p>
    <w:p w14:paraId="29E6CBB5" w14:textId="77777777" w:rsidR="00B650E5" w:rsidRPr="00245F8B" w:rsidRDefault="00B650E5" w:rsidP="000E286B">
      <w:pPr>
        <w:numPr>
          <w:ilvl w:val="0"/>
          <w:numId w:val="379"/>
        </w:numPr>
        <w:spacing w:before="120" w:after="120"/>
        <w:ind w:left="425" w:hanging="425"/>
        <w:jc w:val="both"/>
        <w:rPr>
          <w:szCs w:val="22"/>
          <w:lang w:eastAsia="en-US"/>
        </w:rPr>
      </w:pPr>
      <w:r w:rsidRPr="00245F8B">
        <w:t>Ak sa RO doručí nesúhlasné stanovisko s vyhlásením výzvy, vyhlásenie výzvy bez zapracovania navrhovaných nápravných opatrení alebo bez odstránenia rozporu ohľadne spôsobu odstránenia identifikovaných nedostatkov sa považuje za vyhlásenie výzvy bez predchádzajúceho súhlasu. RO po odstránení nedostatkov identifikovaných na základe nesúhlasného stanoviska s</w:t>
      </w:r>
      <w:r w:rsidR="002157DF">
        <w:t> </w:t>
      </w:r>
      <w:r w:rsidRPr="00245F8B">
        <w:t xml:space="preserve">vyhlásením výzvy predloží upravené znenie výzvy na posúdenie, pričom opätovné posúdenie sa spravuje postupom podľa </w:t>
      </w:r>
      <w:hyperlink w:anchor="kapitola_3111_ods_3" w:tooltip="ods. 3 až ods. 12 tejto kapitoly" w:history="1">
        <w:r w:rsidRPr="00DA0508">
          <w:rPr>
            <w:rStyle w:val="Hypertextovprepojenie"/>
          </w:rPr>
          <w:t>ods. 3 až ods. 12 tejto kapitoly</w:t>
        </w:r>
      </w:hyperlink>
      <w:r w:rsidRPr="00245F8B">
        <w:t xml:space="preserve">. Lehota na vydanie stanoviska je 5 pracovných dní od predloženia upraveného znenia výzvy. Ak </w:t>
      </w:r>
      <w:r>
        <w:t>CKO</w:t>
      </w:r>
      <w:r w:rsidRPr="00245F8B">
        <w:t xml:space="preserve"> do 5 pracovných dní od</w:t>
      </w:r>
      <w:r w:rsidR="002157DF">
        <w:t> </w:t>
      </w:r>
      <w:r w:rsidRPr="00245F8B">
        <w:t xml:space="preserve">predloženia upraveného znenia výzvy nezašle RO žiadne stanovisko, považuje sa taký postup za vydanie súhlasného stanoviska bez návrhu na zmenu a RO je oprávnený výzvu </w:t>
      </w:r>
      <w:r w:rsidRPr="00723B2E">
        <w:t>vyhlásiť</w:t>
      </w:r>
      <w:r w:rsidRPr="000E286B">
        <w:t xml:space="preserve">. </w:t>
      </w:r>
      <w:r w:rsidRPr="00723B2E">
        <w:t>Ak</w:t>
      </w:r>
      <w:r>
        <w:t xml:space="preserve"> n</w:t>
      </w:r>
      <w:r w:rsidRPr="00723B2E">
        <w:t>a</w:t>
      </w:r>
      <w:r w:rsidR="002157DF">
        <w:t> </w:t>
      </w:r>
      <w:r w:rsidRPr="00723B2E">
        <w:t xml:space="preserve">základe nesúhlasu </w:t>
      </w:r>
      <w:r>
        <w:t>RO</w:t>
      </w:r>
      <w:r w:rsidRPr="00723B2E">
        <w:t xml:space="preserve"> </w:t>
      </w:r>
      <w:r>
        <w:t xml:space="preserve">so </w:t>
      </w:r>
      <w:r w:rsidRPr="00245F8B">
        <w:t>spôsob</w:t>
      </w:r>
      <w:r>
        <w:t>om</w:t>
      </w:r>
      <w:r w:rsidRPr="00245F8B">
        <w:t xml:space="preserve"> odstránenia identifikovaných nedostatkov</w:t>
      </w:r>
      <w:r w:rsidRPr="00723B2E">
        <w:t>, po rozporovom konaní s</w:t>
      </w:r>
      <w:r>
        <w:t> CKO,</w:t>
      </w:r>
      <w:r w:rsidRPr="00723B2E">
        <w:t xml:space="preserve"> obe strany odstránia rozpor s takým záverom, že výzvu nie je potrebné upraviť vôbec</w:t>
      </w:r>
      <w:r>
        <w:t>, RO</w:t>
      </w:r>
      <w:r w:rsidRPr="00723B2E">
        <w:t xml:space="preserve"> nezasiela výzvu na opätovné posúdenie a k jej vyhláseniu môže dôjsť na základe potvrdeného odstránenia rozporu. </w:t>
      </w:r>
      <w:r>
        <w:t>Pr</w:t>
      </w:r>
      <w:r w:rsidRPr="00723B2E">
        <w:t xml:space="preserve">e </w:t>
      </w:r>
      <w:r>
        <w:t>RO</w:t>
      </w:r>
      <w:r w:rsidRPr="00723B2E">
        <w:t xml:space="preserve"> </w:t>
      </w:r>
      <w:r>
        <w:t xml:space="preserve">je </w:t>
      </w:r>
      <w:r w:rsidRPr="00723B2E">
        <w:t xml:space="preserve">potvrdením odstránenia rozporu písomné odsúhlasenie možnosti vyhlásiť výzvu zo strany </w:t>
      </w:r>
      <w:r>
        <w:t>CKO</w:t>
      </w:r>
      <w:r w:rsidRPr="00723B2E">
        <w:t>.</w:t>
      </w:r>
    </w:p>
    <w:p w14:paraId="1621ABB5" w14:textId="77777777" w:rsidR="00B650E5" w:rsidRPr="00245F8B" w:rsidRDefault="00B650E5" w:rsidP="00245F8B">
      <w:pPr>
        <w:numPr>
          <w:ilvl w:val="0"/>
          <w:numId w:val="379"/>
        </w:numPr>
        <w:spacing w:before="120" w:after="120"/>
        <w:ind w:left="426" w:hanging="426"/>
        <w:jc w:val="both"/>
        <w:rPr>
          <w:szCs w:val="22"/>
          <w:lang w:eastAsia="en-US"/>
        </w:rPr>
      </w:pPr>
      <w:r w:rsidRPr="00245F8B">
        <w:t xml:space="preserve">Ak </w:t>
      </w:r>
      <w:r>
        <w:t>CKO</w:t>
      </w:r>
      <w:r w:rsidRPr="00245F8B">
        <w:t xml:space="preserve"> do 10 pracovných dní od predloženia výzvy</w:t>
      </w:r>
      <w:r>
        <w:t xml:space="preserve"> podľa </w:t>
      </w:r>
      <w:hyperlink w:anchor="kapitola_311_ods_3" w:tooltip="ods. 3 tejto kapitoly" w:history="1">
        <w:r w:rsidRPr="00717045">
          <w:rPr>
            <w:rStyle w:val="Hypertextovprepojenie"/>
          </w:rPr>
          <w:t>ods. 3 tejto kapitoly</w:t>
        </w:r>
      </w:hyperlink>
      <w:r w:rsidRPr="00245F8B">
        <w:t xml:space="preserve"> nezašle RO žiadne stanovisko, považuje sa taký postup za vydanie súhlasného stanoviska bez návrhu na</w:t>
      </w:r>
      <w:r w:rsidR="002157DF">
        <w:t> </w:t>
      </w:r>
      <w:r w:rsidRPr="00245F8B">
        <w:t>zmenu a RO je oprávnený výzvu vyhlásiť.</w:t>
      </w:r>
    </w:p>
    <w:p w14:paraId="24C50723" w14:textId="7219AECB" w:rsidR="00B650E5" w:rsidRPr="00245F8B" w:rsidRDefault="00B650E5" w:rsidP="000E286B">
      <w:pPr>
        <w:numPr>
          <w:ilvl w:val="0"/>
          <w:numId w:val="379"/>
        </w:numPr>
        <w:spacing w:before="120" w:after="120"/>
        <w:ind w:left="425" w:hanging="425"/>
        <w:jc w:val="both"/>
        <w:rPr>
          <w:szCs w:val="22"/>
          <w:lang w:eastAsia="en-US"/>
        </w:rPr>
      </w:pPr>
      <w:bookmarkStart w:id="189" w:name="kapitola_311_ods_11"/>
      <w:r w:rsidRPr="00245F8B">
        <w:t xml:space="preserve">RO je pred vyhlásením výzvy oprávnený vykonať vo výzve v znení v akom bola výzva predložená </w:t>
      </w:r>
      <w:r w:rsidR="00C14CF4">
        <w:t>CKO</w:t>
      </w:r>
      <w:r w:rsidR="00C14CF4" w:rsidRPr="00245F8B">
        <w:t xml:space="preserve"> </w:t>
      </w:r>
      <w:r w:rsidRPr="00245F8B">
        <w:t>len:</w:t>
      </w:r>
    </w:p>
    <w:bookmarkEnd w:id="189"/>
    <w:p w14:paraId="35AF8F06"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odporúčaní obsiahnutých v stanovisku </w:t>
      </w:r>
      <w:r w:rsidRPr="00E71AC3">
        <w:t xml:space="preserve">podľa </w:t>
      </w:r>
      <w:hyperlink w:anchor="kapitola_311_ods_5_b" w:tooltip="ods. 5, písm. b) tejto kapitoly" w:history="1">
        <w:r w:rsidRPr="005470DD">
          <w:rPr>
            <w:rStyle w:val="Hypertextovprepojenie"/>
          </w:rPr>
          <w:t>ods. 5, písm. b) tejto kapitoly</w:t>
        </w:r>
      </w:hyperlink>
      <w:r w:rsidRPr="00245F8B">
        <w:t>,</w:t>
      </w:r>
    </w:p>
    <w:p w14:paraId="2B0EB3B2" w14:textId="77777777" w:rsidR="00B650E5" w:rsidRPr="00245F8B" w:rsidRDefault="00B650E5" w:rsidP="000E286B">
      <w:pPr>
        <w:numPr>
          <w:ilvl w:val="0"/>
          <w:numId w:val="405"/>
        </w:numPr>
        <w:spacing w:before="120" w:after="120"/>
        <w:ind w:left="850" w:hanging="425"/>
        <w:jc w:val="both"/>
      </w:pPr>
      <w:r w:rsidRPr="00245F8B">
        <w:t xml:space="preserve">zmeny vyplývajúce zo zapracovania identifikovaných nedostatkov zahrnutých v stanovisku </w:t>
      </w:r>
      <w:r w:rsidRPr="00E71AC3">
        <w:t xml:space="preserve">podľa </w:t>
      </w:r>
      <w:hyperlink w:anchor="kapitola_311_ods_5_c" w:tooltip="ods. 5, písm. c) tejto kapitoly" w:history="1">
        <w:r w:rsidRPr="005470DD">
          <w:rPr>
            <w:rStyle w:val="Hypertextovprepojenie"/>
          </w:rPr>
          <w:t>ods. 5, písm. c) tejto kapitoly</w:t>
        </w:r>
      </w:hyperlink>
      <w:r w:rsidRPr="00245F8B">
        <w:t>,</w:t>
      </w:r>
    </w:p>
    <w:p w14:paraId="6E107752" w14:textId="77777777" w:rsidR="00B650E5" w:rsidRPr="00245F8B" w:rsidRDefault="00B650E5" w:rsidP="000E286B">
      <w:pPr>
        <w:numPr>
          <w:ilvl w:val="0"/>
          <w:numId w:val="405"/>
        </w:numPr>
        <w:spacing w:before="120" w:after="120"/>
        <w:ind w:left="850" w:hanging="425"/>
        <w:jc w:val="both"/>
      </w:pPr>
      <w:r w:rsidRPr="00245F8B">
        <w:t xml:space="preserve">opravu chýb v písaní, počítaní alebo iných zrejmých nesprávností vo výzve, </w:t>
      </w:r>
    </w:p>
    <w:p w14:paraId="08BE85D2" w14:textId="77777777" w:rsidR="00B650E5" w:rsidRPr="00245F8B" w:rsidRDefault="00B650E5" w:rsidP="000E286B">
      <w:pPr>
        <w:numPr>
          <w:ilvl w:val="0"/>
          <w:numId w:val="405"/>
        </w:numPr>
        <w:spacing w:before="120" w:after="120"/>
        <w:ind w:left="850" w:hanging="425"/>
        <w:jc w:val="both"/>
      </w:pPr>
      <w:r w:rsidRPr="00245F8B">
        <w:t>zmeny spôsobené posunom v plánovanom termíne vyhlásenia výzvy,</w:t>
      </w:r>
    </w:p>
    <w:p w14:paraId="102074AD" w14:textId="77777777" w:rsidR="00B650E5" w:rsidRPr="00245F8B" w:rsidRDefault="00B650E5" w:rsidP="000E286B">
      <w:pPr>
        <w:numPr>
          <w:ilvl w:val="0"/>
          <w:numId w:val="405"/>
        </w:numPr>
        <w:spacing w:before="120" w:after="120"/>
        <w:ind w:left="850" w:hanging="425"/>
        <w:jc w:val="both"/>
      </w:pPr>
      <w:r w:rsidRPr="00245F8B">
        <w:t>zmeny vyplývajúce zo zmien príslušných právnych predpisov a záväzných metodických dokumentov</w:t>
      </w:r>
      <w:r>
        <w:t>,</w:t>
      </w:r>
    </w:p>
    <w:p w14:paraId="4828CAD8" w14:textId="77777777" w:rsidR="00B650E5" w:rsidRPr="00245F8B" w:rsidRDefault="00B650E5" w:rsidP="000E286B">
      <w:pPr>
        <w:numPr>
          <w:ilvl w:val="0"/>
          <w:numId w:val="405"/>
        </w:numPr>
        <w:spacing w:before="120" w:after="120"/>
        <w:ind w:left="850" w:hanging="425"/>
        <w:jc w:val="both"/>
      </w:pPr>
      <w:r w:rsidRPr="00245F8B">
        <w:t xml:space="preserve">iné zmeny potrebné za účelom </w:t>
      </w:r>
      <w:r>
        <w:t>úpravy</w:t>
      </w:r>
      <w:r w:rsidRPr="00245F8B">
        <w:t xml:space="preserve"> výzvy vykonané v súčinnosti s </w:t>
      </w:r>
      <w:r>
        <w:t>CKO</w:t>
      </w:r>
      <w:r w:rsidRPr="00245F8B">
        <w:t>.</w:t>
      </w:r>
    </w:p>
    <w:p w14:paraId="5FFA8A92" w14:textId="77777777" w:rsidR="00B650E5" w:rsidRDefault="00B650E5" w:rsidP="000E286B">
      <w:pPr>
        <w:numPr>
          <w:ilvl w:val="0"/>
          <w:numId w:val="379"/>
        </w:numPr>
        <w:spacing w:before="120" w:after="120"/>
        <w:ind w:left="425" w:hanging="425"/>
        <w:jc w:val="both"/>
      </w:pPr>
      <w:r w:rsidRPr="00245F8B">
        <w:t xml:space="preserve">Ak RO </w:t>
      </w:r>
      <w:r>
        <w:t xml:space="preserve">po doručení stanoviska podľa </w:t>
      </w:r>
      <w:hyperlink w:anchor="kapitola_311_ods_5_a" w:tooltip="ods. 5, písm. a) alebo b) tejto kapitoly" w:history="1">
        <w:r w:rsidRPr="00AA578B">
          <w:rPr>
            <w:rStyle w:val="Hypertextovprepojenie"/>
          </w:rPr>
          <w:t>ods. 5, písm. a) alebo b) tejto kapitoly</w:t>
        </w:r>
      </w:hyperlink>
      <w:r>
        <w:t xml:space="preserve"> </w:t>
      </w:r>
      <w:r w:rsidRPr="00245F8B">
        <w:t>pred vyhlásením výzvy zistí, že je potrebné vykonať iné zmeny ako sú uvedené v </w:t>
      </w:r>
      <w:hyperlink w:anchor="kapitola_311_ods_11" w:tooltip="ods. 11 tejto kapitoly" w:history="1">
        <w:r w:rsidRPr="00805A45">
          <w:rPr>
            <w:rStyle w:val="Hypertextovprepojenie"/>
          </w:rPr>
          <w:t>ods. 11 tejto kapitoly</w:t>
        </w:r>
      </w:hyperlink>
      <w:r w:rsidRPr="00245F8B">
        <w:t xml:space="preserve">, takto zmenená výzva sa opätovne posúdi postupom podľa </w:t>
      </w:r>
      <w:hyperlink w:anchor="kapitola_311_ods_3" w:tooltip="ods. 3 až ods. 12 tejto kapitoly" w:history="1">
        <w:r w:rsidRPr="00E55A4F">
          <w:rPr>
            <w:rStyle w:val="Hypertextovprepojenie"/>
          </w:rPr>
          <w:t xml:space="preserve">ods. 3 až ods. </w:t>
        </w:r>
        <w:r>
          <w:rPr>
            <w:rStyle w:val="Hypertextovprepojenie"/>
          </w:rPr>
          <w:t>12</w:t>
        </w:r>
        <w:r w:rsidRPr="00E55A4F">
          <w:rPr>
            <w:rStyle w:val="Hypertextovprepojenie"/>
          </w:rPr>
          <w:t xml:space="preserve"> tejto kapitoly</w:t>
        </w:r>
      </w:hyperlink>
      <w:r w:rsidRPr="000E286B">
        <w:t>.</w:t>
      </w:r>
    </w:p>
    <w:p w14:paraId="29A2F588" w14:textId="77777777" w:rsidR="00B650E5" w:rsidRPr="00245F8B" w:rsidRDefault="00B650E5" w:rsidP="000E286B">
      <w:pPr>
        <w:numPr>
          <w:ilvl w:val="0"/>
          <w:numId w:val="379"/>
        </w:numPr>
        <w:spacing w:before="120" w:after="120"/>
        <w:ind w:left="425" w:hanging="425"/>
        <w:jc w:val="both"/>
      </w:pPr>
      <w:r>
        <w:t xml:space="preserve">Postup podľa odsekov 3 až 12 sa nevzťahuje na zmeny a zrušenie výzvy podľa </w:t>
      </w:r>
      <w:hyperlink w:anchor="kapitola_3111" w:tooltip="kapitoly 3.1.1.1" w:history="1">
        <w:r w:rsidRPr="00FC1D92">
          <w:rPr>
            <w:rStyle w:val="Hypertextovprepojenie"/>
          </w:rPr>
          <w:t>kapitoly 3.1.1.1</w:t>
        </w:r>
      </w:hyperlink>
      <w:r>
        <w:t xml:space="preserve">. </w:t>
      </w:r>
    </w:p>
    <w:p w14:paraId="6BB22ADC"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lastRenderedPageBreak/>
        <w:t>Jednotný formulár výzvy je upravený vo vzore</w:t>
      </w:r>
      <w:r>
        <w:rPr>
          <w:rStyle w:val="Odkaznapoznmkupodiarou"/>
          <w:szCs w:val="22"/>
          <w:lang w:eastAsia="en-US"/>
        </w:rPr>
        <w:footnoteReference w:id="47"/>
      </w:r>
      <w:r>
        <w:rPr>
          <w:szCs w:val="22"/>
          <w:lang w:eastAsia="en-US"/>
        </w:rPr>
        <w:t>, ktorý vydáva CKO. Výzva obsahuje:</w:t>
      </w:r>
    </w:p>
    <w:p w14:paraId="2D232C90"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formálne náležitosti (§ 17 ods. 2 zákona o príspevku z EŠIF),</w:t>
      </w:r>
    </w:p>
    <w:p w14:paraId="397166DB"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podmienky poskytnutia príspevku:</w:t>
      </w:r>
    </w:p>
    <w:p w14:paraId="4E83B188"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Povinné podmienky poskytnutia príspevku (§ 17 ods. 3 zákona o príspevku z EŠIF)</w:t>
      </w:r>
    </w:p>
    <w:p w14:paraId="2D3E7D4F" w14:textId="77777777" w:rsidR="00B650E5" w:rsidRDefault="00B650E5">
      <w:pPr>
        <w:numPr>
          <w:ilvl w:val="2"/>
          <w:numId w:val="24"/>
        </w:numPr>
        <w:spacing w:before="120" w:after="120"/>
        <w:ind w:left="1276" w:hanging="425"/>
        <w:jc w:val="both"/>
        <w:rPr>
          <w:bCs/>
          <w:iCs/>
          <w:szCs w:val="22"/>
          <w:lang w:eastAsia="en-US"/>
        </w:rPr>
      </w:pPr>
      <w:r>
        <w:rPr>
          <w:bCs/>
          <w:iCs/>
          <w:szCs w:val="22"/>
          <w:lang w:eastAsia="en-US"/>
        </w:rPr>
        <w:t>Fakultatívne podmienky poskytnutia príspevku (§ 17 ods. 4 zákona o príspevku z EŠIF)</w:t>
      </w:r>
    </w:p>
    <w:p w14:paraId="5159FD70" w14:textId="77777777" w:rsidR="00B650E5" w:rsidRDefault="00B650E5">
      <w:pPr>
        <w:numPr>
          <w:ilvl w:val="1"/>
          <w:numId w:val="79"/>
        </w:numPr>
        <w:spacing w:before="120" w:after="120"/>
        <w:ind w:left="851" w:hanging="425"/>
        <w:jc w:val="both"/>
        <w:rPr>
          <w:bCs/>
          <w:iCs/>
          <w:szCs w:val="22"/>
          <w:lang w:eastAsia="en-US"/>
        </w:rPr>
      </w:pPr>
      <w:r>
        <w:rPr>
          <w:bCs/>
          <w:iCs/>
          <w:szCs w:val="22"/>
          <w:lang w:eastAsia="en-US"/>
        </w:rPr>
        <w:t>Prílohy:</w:t>
      </w:r>
    </w:p>
    <w:p w14:paraId="045CA54E"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formulár ŽoNFP,</w:t>
      </w:r>
    </w:p>
    <w:p w14:paraId="713E5F39"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príručka pre žiadateľa,</w:t>
      </w:r>
    </w:p>
    <w:p w14:paraId="00D80F43"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schéma pomoci (ak relevantné v prípade odkazu na dokument vo výzve),</w:t>
      </w:r>
    </w:p>
    <w:p w14:paraId="7BCE330F"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zoznam merateľných ukazovateľov,</w:t>
      </w:r>
    </w:p>
    <w:p w14:paraId="3089CFB8" w14:textId="4708F52A" w:rsidR="00B650E5" w:rsidRDefault="0098559F">
      <w:pPr>
        <w:numPr>
          <w:ilvl w:val="2"/>
          <w:numId w:val="80"/>
        </w:numPr>
        <w:spacing w:before="120" w:after="120"/>
        <w:ind w:left="1276" w:hanging="425"/>
        <w:jc w:val="both"/>
        <w:rPr>
          <w:bCs/>
          <w:iCs/>
          <w:szCs w:val="22"/>
          <w:lang w:eastAsia="en-US"/>
        </w:rPr>
      </w:pPr>
      <w:r w:rsidRPr="001B709E">
        <w:rPr>
          <w:bCs/>
          <w:iCs/>
          <w:szCs w:val="22"/>
          <w:lang w:eastAsia="en-US"/>
        </w:rPr>
        <w:t>informácia pre žiadateľov o nenávratný finančný príspevok / o príspevok v</w:t>
      </w:r>
      <w:r w:rsidR="00430C9B">
        <w:rPr>
          <w:bCs/>
          <w:iCs/>
          <w:szCs w:val="22"/>
          <w:lang w:eastAsia="en-US"/>
        </w:rPr>
        <w:t> </w:t>
      </w:r>
      <w:r w:rsidRPr="001B709E">
        <w:rPr>
          <w:bCs/>
          <w:iCs/>
          <w:szCs w:val="22"/>
          <w:lang w:eastAsia="en-US"/>
        </w:rPr>
        <w:t>zmysle čl. 105a nariadenia Európskeho Parlamentu a Rady (EÚ, EURATOM) č.</w:t>
      </w:r>
      <w:r w:rsidR="00430C9B">
        <w:rPr>
          <w:bCs/>
          <w:iCs/>
          <w:szCs w:val="22"/>
          <w:lang w:eastAsia="en-US"/>
        </w:rPr>
        <w:t> </w:t>
      </w:r>
      <w:r w:rsidRPr="001B709E">
        <w:rPr>
          <w:bCs/>
          <w:iCs/>
          <w:szCs w:val="22"/>
          <w:lang w:eastAsia="en-US"/>
        </w:rPr>
        <w:t>1929/2015 z 28. októbra 2015, ktorým sa mení nariadenie (EÚ, EURATOM) č.</w:t>
      </w:r>
      <w:r w:rsidR="00430C9B">
        <w:rPr>
          <w:bCs/>
          <w:iCs/>
          <w:szCs w:val="22"/>
          <w:lang w:eastAsia="en-US"/>
        </w:rPr>
        <w:t> </w:t>
      </w:r>
      <w:r w:rsidRPr="001B709E">
        <w:rPr>
          <w:bCs/>
          <w:iCs/>
          <w:szCs w:val="22"/>
          <w:lang w:eastAsia="en-US"/>
        </w:rPr>
        <w:t>966/2012 o rozpočtových pravidlách, ktoré sa vzťahujú na všeobecný rozpočet Únie</w:t>
      </w:r>
      <w:r w:rsidR="00B650E5">
        <w:rPr>
          <w:bCs/>
          <w:iCs/>
          <w:szCs w:val="22"/>
          <w:lang w:eastAsia="en-US"/>
        </w:rPr>
        <w:t>,</w:t>
      </w:r>
    </w:p>
    <w:p w14:paraId="31F2A23B" w14:textId="77777777" w:rsidR="00B650E5" w:rsidRDefault="00B650E5">
      <w:pPr>
        <w:numPr>
          <w:ilvl w:val="2"/>
          <w:numId w:val="80"/>
        </w:numPr>
        <w:spacing w:before="120" w:after="120"/>
        <w:ind w:left="1276" w:hanging="425"/>
        <w:jc w:val="both"/>
        <w:rPr>
          <w:bCs/>
          <w:iCs/>
          <w:szCs w:val="22"/>
          <w:lang w:eastAsia="en-US"/>
        </w:rPr>
      </w:pPr>
      <w:r>
        <w:rPr>
          <w:bCs/>
          <w:iCs/>
          <w:szCs w:val="22"/>
          <w:lang w:eastAsia="en-US"/>
        </w:rPr>
        <w:t>ďalšie prílohy.</w:t>
      </w:r>
    </w:p>
    <w:p w14:paraId="444689D9" w14:textId="70B7E247" w:rsidR="00B650E5" w:rsidRDefault="00B650E5" w:rsidP="00DE5D89">
      <w:pPr>
        <w:numPr>
          <w:ilvl w:val="0"/>
          <w:numId w:val="379"/>
        </w:numPr>
        <w:spacing w:before="120" w:after="120"/>
        <w:ind w:left="426" w:hanging="426"/>
        <w:jc w:val="both"/>
        <w:rPr>
          <w:szCs w:val="22"/>
          <w:lang w:eastAsia="en-US"/>
        </w:rPr>
      </w:pPr>
      <w:r>
        <w:rPr>
          <w:szCs w:val="22"/>
          <w:lang w:eastAsia="en-US"/>
        </w:rPr>
        <w:t>RO zverejní pri otvorených výzvach na svojom webovom sídle informáciu o tom, že plánuje ukončiť výzvu z dôvodu blížiaceho sa vyčerpania alokácie</w:t>
      </w:r>
      <w:r w:rsidR="00233961">
        <w:rPr>
          <w:szCs w:val="22"/>
          <w:lang w:eastAsia="en-US"/>
        </w:rPr>
        <w:t xml:space="preserve"> </w:t>
      </w:r>
      <w:r w:rsidR="00233961">
        <w:t>(resp. inú skutočnosť, na základe ktorej sa výzva uzavrie)</w:t>
      </w:r>
      <w:r>
        <w:rPr>
          <w:szCs w:val="22"/>
          <w:lang w:eastAsia="en-US"/>
        </w:rPr>
        <w:t>.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voľnú časť indikatívnej alokáciu z dôvodu, aby sa mohli žiadatelia efektívne rozhodovať pri predkladaní ŽoNFP.</w:t>
      </w:r>
    </w:p>
    <w:p w14:paraId="6123308F" w14:textId="77777777" w:rsidR="00B650E5" w:rsidRDefault="00B650E5" w:rsidP="00DE5D89">
      <w:pPr>
        <w:numPr>
          <w:ilvl w:val="0"/>
          <w:numId w:val="379"/>
        </w:numPr>
        <w:spacing w:before="120" w:after="120"/>
        <w:ind w:left="426" w:hanging="426"/>
        <w:jc w:val="both"/>
        <w:rPr>
          <w:szCs w:val="22"/>
          <w:lang w:eastAsia="en-US"/>
        </w:rPr>
      </w:pPr>
      <w:r>
        <w:rPr>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w:t>
      </w:r>
      <w:r w:rsidR="00430C9B">
        <w:rPr>
          <w:szCs w:val="22"/>
          <w:lang w:eastAsia="en-US"/>
        </w:rPr>
        <w:t> </w:t>
      </w:r>
      <w:r>
        <w:rPr>
          <w:szCs w:val="22"/>
          <w:lang w:eastAsia="en-US"/>
        </w:rPr>
        <w:t>výzve.</w:t>
      </w:r>
    </w:p>
    <w:p w14:paraId="1E0AB8EA" w14:textId="3DB21922" w:rsidR="00B650E5" w:rsidRPr="001B709E" w:rsidRDefault="00B650E5" w:rsidP="001B709E">
      <w:pPr>
        <w:pStyle w:val="Odsekzoznamu"/>
        <w:numPr>
          <w:ilvl w:val="0"/>
          <w:numId w:val="379"/>
        </w:numPr>
        <w:ind w:left="425" w:hanging="357"/>
        <w:jc w:val="both"/>
      </w:pPr>
      <w:r>
        <w:t xml:space="preserve">V prípade, že RO po vyhlásení výzvy zistí, že v systéme ITMS 2014+ došlo zo strany RO k zadaniu chybných alebo neúplných údajov, </w:t>
      </w:r>
      <w:r w:rsidR="00C93F30">
        <w:t xml:space="preserve">t. j. </w:t>
      </w:r>
      <w:r>
        <w:t xml:space="preserve"> identifikuje nedostatky technického charakteru, </w:t>
      </w:r>
      <w:r w:rsidR="00086AE3">
        <w:t xml:space="preserve">na zmenu ktorých nemá rezortný administrátor oprávnenie, </w:t>
      </w:r>
      <w:r>
        <w:t>RO požiada CKO o súčinnosť pri</w:t>
      </w:r>
      <w:r w:rsidR="00086AE3">
        <w:t> </w:t>
      </w:r>
      <w:r>
        <w:t xml:space="preserve">náprave týchto nedostatkov e-mailom na adresu </w:t>
      </w:r>
      <w:hyperlink r:id="rId76" w:history="1">
        <w:r w:rsidR="00430C9B" w:rsidRPr="001B709E">
          <w:rPr>
            <w:rStyle w:val="Hypertextovprepojenie"/>
          </w:rPr>
          <w:t>metodika.cko@vicepremier.gov.sk</w:t>
        </w:r>
      </w:hyperlink>
      <w:r>
        <w:t xml:space="preserve">. Týmto postupom nie je dotknutá povinnosť RO dodržiavať ustanovenia </w:t>
      </w:r>
      <w:hyperlink w:anchor="kapitola_3111" w:history="1">
        <w:r w:rsidRPr="00430C9B">
          <w:rPr>
            <w:rStyle w:val="Hypertextovprepojenie"/>
          </w:rPr>
          <w:t>kapitoly 3.1.1.1 Zmena a zrušenie výzvy</w:t>
        </w:r>
      </w:hyperlink>
      <w:r>
        <w:t xml:space="preserve">. </w:t>
      </w:r>
    </w:p>
    <w:p w14:paraId="1C64B01E" w14:textId="77777777" w:rsidR="00B650E5" w:rsidRDefault="00B650E5" w:rsidP="0045286B">
      <w:pPr>
        <w:pStyle w:val="SRK4"/>
      </w:pPr>
      <w:bookmarkStart w:id="190" w:name="_Toc453233991"/>
      <w:bookmarkStart w:id="191" w:name="_Toc501630043"/>
      <w:bookmarkStart w:id="192" w:name="kapitola_3111"/>
      <w:r>
        <w:t>3.1.1.1 Zmena a zrušenie výzvy</w:t>
      </w:r>
      <w:bookmarkEnd w:id="190"/>
      <w:bookmarkEnd w:id="191"/>
    </w:p>
    <w:p w14:paraId="5DC530D5" w14:textId="77777777" w:rsidR="00B650E5" w:rsidRDefault="00B650E5">
      <w:pPr>
        <w:numPr>
          <w:ilvl w:val="0"/>
          <w:numId w:val="82"/>
        </w:numPr>
        <w:spacing w:before="120" w:after="120"/>
        <w:ind w:left="426" w:hanging="426"/>
        <w:jc w:val="both"/>
        <w:rPr>
          <w:szCs w:val="22"/>
          <w:lang w:eastAsia="en-US"/>
        </w:rPr>
      </w:pPr>
      <w:bookmarkStart w:id="193" w:name="_Toc378954331"/>
      <w:bookmarkEnd w:id="192"/>
      <w:r>
        <w:rPr>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szCs w:val="22"/>
          <w:lang w:eastAsia="en-US"/>
        </w:rPr>
        <w:t xml:space="preserve"> je RO oprávnený za podmienok stanovených v zákone o príspevku z EŠIF a upravených v tejto kapitole výzvu zmeniť alebo zrušiť.</w:t>
      </w:r>
    </w:p>
    <w:p w14:paraId="70EF5596" w14:textId="77777777" w:rsidR="00B650E5" w:rsidRDefault="00B650E5">
      <w:pPr>
        <w:numPr>
          <w:ilvl w:val="0"/>
          <w:numId w:val="82"/>
        </w:numPr>
        <w:spacing w:before="120" w:after="120"/>
        <w:ind w:left="426" w:hanging="426"/>
        <w:jc w:val="both"/>
        <w:rPr>
          <w:szCs w:val="22"/>
          <w:lang w:eastAsia="en-US"/>
        </w:rPr>
      </w:pPr>
      <w:bookmarkStart w:id="194" w:name="kapitola_3111_ods_2"/>
      <w:r>
        <w:rPr>
          <w:szCs w:val="22"/>
          <w:lang w:eastAsia="en-US"/>
        </w:rPr>
        <w:t>Postup RO pri zmenách vo výzve:</w:t>
      </w:r>
    </w:p>
    <w:bookmarkEnd w:id="194"/>
    <w:p w14:paraId="28B33F26"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lastRenderedPageBreak/>
        <w:t>Formálne náležitosti</w:t>
      </w:r>
      <w:r>
        <w:rPr>
          <w:bCs/>
          <w:iCs/>
          <w:szCs w:val="22"/>
          <w:lang w:eastAsia="en-US"/>
        </w:rPr>
        <w:t xml:space="preserve"> – 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 </w:t>
      </w:r>
    </w:p>
    <w:p w14:paraId="7F8A5EC1" w14:textId="77777777" w:rsidR="00B650E5" w:rsidRPr="00A13E26" w:rsidRDefault="00B650E5" w:rsidP="001B709E">
      <w:pPr>
        <w:numPr>
          <w:ilvl w:val="0"/>
          <w:numId w:val="83"/>
        </w:numPr>
        <w:spacing w:before="120" w:after="120"/>
        <w:ind w:left="851" w:hanging="425"/>
        <w:jc w:val="both"/>
        <w:rPr>
          <w:bCs/>
          <w:iCs/>
          <w:szCs w:val="22"/>
          <w:lang w:eastAsia="en-US"/>
        </w:rPr>
      </w:pPr>
      <w:bookmarkStart w:id="195" w:name="kapitola_3111_ods_2b"/>
      <w:r w:rsidRPr="00430C9B">
        <w:rPr>
          <w:b/>
          <w:bCs/>
          <w:iCs/>
          <w:szCs w:val="22"/>
          <w:lang w:eastAsia="en-US"/>
        </w:rPr>
        <w:t>Podmienky poskytnutia príspevku</w:t>
      </w:r>
      <w:r w:rsidRPr="00430C9B">
        <w:rPr>
          <w:bCs/>
          <w:iCs/>
          <w:szCs w:val="22"/>
          <w:lang w:eastAsia="en-US"/>
        </w:rPr>
        <w:t xml:space="preserve"> – </w:t>
      </w:r>
      <w:bookmarkEnd w:id="195"/>
      <w:r w:rsidRPr="00430C9B">
        <w:rPr>
          <w:bCs/>
          <w:iCs/>
          <w:szCs w:val="22"/>
          <w:lang w:eastAsia="en-US"/>
        </w:rPr>
        <w:t>RO nie je oprávnený vykonať zmeny ak ide o nasledujúce podmienky poskytnutia príspevku</w:t>
      </w:r>
      <w:r w:rsidR="000C614B" w:rsidRPr="000C614B">
        <w:t xml:space="preserve"> </w:t>
      </w:r>
      <w:r w:rsidR="000C614B">
        <w:t xml:space="preserve">a </w:t>
      </w:r>
      <w:r w:rsidR="000C614B" w:rsidRPr="00430C9B">
        <w:rPr>
          <w:bCs/>
          <w:iCs/>
          <w:szCs w:val="22"/>
          <w:lang w:eastAsia="en-US"/>
        </w:rPr>
        <w:t>ak zmenou dochádza k podstatnej zmene podmienok poskytnutia príspevku</w:t>
      </w:r>
      <w:r w:rsidRPr="00663970">
        <w:rPr>
          <w:bCs/>
          <w:iCs/>
          <w:szCs w:val="22"/>
          <w:lang w:eastAsia="en-US"/>
        </w:rPr>
        <w:t>:</w:t>
      </w:r>
      <w:r w:rsidRPr="00A13E26">
        <w:rPr>
          <w:rStyle w:val="Nadpis1Char"/>
          <w:color w:val="000000"/>
        </w:rPr>
        <w:t xml:space="preserve"> </w:t>
      </w:r>
    </w:p>
    <w:p w14:paraId="7A621D07"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žiadateľa,</w:t>
      </w:r>
    </w:p>
    <w:p w14:paraId="21008CC2"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partnera,</w:t>
      </w:r>
    </w:p>
    <w:p w14:paraId="2D24A1A7"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aktivít,</w:t>
      </w:r>
    </w:p>
    <w:p w14:paraId="715A5FD4"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cieľovej skupiny,</w:t>
      </w:r>
    </w:p>
    <w:p w14:paraId="331B31E4"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užívateľa,</w:t>
      </w:r>
    </w:p>
    <w:p w14:paraId="3555C4A1"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oprávnenosť miesta realizácie,</w:t>
      </w:r>
    </w:p>
    <w:p w14:paraId="3665354C"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spôsob financovania,</w:t>
      </w:r>
    </w:p>
    <w:p w14:paraId="63BA7229" w14:textId="77777777" w:rsidR="00B650E5" w:rsidRDefault="00B650E5">
      <w:pPr>
        <w:numPr>
          <w:ilvl w:val="2"/>
          <w:numId w:val="84"/>
        </w:numPr>
        <w:spacing w:before="120" w:after="120"/>
        <w:ind w:left="1276" w:hanging="425"/>
        <w:jc w:val="both"/>
        <w:rPr>
          <w:bCs/>
          <w:iCs/>
          <w:szCs w:val="22"/>
          <w:lang w:eastAsia="en-US"/>
        </w:rPr>
      </w:pPr>
      <w:r>
        <w:rPr>
          <w:bCs/>
          <w:iCs/>
          <w:szCs w:val="22"/>
          <w:lang w:eastAsia="en-US"/>
        </w:rPr>
        <w:t>kritériá na výber projektov.</w:t>
      </w:r>
    </w:p>
    <w:p w14:paraId="02BA68AA" w14:textId="77777777" w:rsidR="00B650E5" w:rsidRDefault="00B650E5">
      <w:pPr>
        <w:spacing w:before="120" w:after="120"/>
        <w:ind w:left="851"/>
        <w:jc w:val="both"/>
        <w:rPr>
          <w:bCs/>
          <w:iCs/>
          <w:szCs w:val="22"/>
          <w:lang w:eastAsia="en-US"/>
        </w:rPr>
      </w:pPr>
      <w:r>
        <w:rPr>
          <w:bCs/>
          <w:iCs/>
          <w:szCs w:val="22"/>
          <w:lang w:eastAsia="en-US"/>
        </w:rPr>
        <w:t>V prípade zmien v iných podmienkach poskytnutia príspevku, ktoré nie sú uvedené vyššie a ktorých zmena je možná, RO výzvu primerane predĺži, aby umožnil žiadateľom doplniť a upraviť predložené ŽoNFP; RO predĺži výzvu minimálne o 7 pracovných dní. Zmenu podmienok poskytnutia príspevku, vrátane zdôvodnenia vykonanej zmeny RO zverejní na</w:t>
      </w:r>
      <w:r w:rsidR="00430C9B">
        <w:rPr>
          <w:bCs/>
          <w:iCs/>
          <w:szCs w:val="22"/>
          <w:lang w:eastAsia="en-US"/>
        </w:rPr>
        <w:t> </w:t>
      </w:r>
      <w:r>
        <w:rPr>
          <w:bCs/>
          <w:iCs/>
          <w:szCs w:val="22"/>
          <w:lang w:eastAsia="en-US"/>
        </w:rPr>
        <w:t>svojom webovom sídle. Akákoľvek zmena podmienok poskytnutia príspevku musí byť vopred posúdená z hľadiska princípu transparentnosti, rovnakého zaobchádzania a primeranosti. V prípade, ak výzve predchádzalo posudzovanie projektových zámerov na</w:t>
      </w:r>
      <w:r w:rsidR="00430C9B">
        <w:rPr>
          <w:bCs/>
          <w:iCs/>
          <w:szCs w:val="22"/>
          <w:lang w:eastAsia="en-US"/>
        </w:rPr>
        <w:t> </w:t>
      </w:r>
      <w:r>
        <w:rPr>
          <w:bCs/>
          <w:iCs/>
          <w:szCs w:val="22"/>
          <w:lang w:eastAsia="en-US"/>
        </w:rPr>
        <w:t>základe výzvy na predkladanie projektových zámerov, RO nie je oprávnený vykonať zmenu vo výzve, ktorá by bola v rozpore s podmienkami stanovenými vo výzve na</w:t>
      </w:r>
      <w:r w:rsidR="00430C9B">
        <w:rPr>
          <w:bCs/>
          <w:iCs/>
          <w:szCs w:val="22"/>
          <w:lang w:eastAsia="en-US"/>
        </w:rPr>
        <w:t> </w:t>
      </w:r>
      <w:r>
        <w:rPr>
          <w:bCs/>
          <w:iCs/>
          <w:szCs w:val="22"/>
          <w:lang w:eastAsia="en-US"/>
        </w:rPr>
        <w:t>predkladanie projektových zámerov; uvedené sa nevzťahuje na zmeny, ktorých vykonanie je dôsledkom legislatívnych zmien.</w:t>
      </w:r>
      <w:r w:rsidR="00CE5D37">
        <w:rPr>
          <w:bCs/>
          <w:iCs/>
          <w:szCs w:val="22"/>
          <w:lang w:eastAsia="en-US"/>
        </w:rPr>
        <w:t xml:space="preserve"> </w:t>
      </w:r>
      <w:r w:rsidR="00CE5D37" w:rsidRPr="00CE5D37">
        <w:rPr>
          <w:bCs/>
          <w:iCs/>
          <w:szCs w:val="22"/>
          <w:lang w:eastAsia="en-US"/>
        </w:rPr>
        <w:t>Pri zmenách, ktor</w:t>
      </w:r>
      <w:r w:rsidR="000C614B">
        <w:rPr>
          <w:bCs/>
          <w:iCs/>
          <w:szCs w:val="22"/>
          <w:lang w:eastAsia="en-US"/>
        </w:rPr>
        <w:t>é menia</w:t>
      </w:r>
      <w:r w:rsidR="00CE5D37" w:rsidRPr="00CE5D37">
        <w:rPr>
          <w:bCs/>
          <w:iCs/>
          <w:szCs w:val="22"/>
          <w:lang w:eastAsia="en-US"/>
        </w:rPr>
        <w:t xml:space="preserve"> podmienky poskytnutia príspevku vymenované v bodoch vyššie, </w:t>
      </w:r>
      <w:r w:rsidR="000C614B">
        <w:rPr>
          <w:bCs/>
          <w:iCs/>
          <w:szCs w:val="22"/>
          <w:lang w:eastAsia="en-US"/>
        </w:rPr>
        <w:t xml:space="preserve">je možné ich vykonať, </w:t>
      </w:r>
      <w:r w:rsidR="00CE5D37" w:rsidRPr="00CE5D37">
        <w:rPr>
          <w:bCs/>
          <w:iCs/>
          <w:szCs w:val="22"/>
          <w:lang w:eastAsia="en-US"/>
        </w:rPr>
        <w:t>ak ich zmena nie je v</w:t>
      </w:r>
      <w:r w:rsidR="00430C9B">
        <w:rPr>
          <w:bCs/>
          <w:iCs/>
          <w:szCs w:val="22"/>
          <w:lang w:eastAsia="en-US"/>
        </w:rPr>
        <w:t> </w:t>
      </w:r>
      <w:r w:rsidR="00CE5D37" w:rsidRPr="00CE5D37">
        <w:rPr>
          <w:bCs/>
          <w:iCs/>
          <w:szCs w:val="22"/>
          <w:lang w:eastAsia="en-US"/>
        </w:rPr>
        <w:t>rozpore s princípmi transparentnosti, nediskriminácie a rovnakého zaobchádzania.</w:t>
      </w:r>
    </w:p>
    <w:p w14:paraId="444DE619" w14:textId="77777777" w:rsidR="00B650E5" w:rsidRDefault="00B650E5">
      <w:pPr>
        <w:numPr>
          <w:ilvl w:val="0"/>
          <w:numId w:val="83"/>
        </w:numPr>
        <w:spacing w:before="120" w:after="120"/>
        <w:ind w:left="850" w:hanging="425"/>
        <w:jc w:val="both"/>
        <w:rPr>
          <w:bCs/>
          <w:iCs/>
          <w:szCs w:val="22"/>
          <w:lang w:eastAsia="en-US"/>
        </w:rPr>
      </w:pPr>
      <w:r>
        <w:rPr>
          <w:b/>
          <w:bCs/>
          <w:iCs/>
          <w:szCs w:val="22"/>
          <w:lang w:eastAsia="en-US"/>
        </w:rPr>
        <w:t>Prílohy</w:t>
      </w:r>
      <w:r>
        <w:rPr>
          <w:bCs/>
          <w:iCs/>
          <w:szCs w:val="22"/>
          <w:lang w:eastAsia="en-US"/>
        </w:rPr>
        <w:t xml:space="preserve"> - RO je oprávnený vykonať zmeny v tejto časti výzvy, pričom tieto zmeny a zdôvodnenie ich vykonania RO zverejní na svojom webovom sídle. Za účelom prehľadnosti a lepšej orientácie v zmenách zo strany žiadateľov RO zverejňuje zmeny v prílohách formou sledovania zmien.</w:t>
      </w:r>
    </w:p>
    <w:p w14:paraId="7B812A97" w14:textId="77777777" w:rsidR="00B650E5" w:rsidRDefault="00B650E5">
      <w:pPr>
        <w:numPr>
          <w:ilvl w:val="0"/>
          <w:numId w:val="82"/>
        </w:numPr>
        <w:spacing w:before="120" w:after="120"/>
        <w:ind w:left="426" w:hanging="426"/>
        <w:jc w:val="both"/>
        <w:rPr>
          <w:szCs w:val="22"/>
          <w:lang w:eastAsia="en-US"/>
        </w:rPr>
      </w:pPr>
      <w:bookmarkStart w:id="196" w:name="kapitola_3111_ods_3"/>
      <w:r>
        <w:rPr>
          <w:szCs w:val="22"/>
          <w:lang w:eastAsia="en-US"/>
        </w:rPr>
        <w:t xml:space="preserve">V prípade zmien v tých častiach výzvy, kedy nevzniká RO automaticky povinnosť predĺžiť termín na predkladanie ŽoNFP (vrátane zmeny spôsobu preukazovania podmienky poskytnutia príspevku, bez samotnej zmeny podmienky poskytnutia príspevku) je RO povinný posúdiť charakter zmeny z pohľadu potreby zohľadnenia tejto zmeny zo strany žiadateľa. V prípade, ak zmena v ktorejkoľvek časti výzvy vyžaduje úpravu, resp. aktivitu zo strany žiadateľa, je RO </w:t>
      </w:r>
      <w:r>
        <w:rPr>
          <w:szCs w:val="22"/>
          <w:lang w:eastAsia="en-US"/>
        </w:rPr>
        <w:lastRenderedPageBreak/>
        <w:t xml:space="preserve">povinný predĺžiť termín na predkladanie ŽoNFP. Dĺžka predĺženia musí byť primeraná vykonanej zmene, nesmie byť kratšia ako 7 pracovných dní. Ustanovenie o predĺžení sa neaplikuje na prípady otvorených výziev, kde ich uzavretie nie je viazané na konkrétny dátum. </w:t>
      </w:r>
    </w:p>
    <w:bookmarkEnd w:id="196"/>
    <w:p w14:paraId="254BEE13" w14:textId="77777777" w:rsidR="00B650E5" w:rsidRDefault="00B650E5">
      <w:pPr>
        <w:numPr>
          <w:ilvl w:val="0"/>
          <w:numId w:val="82"/>
        </w:numPr>
        <w:spacing w:before="120" w:after="120"/>
        <w:ind w:left="426" w:hanging="426"/>
        <w:jc w:val="both"/>
        <w:rPr>
          <w:szCs w:val="22"/>
          <w:lang w:eastAsia="en-US"/>
        </w:rPr>
      </w:pPr>
      <w:r>
        <w:rPr>
          <w:szCs w:val="22"/>
          <w:lang w:eastAsia="en-US"/>
        </w:rPr>
        <w:t>ŽoNFP podanú do termínu zmeny výzvy je žiadateľ oprávnený doplniť alebo zmeniť, ak to takáto zmena vyžaduje. RO písomne informuje žiadateľa o možnosti zmeny/doplnenia ŽoNFP a určí na takúto zmenu alebo doplnenie lehotu, ktorá je do konca nového termínu uzavretia výzvy, ktorý bol predĺžený v súlade s </w:t>
      </w:r>
      <w:hyperlink w:anchor="kapitola_3111_ods_3" w:tooltip="ods. 3 tejto kapitoly" w:history="1">
        <w:r>
          <w:rPr>
            <w:rStyle w:val="Hypertextovprepojenie"/>
            <w:szCs w:val="22"/>
            <w:lang w:eastAsia="en-US"/>
          </w:rPr>
          <w:t xml:space="preserve">ods. </w:t>
        </w:r>
        <w:r>
          <w:rPr>
            <w:rStyle w:val="Hypertextovprepojenie"/>
          </w:rPr>
          <w:t>3</w:t>
        </w:r>
        <w:r>
          <w:rPr>
            <w:rStyle w:val="Hypertextovprepojenie"/>
            <w:szCs w:val="22"/>
            <w:lang w:eastAsia="en-US"/>
          </w:rPr>
          <w:t xml:space="preserve"> tejto kapitoly</w:t>
        </w:r>
      </w:hyperlink>
      <w:r>
        <w:rPr>
          <w:szCs w:val="22"/>
          <w:lang w:eastAsia="en-US"/>
        </w:rPr>
        <w:t xml:space="preserve">. </w:t>
      </w:r>
    </w:p>
    <w:p w14:paraId="6CF91542" w14:textId="5B452A61" w:rsidR="00B650E5" w:rsidRDefault="00B650E5">
      <w:pPr>
        <w:numPr>
          <w:ilvl w:val="0"/>
          <w:numId w:val="82"/>
        </w:numPr>
        <w:spacing w:before="120" w:after="120"/>
        <w:ind w:left="426" w:hanging="426"/>
        <w:jc w:val="both"/>
        <w:rPr>
          <w:szCs w:val="22"/>
          <w:lang w:eastAsia="en-US"/>
        </w:rPr>
      </w:pPr>
      <w:r>
        <w:rPr>
          <w:szCs w:val="22"/>
          <w:lang w:eastAsia="en-US"/>
        </w:rPr>
        <w:t>V prípade výziev, ktoré boli vyhlásené vo forme otvorenej výzvy, RO určí vo vzťahu k akým ŽoNFP sa bude zmena výzvy aplikovať. Zmena sa môže týka</w:t>
      </w:r>
      <w:r w:rsidR="00220AE3">
        <w:rPr>
          <w:szCs w:val="22"/>
          <w:lang w:eastAsia="en-US"/>
        </w:rPr>
        <w:t>ť</w:t>
      </w:r>
      <w:r>
        <w:rPr>
          <w:szCs w:val="22"/>
          <w:lang w:eastAsia="en-US"/>
        </w:rPr>
        <w:t xml:space="preserve"> len ŽoNFP predložených po</w:t>
      </w:r>
      <w:r w:rsidR="009E187D">
        <w:rPr>
          <w:szCs w:val="22"/>
          <w:lang w:eastAsia="en-US"/>
        </w:rPr>
        <w:t> </w:t>
      </w:r>
      <w:r>
        <w:rPr>
          <w:szCs w:val="22"/>
          <w:lang w:eastAsia="en-US"/>
        </w:rPr>
        <w:t>zverejnení zmeny alebo sa vzťahuje aj na ŽoNFP predložené pred zmenou výzvy, o ktorých RO ešte nerozhodol do dátumu vykonania zmeny. RO tak môže operatívne reagovať na externé zmeny, ktoré sa môžu vyskytnúť počas celej dĺžky trvania otvorenej výzvy. Ak RO rozhodne, že zmena sa týka aj ŽoNFP predložených pred vykonaním zmeny</w:t>
      </w:r>
      <w:r w:rsidR="00CF2B19">
        <w:rPr>
          <w:rStyle w:val="Odkaznapoznmkupodiarou"/>
          <w:szCs w:val="22"/>
          <w:lang w:eastAsia="en-US"/>
        </w:rPr>
        <w:footnoteReference w:id="48"/>
      </w:r>
      <w:r>
        <w:rPr>
          <w:szCs w:val="22"/>
          <w:lang w:eastAsia="en-US"/>
        </w:rPr>
        <w:t xml:space="preserve">, lehota na zmenu/doplnenie žiadosti o NFP nesmie byť kratšia ako 7 pracovných dní od doručenia písomnej informácie o možnosti vykonania zmeny/doplnenia ŽoNFP žiadateľovi. </w:t>
      </w:r>
    </w:p>
    <w:p w14:paraId="2AB17452" w14:textId="77777777" w:rsidR="00B650E5" w:rsidRDefault="00B650E5">
      <w:pPr>
        <w:numPr>
          <w:ilvl w:val="0"/>
          <w:numId w:val="82"/>
        </w:numPr>
        <w:spacing w:before="120" w:after="120"/>
        <w:ind w:left="426" w:hanging="426"/>
        <w:jc w:val="both"/>
        <w:rPr>
          <w:szCs w:val="22"/>
          <w:lang w:eastAsia="en-US"/>
        </w:rPr>
      </w:pPr>
      <w:r>
        <w:rPr>
          <w:szCs w:val="22"/>
          <w:lang w:eastAsia="en-US"/>
        </w:rPr>
        <w:t>RO je oprávnený zrušiť výzvu</w:t>
      </w:r>
      <w:r w:rsidR="006F3B93">
        <w:rPr>
          <w:szCs w:val="22"/>
          <w:lang w:eastAsia="en-US"/>
        </w:rPr>
        <w:t>,</w:t>
      </w:r>
      <w:r>
        <w:rPr>
          <w:szCs w:val="22"/>
          <w:lang w:eastAsia="en-US"/>
        </w:rPr>
        <w:t xml:space="preserve"> a to až do okamihu vydania prvého rozhodnutia o ŽoNFP (relevantné pre prípady výziev, ktoré boli vyhlásené vo forme uzavretej výzvy), resp. do doby, kým nie je vyčerpaná alokácia (relevantné pre prípady výziev, ktoré boli vyhlásené vo forme otvorenej výzvy). Povinnou súčasťou informácie o zrušení výzvy sú aj dôvody jej zrušenia. RO je oprávnený zrušiť výzvu iba v prípade, ak je objektívne nemožné (z dôvodu legislatívnej alebo neodstrániteľnej prekážky, ktorú nebolo možné predvídať v čase vyhlásenia výzvy</w:t>
      </w:r>
      <w:r>
        <w:t xml:space="preserve"> ani pri všetkej vynaloženej starostlivosti</w:t>
      </w:r>
      <w:r>
        <w:rPr>
          <w:szCs w:val="22"/>
          <w:lang w:eastAsia="en-US"/>
        </w:rPr>
        <w:t>) pristúpiť k schváleniu ŽoNFP a následnému financovaniu projektov, alebo je nevyhnutná taká zmena podmienok poskytnutia príspevku, ktorá znamená podstatnú zmenu týchto podmienok a nie je možná v súlade s </w:t>
      </w:r>
      <w:hyperlink w:anchor="kapitola_3111_ods_2b" w:tooltip="ods. 2 písm. b)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písm. b) tejto kapitoly</w:t>
        </w:r>
      </w:hyperlink>
      <w:r>
        <w:rPr>
          <w:szCs w:val="22"/>
          <w:lang w:eastAsia="en-US"/>
        </w:rPr>
        <w:t xml:space="preserve">. </w:t>
      </w:r>
    </w:p>
    <w:p w14:paraId="74C844A1" w14:textId="77777777" w:rsidR="00B650E5" w:rsidRDefault="00B650E5">
      <w:pPr>
        <w:numPr>
          <w:ilvl w:val="0"/>
          <w:numId w:val="82"/>
        </w:numPr>
        <w:spacing w:before="120" w:after="120"/>
        <w:ind w:left="426" w:hanging="426"/>
        <w:jc w:val="both"/>
        <w:rPr>
          <w:szCs w:val="22"/>
          <w:lang w:eastAsia="en-US"/>
        </w:rPr>
      </w:pPr>
      <w:r>
        <w:rPr>
          <w:szCs w:val="22"/>
          <w:lang w:eastAsia="en-US"/>
        </w:rPr>
        <w:t>Ak dôjde k zrušeniu výzvy, ktorá bola vyhlásená vo forme uzavretej výzvy, RO vráti ŽoNFP predloženú do dátumu zrušenia výzvy žiadateľovi. Ak dôjde k zrušeniu výzvy, ktorá bola vyhlásená vo forme otvorenej výzvy, RO buď vráti ŽoNFP predloženú do dátumu zrušenia výzvy žiadateľovi alebo o ŽoNFP predložených do dátumu zrušenia výzvy rozhodne. RO rozhodne o ŽoNFP predloženej do zrušenia výzvy, ak je možné rozhodnúť o ŽoNFP podľa podmienok poskytnutia príspevku platných ku dňu predloženia ŽoNFP.</w:t>
      </w:r>
    </w:p>
    <w:p w14:paraId="41FDC255" w14:textId="747B1520" w:rsidR="00B650E5" w:rsidRDefault="00B650E5" w:rsidP="00F13EE7">
      <w:pPr>
        <w:numPr>
          <w:ilvl w:val="0"/>
          <w:numId w:val="82"/>
        </w:numPr>
        <w:spacing w:before="120" w:after="120"/>
        <w:jc w:val="both"/>
        <w:rPr>
          <w:szCs w:val="22"/>
          <w:lang w:eastAsia="en-US"/>
        </w:rPr>
      </w:pPr>
      <w:r w:rsidRPr="009078F6">
        <w:rPr>
          <w:szCs w:val="22"/>
          <w:lang w:eastAsia="en-US"/>
        </w:rPr>
        <w:t>Zmena</w:t>
      </w:r>
      <w:r>
        <w:rPr>
          <w:szCs w:val="22"/>
          <w:lang w:eastAsia="en-US"/>
        </w:rPr>
        <w:t xml:space="preserve"> a zrušenie výzvy podlieha zverejneniu na webovom sídle RO v rozsahu uvedenom             v </w:t>
      </w:r>
      <w:hyperlink w:anchor="kapitola_3111_ods_2" w:tooltip="ods. 2 tejto kapitoly" w:history="1">
        <w:r>
          <w:rPr>
            <w:rStyle w:val="Hypertextovprepojenie"/>
            <w:szCs w:val="22"/>
            <w:lang w:eastAsia="en-US"/>
          </w:rPr>
          <w:t xml:space="preserve">ods. </w:t>
        </w:r>
        <w:r>
          <w:rPr>
            <w:rStyle w:val="Hypertextovprepojenie"/>
          </w:rPr>
          <w:t>2</w:t>
        </w:r>
        <w:r>
          <w:rPr>
            <w:rStyle w:val="Hypertextovprepojenie"/>
            <w:szCs w:val="22"/>
            <w:lang w:eastAsia="en-US"/>
          </w:rPr>
          <w:t xml:space="preserve"> tejto kapitoly</w:t>
        </w:r>
      </w:hyperlink>
      <w:r>
        <w:rPr>
          <w:szCs w:val="22"/>
          <w:lang w:eastAsia="en-US"/>
        </w:rPr>
        <w:t>. Súčasťou informácie o zmene/zrušení výzvy je vždy aj zdôvodnenie vykonanej zmeny/zrušenia. RO zmenu a zrušenie výzvy zároveň zaznamená v ITMS 2014+ a po</w:t>
      </w:r>
      <w:r w:rsidR="009E187D">
        <w:rPr>
          <w:szCs w:val="22"/>
          <w:lang w:eastAsia="en-US"/>
        </w:rPr>
        <w:t> </w:t>
      </w:r>
      <w:r>
        <w:rPr>
          <w:szCs w:val="22"/>
          <w:lang w:eastAsia="en-US"/>
        </w:rPr>
        <w:t xml:space="preserve">jej zadaní a aktivovaní v ITMS 2014+ je táto automaticky umiestňovaná aj na webovom sídle </w:t>
      </w:r>
      <w:hyperlink r:id="rId77" w:history="1">
        <w:r w:rsidRPr="00FA1E63">
          <w:rPr>
            <w:rStyle w:val="Hypertextovprepojenie"/>
          </w:rPr>
          <w:t>www.partnerskadohoda.gov.sk</w:t>
        </w:r>
      </w:hyperlink>
      <w:r>
        <w:rPr>
          <w:szCs w:val="22"/>
          <w:lang w:eastAsia="en-US"/>
        </w:rPr>
        <w:t xml:space="preserve">. </w:t>
      </w:r>
      <w:r w:rsidR="00F13EE7" w:rsidRPr="00F13EE7">
        <w:rPr>
          <w:szCs w:val="22"/>
          <w:lang w:eastAsia="en-US"/>
        </w:rPr>
        <w:t>Zmeny, ktoré nepredstavujú zmenu výzvy v systéme ITMS</w:t>
      </w:r>
      <w:r w:rsidR="00F13EE7">
        <w:rPr>
          <w:szCs w:val="22"/>
          <w:lang w:eastAsia="en-US"/>
        </w:rPr>
        <w:t xml:space="preserve"> </w:t>
      </w:r>
      <w:r w:rsidR="00F13EE7" w:rsidRPr="00F13EE7">
        <w:rPr>
          <w:szCs w:val="22"/>
          <w:lang w:eastAsia="en-US"/>
        </w:rPr>
        <w:t>2014+ (napr.</w:t>
      </w:r>
      <w:r w:rsidR="00F13EE7">
        <w:rPr>
          <w:szCs w:val="22"/>
          <w:lang w:eastAsia="en-US"/>
        </w:rPr>
        <w:t xml:space="preserve"> </w:t>
      </w:r>
      <w:r w:rsidR="00F13EE7" w:rsidRPr="00F13EE7">
        <w:rPr>
          <w:szCs w:val="22"/>
          <w:lang w:eastAsia="en-US"/>
        </w:rPr>
        <w:t>ak ide len o form</w:t>
      </w:r>
      <w:r w:rsidR="00F13EE7">
        <w:rPr>
          <w:szCs w:val="22"/>
          <w:lang w:eastAsia="en-US"/>
        </w:rPr>
        <w:t>á</w:t>
      </w:r>
      <w:r w:rsidR="00F13EE7" w:rsidRPr="00F13EE7">
        <w:rPr>
          <w:szCs w:val="22"/>
          <w:lang w:eastAsia="en-US"/>
        </w:rPr>
        <w:t>lne zmeny)</w:t>
      </w:r>
      <w:r w:rsidR="00F13EE7">
        <w:rPr>
          <w:szCs w:val="22"/>
          <w:lang w:eastAsia="en-US"/>
        </w:rPr>
        <w:t>,</w:t>
      </w:r>
      <w:r w:rsidR="00F13EE7" w:rsidRPr="00F13EE7">
        <w:rPr>
          <w:szCs w:val="22"/>
          <w:lang w:eastAsia="en-US"/>
        </w:rPr>
        <w:t xml:space="preserve"> je možn</w:t>
      </w:r>
      <w:r w:rsidR="00F13EE7">
        <w:rPr>
          <w:szCs w:val="22"/>
          <w:lang w:eastAsia="en-US"/>
        </w:rPr>
        <w:t>é</w:t>
      </w:r>
      <w:r w:rsidR="00F13EE7" w:rsidRPr="00F13EE7">
        <w:rPr>
          <w:szCs w:val="22"/>
          <w:lang w:eastAsia="en-US"/>
        </w:rPr>
        <w:t xml:space="preserve">  zaznamenať v </w:t>
      </w:r>
      <w:r w:rsidR="00B84909">
        <w:rPr>
          <w:szCs w:val="22"/>
          <w:lang w:eastAsia="en-US"/>
        </w:rPr>
        <w:t>s</w:t>
      </w:r>
      <w:r w:rsidR="00F13EE7" w:rsidRPr="00F13EE7">
        <w:rPr>
          <w:szCs w:val="22"/>
          <w:lang w:eastAsia="en-US"/>
        </w:rPr>
        <w:t>pise výzvy, kde sa uvedú príslušné zmeny. Dokument</w:t>
      </w:r>
      <w:r w:rsidR="00F13EE7">
        <w:rPr>
          <w:szCs w:val="22"/>
          <w:lang w:eastAsia="en-US"/>
        </w:rPr>
        <w:t>,</w:t>
      </w:r>
      <w:r w:rsidR="00F13EE7" w:rsidRPr="00F13EE7">
        <w:rPr>
          <w:szCs w:val="22"/>
          <w:lang w:eastAsia="en-US"/>
        </w:rPr>
        <w:t xml:space="preserve"> opisujúci zmeny je možné publikovať aj verejnosti ako prílohu výzvy na</w:t>
      </w:r>
      <w:r w:rsidR="00F13EE7">
        <w:rPr>
          <w:szCs w:val="22"/>
          <w:lang w:eastAsia="en-US"/>
        </w:rPr>
        <w:t> </w:t>
      </w:r>
      <w:r w:rsidR="00F13EE7" w:rsidRPr="00F13EE7">
        <w:rPr>
          <w:szCs w:val="22"/>
          <w:lang w:eastAsia="en-US"/>
        </w:rPr>
        <w:t>verejnej časti ITMS</w:t>
      </w:r>
      <w:r w:rsidR="00F13EE7">
        <w:rPr>
          <w:szCs w:val="22"/>
          <w:lang w:eastAsia="en-US"/>
        </w:rPr>
        <w:t xml:space="preserve"> </w:t>
      </w:r>
      <w:r w:rsidR="00F13EE7" w:rsidRPr="00F13EE7">
        <w:rPr>
          <w:szCs w:val="22"/>
          <w:lang w:eastAsia="en-US"/>
        </w:rPr>
        <w:t>2014+.</w:t>
      </w:r>
    </w:p>
    <w:p w14:paraId="3F151BCF" w14:textId="77777777" w:rsidR="00B650E5" w:rsidRDefault="00B650E5">
      <w:pPr>
        <w:pStyle w:val="SRK3"/>
      </w:pPr>
      <w:bookmarkStart w:id="197" w:name="_Toc453233992"/>
      <w:bookmarkStart w:id="198" w:name="_Toc501630044"/>
      <w:r>
        <w:t>3.1.2 Výzva na predkladanie projektových zámerov</w:t>
      </w:r>
      <w:bookmarkEnd w:id="178"/>
      <w:bookmarkEnd w:id="193"/>
      <w:bookmarkEnd w:id="197"/>
      <w:bookmarkEnd w:id="198"/>
    </w:p>
    <w:p w14:paraId="27D8A161" w14:textId="77777777" w:rsidR="00B650E5" w:rsidRDefault="00B650E5">
      <w:pPr>
        <w:numPr>
          <w:ilvl w:val="0"/>
          <w:numId w:val="85"/>
        </w:numPr>
        <w:spacing w:before="120" w:after="120"/>
        <w:ind w:left="426" w:hanging="426"/>
        <w:jc w:val="both"/>
        <w:rPr>
          <w:szCs w:val="22"/>
          <w:lang w:eastAsia="en-US"/>
        </w:rPr>
      </w:pPr>
      <w:bookmarkStart w:id="199" w:name="_Toc378947498"/>
      <w:r>
        <w:rPr>
          <w:szCs w:val="22"/>
          <w:lang w:eastAsia="en-US"/>
        </w:rPr>
        <w:t>Samotnému vyhláseniu výzvy môže v prípade rozhodnutia RO predchádzať vyhlásenie výzvy na</w:t>
      </w:r>
      <w:r w:rsidR="009E187D">
        <w:rPr>
          <w:szCs w:val="22"/>
          <w:lang w:eastAsia="en-US"/>
        </w:rPr>
        <w:t> </w:t>
      </w:r>
      <w:r>
        <w:rPr>
          <w:szCs w:val="22"/>
          <w:lang w:eastAsia="en-US"/>
        </w:rPr>
        <w:t xml:space="preserve">predkladanie projektových zámerov. Výzva na predkladanie projektových zámerov je </w:t>
      </w:r>
      <w:r>
        <w:rPr>
          <w:szCs w:val="22"/>
          <w:lang w:eastAsia="en-US"/>
        </w:rPr>
        <w:lastRenderedPageBreak/>
        <w:t>možnosťou, ktorú RO môže, ale nemusí využiť s ohľadom na charakter podporovaných projektov, časové možnosti</w:t>
      </w:r>
      <w:r w:rsidR="006F3B93">
        <w:rPr>
          <w:szCs w:val="22"/>
          <w:lang w:eastAsia="en-US"/>
        </w:rPr>
        <w:t>,</w:t>
      </w:r>
      <w:r>
        <w:rPr>
          <w:szCs w:val="22"/>
          <w:lang w:eastAsia="en-US"/>
        </w:rPr>
        <w:t xml:space="preserve"> ako aj administratívnu a finančnú náročnosť vypracovania ŽoNFP. Projektové zámery majú v niektorých prípadoch potenciál prispieť k efektívnejšiemu výberu ŽoNFP a zároveň umožnia žiadateľom na základe záverov uvedených v hodnotiacej správe zvážiť následné zapojenie sa do výzvy  predložením ŽoNFP.</w:t>
      </w:r>
    </w:p>
    <w:p w14:paraId="3CB3BD29" w14:textId="77777777" w:rsidR="00B650E5" w:rsidRDefault="00B650E5">
      <w:pPr>
        <w:numPr>
          <w:ilvl w:val="0"/>
          <w:numId w:val="85"/>
        </w:numPr>
        <w:spacing w:before="120" w:after="120"/>
        <w:ind w:left="426" w:hanging="426"/>
        <w:jc w:val="both"/>
        <w:rPr>
          <w:szCs w:val="22"/>
          <w:lang w:eastAsia="en-US"/>
        </w:rPr>
      </w:pPr>
      <w:r>
        <w:rPr>
          <w:szCs w:val="22"/>
          <w:lang w:eastAsia="en-US"/>
        </w:rPr>
        <w:t xml:space="preserve">Výzva na predkladanie projektových zámerov slúži na prvotnú identifikáciu projektov, ktoré budú po dopracovaní podľa podmienok stanovených vo výzve predložené ako ŽoNFP. </w:t>
      </w:r>
    </w:p>
    <w:p w14:paraId="566CAD34" w14:textId="77777777" w:rsidR="00B650E5" w:rsidRDefault="00B650E5">
      <w:pPr>
        <w:numPr>
          <w:ilvl w:val="0"/>
          <w:numId w:val="85"/>
        </w:numPr>
        <w:spacing w:before="120" w:after="120"/>
        <w:ind w:left="426" w:hanging="426"/>
        <w:jc w:val="both"/>
        <w:rPr>
          <w:szCs w:val="22"/>
          <w:lang w:eastAsia="en-US"/>
        </w:rPr>
      </w:pPr>
      <w:r>
        <w:rPr>
          <w:szCs w:val="22"/>
          <w:lang w:eastAsia="en-US"/>
        </w:rPr>
        <w:t>RO vyhlási výzvu na predkladanie projektových zámerov zverejnením na webovom sídle RO. RO je povinný pred vyhlásením výzvy na predkladanie projektových zámerov vykonať kontrolu jej správnosti a kompletnosti, pričom vzor</w:t>
      </w:r>
      <w:r>
        <w:rPr>
          <w:rStyle w:val="Odkaznapoznmkupodiarou"/>
          <w:szCs w:val="22"/>
          <w:lang w:eastAsia="en-US"/>
        </w:rPr>
        <w:footnoteReference w:id="49"/>
      </w:r>
      <w:r>
        <w:rPr>
          <w:szCs w:val="22"/>
          <w:lang w:eastAsia="en-US"/>
        </w:rPr>
        <w:t xml:space="preserve"> kontrolného zoznamu k návrhu výzvy na</w:t>
      </w:r>
      <w:r w:rsidR="009E187D">
        <w:rPr>
          <w:szCs w:val="22"/>
          <w:lang w:eastAsia="en-US"/>
        </w:rPr>
        <w:t> </w:t>
      </w:r>
      <w:r>
        <w:rPr>
          <w:szCs w:val="22"/>
          <w:lang w:eastAsia="en-US"/>
        </w:rPr>
        <w:t>predkladanie projektových zámerov vydáva CKO. RO je povinný pred vyhlásením výzvy na</w:t>
      </w:r>
      <w:r w:rsidR="009E187D">
        <w:rPr>
          <w:szCs w:val="22"/>
          <w:lang w:eastAsia="en-US"/>
        </w:rPr>
        <w:t> </w:t>
      </w:r>
      <w:r>
        <w:rPr>
          <w:szCs w:val="22"/>
          <w:lang w:eastAsia="en-US"/>
        </w:rPr>
        <w:t>predkladanie projektových zámerov zaslať ju na predchádzajúce posúdenie CKO v súlade s </w:t>
      </w:r>
      <w:hyperlink w:anchor="kapitola_311_ods_3" w:tooltip="ods. 3 až 9 kapitoly 3.1.1" w:history="1">
        <w:r w:rsidRPr="003919EE">
          <w:rPr>
            <w:rStyle w:val="Hypertextovprepojenie"/>
            <w:szCs w:val="22"/>
            <w:lang w:eastAsia="en-US"/>
          </w:rPr>
          <w:t xml:space="preserve">ods. 3 až </w:t>
        </w:r>
        <w:r>
          <w:rPr>
            <w:rStyle w:val="Hypertextovprepojenie"/>
            <w:szCs w:val="22"/>
            <w:lang w:eastAsia="en-US"/>
          </w:rPr>
          <w:t>11</w:t>
        </w:r>
        <w:r w:rsidRPr="003919EE">
          <w:rPr>
            <w:rStyle w:val="Hypertextovprepojenie"/>
            <w:szCs w:val="22"/>
            <w:lang w:eastAsia="en-US"/>
          </w:rPr>
          <w:t xml:space="preserve"> kapitoly 3.1.1</w:t>
        </w:r>
      </w:hyperlink>
      <w:r>
        <w:rPr>
          <w:szCs w:val="22"/>
          <w:lang w:eastAsia="en-US"/>
        </w:rPr>
        <w:t>, ktoré sa na výzvu na predkladanie projektových zámerov aplikujú v plnom rozsahu</w:t>
      </w:r>
      <w:r w:rsidR="0041132B">
        <w:rPr>
          <w:rStyle w:val="Odkaznapoznmkupodiarou"/>
          <w:szCs w:val="22"/>
          <w:lang w:eastAsia="en-US"/>
        </w:rPr>
        <w:footnoteReference w:id="50"/>
      </w:r>
      <w:r>
        <w:rPr>
          <w:szCs w:val="22"/>
          <w:lang w:eastAsia="en-US"/>
        </w:rPr>
        <w:t>.</w:t>
      </w:r>
    </w:p>
    <w:p w14:paraId="223D7F88" w14:textId="77777777" w:rsidR="00B650E5" w:rsidRDefault="00B650E5" w:rsidP="00F71136">
      <w:pPr>
        <w:numPr>
          <w:ilvl w:val="0"/>
          <w:numId w:val="85"/>
        </w:numPr>
        <w:spacing w:before="120" w:after="120"/>
        <w:ind w:left="426" w:hanging="426"/>
        <w:jc w:val="both"/>
        <w:rPr>
          <w:szCs w:val="22"/>
          <w:lang w:eastAsia="en-US"/>
        </w:rPr>
      </w:pPr>
      <w:r>
        <w:rPr>
          <w:szCs w:val="22"/>
          <w:lang w:eastAsia="en-US"/>
        </w:rPr>
        <w:t>Na náležitosti výzvy na predkladanie projektových zámerov a postupu pred jej vyhlásením sa primerane vzťahujú ustanovenia platné pre výzvu, pričom vzor výzvy na predkladanie projektových zámerov je totožný so vzorom výzvy</w:t>
      </w:r>
      <w:r>
        <w:rPr>
          <w:rStyle w:val="Odkaznapoznmkupodiarou"/>
          <w:szCs w:val="22"/>
          <w:lang w:eastAsia="en-US"/>
        </w:rPr>
        <w:footnoteReference w:id="51"/>
      </w:r>
      <w:r>
        <w:rPr>
          <w:szCs w:val="22"/>
          <w:lang w:eastAsia="en-US"/>
        </w:rPr>
        <w:t xml:space="preserve">, ktorý vydáva CKO. </w:t>
      </w:r>
    </w:p>
    <w:p w14:paraId="2C523D81" w14:textId="77777777" w:rsidR="00B650E5" w:rsidRDefault="00B650E5">
      <w:pPr>
        <w:numPr>
          <w:ilvl w:val="0"/>
          <w:numId w:val="85"/>
        </w:numPr>
        <w:spacing w:before="120" w:after="120"/>
        <w:ind w:left="426" w:hanging="426"/>
        <w:jc w:val="both"/>
        <w:rPr>
          <w:szCs w:val="22"/>
          <w:lang w:eastAsia="en-US"/>
        </w:rPr>
      </w:pPr>
      <w:r>
        <w:rPr>
          <w:szCs w:val="22"/>
          <w:lang w:eastAsia="en-US"/>
        </w:rPr>
        <w:t>RO vo výzve na predkladanie projektových zámerov vymedzí, aký rozsah informácií a dokumentácie je potrebný za účelom vykonania posúdenia projektového zámeru, pričom RO nie je povinný využiť všetky podmienky poskytnutia príspevku uvedené vo vzore výzvy</w:t>
      </w:r>
      <w:r w:rsidR="00CE5D37">
        <w:rPr>
          <w:rStyle w:val="Odkaznapoznmkupodiarou"/>
          <w:szCs w:val="22"/>
          <w:lang w:eastAsia="en-US"/>
        </w:rPr>
        <w:footnoteReference w:id="52"/>
      </w:r>
      <w:r>
        <w:rPr>
          <w:szCs w:val="22"/>
          <w:lang w:eastAsia="en-US"/>
        </w:rPr>
        <w:t xml:space="preserve">, ktorý vydáva CKO. </w:t>
      </w:r>
    </w:p>
    <w:p w14:paraId="6A0E4112" w14:textId="77777777" w:rsidR="00B650E5" w:rsidRDefault="00B650E5">
      <w:pPr>
        <w:numPr>
          <w:ilvl w:val="0"/>
          <w:numId w:val="85"/>
        </w:numPr>
        <w:spacing w:before="120" w:after="120"/>
        <w:ind w:left="426" w:hanging="426"/>
        <w:jc w:val="both"/>
        <w:rPr>
          <w:szCs w:val="22"/>
          <w:lang w:eastAsia="en-US"/>
        </w:rPr>
      </w:pPr>
      <w:r>
        <w:rPr>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w:t>
      </w:r>
      <w:r w:rsidR="00AF03C8">
        <w:t> </w:t>
      </w:r>
      <w:r>
        <w:t>rámci následne vyhlásených výziev) dosiahol indikatívnu alokáciu, resp. aktuálne voľnú časť indikatívnej alokáciu z dôvodu, aby sa mohli žiadatelia efektívne rozhodovať pri predkladaní projektových zámerov.</w:t>
      </w:r>
    </w:p>
    <w:p w14:paraId="3FE34D1F" w14:textId="77777777" w:rsidR="00B650E5" w:rsidRDefault="00B650E5">
      <w:pPr>
        <w:pStyle w:val="SRK2"/>
        <w:rPr>
          <w:rStyle w:val="Nadpis1Char"/>
          <w:sz w:val="36"/>
          <w:szCs w:val="26"/>
        </w:rPr>
      </w:pPr>
      <w:bookmarkStart w:id="200" w:name="_Toc453233993"/>
      <w:bookmarkStart w:id="201" w:name="_Toc501630045"/>
      <w:bookmarkStart w:id="202" w:name="kapitola_32"/>
      <w:r>
        <w:rPr>
          <w:rStyle w:val="Nadpis1Char"/>
          <w:sz w:val="36"/>
          <w:szCs w:val="26"/>
        </w:rPr>
        <w:t>3.2 Schvaľovací proces</w:t>
      </w:r>
      <w:bookmarkEnd w:id="199"/>
      <w:bookmarkEnd w:id="200"/>
      <w:bookmarkEnd w:id="201"/>
    </w:p>
    <w:p w14:paraId="0E12623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203" w:name="_Toc378947499"/>
      <w:bookmarkEnd w:id="202"/>
      <w:r>
        <w:rPr>
          <w:u w:val="single"/>
        </w:rPr>
        <w:t>Relevantná úprava v legislatíve EÚ:</w:t>
      </w:r>
    </w:p>
    <w:p w14:paraId="724EF4E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pPr>
      <w:r>
        <w:rPr>
          <w:bCs/>
          <w:i/>
          <w:iCs/>
        </w:rPr>
        <w:t>Čl. 125 ods. 1 a 3 všeobecného nariadenia</w:t>
      </w:r>
    </w:p>
    <w:p w14:paraId="5A15433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CC068F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lastRenderedPageBreak/>
        <w:t>§ 18 až 25, § 48  zákona o príspevku z EŠIF</w:t>
      </w:r>
    </w:p>
    <w:p w14:paraId="7C880A0C" w14:textId="77777777" w:rsidR="00B650E5" w:rsidRDefault="00B650E5">
      <w:pPr>
        <w:numPr>
          <w:ilvl w:val="0"/>
          <w:numId w:val="86"/>
        </w:numPr>
        <w:spacing w:before="120" w:after="120"/>
        <w:ind w:left="426" w:hanging="426"/>
        <w:jc w:val="both"/>
        <w:rPr>
          <w:szCs w:val="22"/>
          <w:lang w:eastAsia="en-US"/>
        </w:rPr>
      </w:pPr>
      <w:bookmarkStart w:id="204" w:name="_Toc378954335"/>
      <w:bookmarkStart w:id="205" w:name="_Toc378947500"/>
      <w:bookmarkEnd w:id="203"/>
      <w:r>
        <w:rPr>
          <w:szCs w:val="22"/>
          <w:lang w:eastAsia="en-US"/>
        </w:rPr>
        <w:t>RO pri posudzovaní projektových zámerov a schvaľovaní ŽoNFP zodpovedá za dodržiavanie princípov transparentnosti, rovnakého zaobchádzania, nediskriminácie a dodržiavania HP v zmysle čl. 7 a 8 všeobecného nariadenia.</w:t>
      </w:r>
    </w:p>
    <w:p w14:paraId="09F6564A" w14:textId="10744F03" w:rsidR="00B650E5" w:rsidRDefault="00B650E5">
      <w:pPr>
        <w:numPr>
          <w:ilvl w:val="0"/>
          <w:numId w:val="86"/>
        </w:numPr>
        <w:spacing w:before="120" w:after="120"/>
        <w:ind w:left="426" w:hanging="426"/>
        <w:jc w:val="both"/>
        <w:rPr>
          <w:szCs w:val="22"/>
          <w:lang w:eastAsia="en-US"/>
        </w:rPr>
      </w:pPr>
      <w:r>
        <w:rPr>
          <w:szCs w:val="22"/>
          <w:lang w:eastAsia="en-US"/>
        </w:rPr>
        <w:t xml:space="preserve">RO v schvaľovacom procese upravenom v tejto kapitole dodržiava princíp </w:t>
      </w:r>
      <w:r w:rsidR="008933F1">
        <w:rPr>
          <w:szCs w:val="22"/>
          <w:lang w:eastAsia="en-US"/>
        </w:rPr>
        <w:t xml:space="preserve">4 </w:t>
      </w:r>
      <w:r>
        <w:rPr>
          <w:szCs w:val="22"/>
          <w:lang w:eastAsia="en-US"/>
        </w:rPr>
        <w:t>očí, ak niektoré z ustanovení tejto kapitoly nevyžadujú aplikovanie prísnejších kontrolných mechanizmov. Za</w:t>
      </w:r>
      <w:r w:rsidR="008933F1">
        <w:rPr>
          <w:szCs w:val="22"/>
          <w:lang w:eastAsia="en-US"/>
        </w:rPr>
        <w:t> </w:t>
      </w:r>
      <w:r>
        <w:rPr>
          <w:szCs w:val="22"/>
          <w:lang w:eastAsia="en-US"/>
        </w:rPr>
        <w:t xml:space="preserve">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rozsahu minimálne dvoma odbornými hodnotiteľmi). </w:t>
      </w:r>
    </w:p>
    <w:p w14:paraId="4A5905F6" w14:textId="77777777" w:rsidR="00B650E5" w:rsidRDefault="00B650E5">
      <w:pPr>
        <w:numPr>
          <w:ilvl w:val="0"/>
          <w:numId w:val="86"/>
        </w:numPr>
        <w:spacing w:before="120" w:after="120"/>
        <w:ind w:left="426" w:hanging="426"/>
        <w:jc w:val="both"/>
      </w:pPr>
      <w:r>
        <w:t xml:space="preserve">V schvaľovacom procese je RO povinný v prípade akéhokoľvek podozrenia nasvedčujúceho, že bol alebo mohol byť spáchaný trestný čin (napr. subvenčný podvod v súlade s § 225 Trestného zákona, poškodzovanie finančných záujmov </w:t>
      </w:r>
      <w:r w:rsidR="003D4A37">
        <w:t xml:space="preserve">Európskej únie </w:t>
      </w:r>
      <w:r>
        <w:t>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w:t>
      </w:r>
    </w:p>
    <w:p w14:paraId="5446873B" w14:textId="77777777" w:rsidR="00B650E5" w:rsidRDefault="00B650E5">
      <w:pPr>
        <w:numPr>
          <w:ilvl w:val="0"/>
          <w:numId w:val="86"/>
        </w:numPr>
        <w:spacing w:before="120" w:after="120"/>
        <w:ind w:left="426" w:hanging="426"/>
        <w:jc w:val="both"/>
        <w:rPr>
          <w:szCs w:val="22"/>
          <w:lang w:eastAsia="en-US"/>
        </w:rPr>
      </w:pPr>
      <w:r>
        <w:rPr>
          <w:szCs w:val="22"/>
          <w:lang w:eastAsia="en-US"/>
        </w:rPr>
        <w:t>Proces schvaľovania začína doručením ŽoNFP a končí vydaním rozhodnutia o ŽoNFP (rozhodnutie o schválení ŽoNFP, rozhodnutie o neschválení ŽoNFP, rozhodnutie o zastavení konania), resp. rozhodnutím o opravnom prostriedku alebo zmenou rozhodnutia o neschválení podľa § 21 (zásobník projektov – samostatne úprava v </w:t>
      </w:r>
      <w:hyperlink w:anchor="kapitola_323" w:tooltip="kapitole 3.2.3" w:history="1">
        <w:r>
          <w:rPr>
            <w:rStyle w:val="Hypertextovprepojenie"/>
          </w:rPr>
          <w:t xml:space="preserve">kapitole </w:t>
        </w:r>
        <w:r>
          <w:rPr>
            <w:rStyle w:val="Hypertextovprepojenie"/>
            <w:szCs w:val="22"/>
            <w:lang w:eastAsia="en-US"/>
          </w:rPr>
          <w:t>3.</w:t>
        </w:r>
        <w:r>
          <w:rPr>
            <w:rStyle w:val="Hypertextovprepojenie"/>
          </w:rPr>
          <w:t>2.3</w:t>
        </w:r>
      </w:hyperlink>
      <w:r>
        <w:rPr>
          <w:szCs w:val="22"/>
          <w:lang w:eastAsia="en-US"/>
        </w:rPr>
        <w:t>). Vnútorne sa proces schvaľovania rozdeľuje do nasledujúcich fáz:</w:t>
      </w:r>
    </w:p>
    <w:p w14:paraId="30BECC9C"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 xml:space="preserve">administratívne overenie, </w:t>
      </w:r>
    </w:p>
    <w:p w14:paraId="22BC3EE9"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odborné hodnotenie a výber,</w:t>
      </w:r>
    </w:p>
    <w:p w14:paraId="2AC63A00" w14:textId="77777777" w:rsidR="00B650E5" w:rsidRDefault="00B650E5">
      <w:pPr>
        <w:numPr>
          <w:ilvl w:val="0"/>
          <w:numId w:val="87"/>
        </w:numPr>
        <w:spacing w:before="120" w:after="120"/>
        <w:ind w:left="850" w:hanging="425"/>
        <w:jc w:val="both"/>
        <w:rPr>
          <w:bCs/>
          <w:iCs/>
          <w:szCs w:val="22"/>
          <w:lang w:eastAsia="en-US"/>
        </w:rPr>
      </w:pPr>
      <w:r>
        <w:rPr>
          <w:bCs/>
          <w:iCs/>
          <w:szCs w:val="22"/>
          <w:lang w:eastAsia="en-US"/>
        </w:rPr>
        <w:t>opravné prostriedky (neobligatórna časť schvaľovacieho procesu).</w:t>
      </w:r>
    </w:p>
    <w:p w14:paraId="11ABE52C" w14:textId="77777777" w:rsidR="00B650E5" w:rsidRDefault="00B650E5">
      <w:pPr>
        <w:spacing w:before="120" w:after="120"/>
        <w:ind w:left="1440"/>
        <w:jc w:val="both"/>
        <w:rPr>
          <w:bCs/>
          <w:iCs/>
          <w:szCs w:val="22"/>
          <w:lang w:eastAsia="en-US"/>
        </w:rPr>
      </w:pPr>
    </w:p>
    <w:p w14:paraId="0A83944A" w14:textId="5907ED45" w:rsidR="00B650E5" w:rsidRDefault="0053588C">
      <w:pPr>
        <w:spacing w:before="120" w:after="120"/>
        <w:jc w:val="both"/>
        <w:rPr>
          <w:bCs/>
          <w:iCs/>
          <w:color w:val="4F81BD"/>
          <w:szCs w:val="22"/>
          <w:lang w:eastAsia="en-US"/>
        </w:rPr>
      </w:pPr>
      <w:r>
        <w:rPr>
          <w:noProof/>
        </w:rPr>
        <mc:AlternateContent>
          <mc:Choice Requires="wps">
            <w:drawing>
              <wp:anchor distT="0" distB="0" distL="114300" distR="114300" simplePos="0" relativeHeight="251642880" behindDoc="0" locked="0" layoutInCell="1" allowOverlap="1" wp14:anchorId="0498233D" wp14:editId="5B8C8F3C">
                <wp:simplePos x="0" y="0"/>
                <wp:positionH relativeFrom="column">
                  <wp:posOffset>3453130</wp:posOffset>
                </wp:positionH>
                <wp:positionV relativeFrom="paragraph">
                  <wp:posOffset>-185420</wp:posOffset>
                </wp:positionV>
                <wp:extent cx="2324100" cy="600075"/>
                <wp:effectExtent l="24130" t="24130" r="23495" b="33020"/>
                <wp:wrapNone/>
                <wp:docPr id="79"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3"/>
                          </a:avLst>
                        </a:prstGeom>
                        <a:gradFill rotWithShape="0">
                          <a:gsLst>
                            <a:gs pos="0">
                              <a:srgbClr val="FABF8F"/>
                            </a:gs>
                            <a:gs pos="50000">
                              <a:srgbClr val="F79646"/>
                            </a:gs>
                            <a:gs pos="100000">
                              <a:srgbClr val="FABF8F"/>
                            </a:gs>
                          </a:gsLst>
                          <a:lin ang="5400000" scaled="1"/>
                        </a:gradFill>
                        <a:ln w="12700">
                          <a:solidFill>
                            <a:srgbClr val="F79646"/>
                          </a:solidFill>
                          <a:miter lim="800000"/>
                          <a:headEnd/>
                          <a:tailEnd/>
                        </a:ln>
                        <a:effectLst>
                          <a:outerShdw dist="28398" dir="3806097" algn="ctr" rotWithShape="0">
                            <a:srgbClr val="974706"/>
                          </a:outerShdw>
                        </a:effectLst>
                      </wps:spPr>
                      <wps:txbx>
                        <w:txbxContent>
                          <w:p w14:paraId="007B4EE2" w14:textId="77777777" w:rsidR="00A84C26" w:rsidRDefault="00A84C26">
                            <w:pPr>
                              <w:rPr>
                                <w:sz w:val="18"/>
                                <w:szCs w:val="18"/>
                              </w:rPr>
                            </w:pPr>
                            <w:r>
                              <w:rPr>
                                <w:sz w:val="18"/>
                                <w:szCs w:val="18"/>
                              </w:rPr>
                              <w:t>Konanie o opravných prostriedkoch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2" type="#_x0000_t69" style="position:absolute;left:0;text-align:left;margin-left:271.9pt;margin-top:-14.6pt;width:183pt;height:47.25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7dk7gIAAAYGAAAOAAAAZHJzL2Uyb0RvYy54bWysVN1u0zAUvkfiHSzfs6Rp1rTV0mlsFCEN&#10;NjEQ127sJN4c29hu0/E2ewCeYuK9OHaS0m7jBnFjHfv4fOfvO+fkdNsItGHGciVzPDqKMWKyUJTL&#10;KsdfvyzfTDGyjkhKhJIsx/fM4tPF61cnrZ6zRNVKUGYQgEg7b3WOa+f0PIpsUbOG2COlmQRlqUxD&#10;HFxNFVFDWkBvRJTE8SRqlaHaqIJZC68XnRIvAn5ZssJdlaVlDokcQ2wunCacK39GixMyrwzRNS/6&#10;MMg/RNEQLsHpDuqCOILWhj+DanhhlFWlOypUE6my5AULOUA2o/hJNjc10SzkAsWxelcm+/9gi0+b&#10;a4M4zXE2w0iSBnp0tVK3tmFGPj6gjaLKqI0Xfz08/tR3BI3iJPV1a7Wdg/mNvjY+c6svVXFnkVTn&#10;NZEVOzNGtTUjFKId+f/RgYG/WDBFq/ajouCVrJ0KJdyWpvGAUBy0DZ2633WKbR0q4DEZJ+kohoYW&#10;oJvEcZwdBxdkPlhrY917phrkhRwLVrrPvKpdCCv4IZtL60LPaJ84obcjjMpGAAU2RKBjAB4osvcn&#10;2f8zmaWTce+7R4zIfPDeU4IuuRDIKPeNuzp01WcUlHYIwiKtoFTdszXV6lwYBFHkeHn2djld9j4q&#10;25l1v7sI/cuhRTabpJMXLaBqPqnnJk+dQBbVEJzgEkFPc3ycdubIFkQwYE3X2cD7kKTHFRK1oEmy&#10;wY8SfKf8e5x2/1vDHewFwZscTzuXYVI9n95JGmRHuOhkCFVI75mFie8rqtYAcVPTFlHuKZBMxzPY&#10;RpTD+I+n8SSeZRgRUcHeKpzBL7bnINpZlmbxUNUdOhD7wHGguWd2NyFuu9qG+QqGnvUrRe+B98AG&#10;322/PEGolfmBUQuLKMf2+5oYhpH4IIEQs1Ga+s0VLulxlsDF7GtW+xoiC4DKsYPUgnjuum231sbT&#10;33fMV0qqM5i3krthMLuo+imFZRPS6hej32b79/Drz/pe/AYAAP//AwBQSwMEFAAGAAgAAAAhALTc&#10;YxngAAAACgEAAA8AAABkcnMvZG93bnJldi54bWxMj0FPg0AQhe8m/ofNmHhrF0GIUJbGmvRkL1Zr&#10;rwtMgcjOEnZL6b93PNnjvHl573v5eja9mHB0nSUFT8sABFJl644aBV+f28ULCOc11bq3hAqu6GBd&#10;3N/lOqvthT5w2vtGcAi5TCtovR8yKV3VotFuaQck/p3saLTnc2xkPeoLh5tehkGQSKM74oZWD/jW&#10;YvWzPxsFx226mXbl5rA7yKtM4u/o3Z8ipR4f5tcVCI+z/zfDHz6jQ8FMpT1T7USvIH6OGN0rWIRp&#10;CIIdaZCyUipI4ghkkcvbCcUvAAAA//8DAFBLAQItABQABgAIAAAAIQC2gziS/gAAAOEBAAATAAAA&#10;AAAAAAAAAAAAAAAAAABbQ29udGVudF9UeXBlc10ueG1sUEsBAi0AFAAGAAgAAAAhADj9If/WAAAA&#10;lAEAAAsAAAAAAAAAAAAAAAAALwEAAF9yZWxzLy5yZWxzUEsBAi0AFAAGAAgAAAAhAEJLt2TuAgAA&#10;BgYAAA4AAAAAAAAAAAAAAAAALgIAAGRycy9lMm9Eb2MueG1sUEsBAi0AFAAGAAgAAAAhALTcYxng&#10;AAAACgEAAA8AAAAAAAAAAAAAAAAASAUAAGRycy9kb3ducmV2LnhtbFBLBQYAAAAABAAEAPMAAABV&#10;BgAAAAA=&#10;" adj="3874" fillcolor="#fabf8f" strokecolor="#f79646" strokeweight="1pt">
                <v:fill color2="#f79646" focus="50%" type="gradient"/>
                <v:shadow on="t" color="#974706" offset="1pt"/>
                <v:textbox>
                  <w:txbxContent>
                    <w:p w14:paraId="007B4EE2" w14:textId="77777777" w:rsidR="00A84C26" w:rsidRDefault="00A84C26">
                      <w:pPr>
                        <w:rPr>
                          <w:sz w:val="18"/>
                          <w:szCs w:val="18"/>
                        </w:rPr>
                      </w:pPr>
                      <w:r>
                        <w:rPr>
                          <w:sz w:val="18"/>
                          <w:szCs w:val="18"/>
                        </w:rPr>
                        <w:t>Konanie o opravných prostriedkoch</w:t>
                      </w:r>
                    </w:p>
                  </w:txbxContent>
                </v:textbox>
              </v:shape>
            </w:pict>
          </mc:Fallback>
        </mc:AlternateContent>
      </w:r>
      <w:r>
        <w:rPr>
          <w:noProof/>
        </w:rPr>
        <mc:AlternateContent>
          <mc:Choice Requires="wps">
            <w:drawing>
              <wp:anchor distT="0" distB="0" distL="114300" distR="114300" simplePos="0" relativeHeight="251643904" behindDoc="0" locked="0" layoutInCell="1" allowOverlap="1" wp14:anchorId="3A5FD3DA" wp14:editId="094F30FC">
                <wp:simplePos x="0" y="0"/>
                <wp:positionH relativeFrom="column">
                  <wp:posOffset>52705</wp:posOffset>
                </wp:positionH>
                <wp:positionV relativeFrom="paragraph">
                  <wp:posOffset>-185420</wp:posOffset>
                </wp:positionV>
                <wp:extent cx="3400425" cy="600075"/>
                <wp:effectExtent l="24130" t="24130" r="23495" b="33020"/>
                <wp:wrapNone/>
                <wp:docPr id="78"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rgbClr val="FFFFFF"/>
                            </a:gs>
                            <a:gs pos="100000">
                              <a:srgbClr val="B6DDE8"/>
                            </a:gs>
                          </a:gsLst>
                          <a:lin ang="54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02109263" w14:textId="77777777" w:rsidR="00A84C26" w:rsidRDefault="00A84C26">
                            <w:pPr>
                              <w:jc w:val="center"/>
                            </w:pPr>
                            <w:r>
                              <w:rPr>
                                <w:sz w:val="18"/>
                                <w:szCs w:val="18"/>
                              </w:rPr>
                              <w:t>Konanie o</w:t>
                            </w:r>
                            <w:r>
                              <w:t xml:space="preserve"> </w:t>
                            </w:r>
                            <w:r>
                              <w:rPr>
                                <w:sz w:val="18"/>
                                <w:szCs w:val="18"/>
                              </w:rPr>
                              <w:t>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bojsmerná vodorovná šípka 63" o:spid="_x0000_s1033" type="#_x0000_t69" style="position:absolute;left:0;text-align:left;margin-left:4.15pt;margin-top:-14.6pt;width:267.75pt;height:47.2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AaT9QIAAPQFAAAOAAAAZHJzL2Uyb0RvYy54bWysVNtu1DAQfUfiHyy/01z2vmq2KrstQiq0&#10;oiCevbGTuHVsY3s3W/6mH8BXVPwXYydZUugTIg+R7bmdmTkzp2eHWqA9M5YrmeHkJMaIyVxRLssM&#10;f/l8+WaOkXVEUiKUZBl+YBafrV6/Om30kqWqUoIyg8CJtMtGZ7hyTi+jyOYVq4k9UZpJEBbK1MTB&#10;1ZQRNaQB77WI0jieRo0yVBuVM2vhddMK8Sr4LwqWu+uisMwhkWHA5sLfhP/W/6PVKVmWhuiK5x0M&#10;8g8oasIlBD262hBH0M7wv1zVPDfKqsKd5KqOVFHwnIUcIJsk/iOb24poFnKB4lh9LJP9f27zj/sb&#10;gzjN8Aw6JUkNPbreqjtbMyOfHtFeUWXU3h9/Pj790PcETUe+ao22SzC+1TfG5231lcrvLZJqXRFZ&#10;snNjVFMxQgFr4vWjZwb+YsEUbZsPikJMsnMqFPBQmNo7hNKgQ+jTw7FP7OBQDo+jcRyP0wlGOcim&#10;cRzPJiEEWfbW2lj3jqka+UOGBSvcJ15WLsAKccj+yrrQMdqlTehdglFRCyDAngg0Acc9QQY66VAn&#10;SUbwdcE7lxFZ9uE7RtBLLgQyyn3lrgpN9SkFoe1RWKQV1Kp9tqbcroVBACPDl+HrYpS2NWu1Ew/x&#10;BZO3083mYj4wAUxlH0pwiaBFGZ5AGb05sjkRDCjQNiqQOED2oYREDUjSWR9HCX4UPsO5SNebzboL&#10;aodqNXcw5ILXGZ63IcPYeXpcSBrOjnDRngGqkD4yC+Pb1UftwMVtRRtEue9oOh8tgLCUwyyP5vE0&#10;XswwIqKEJZQ7g18s9jO0aTyZT2ctFYSuSFvrY88BRacO1AU29uHDbYAs0NozuZ0Id9ge2mnydfAs&#10;3yr6ADyH5vvm+lUJh0qZ7xg1sHYybL/tiGEYifcS+r9IxmO/p8JlPJmlcDFDyXYoITIHVxl2kHs4&#10;rl2723baeLr7lvpSSnUO81Vw1w9ii6qbSlgtIa1uDfrdNbwHrd/LevULAAD//wMAUEsDBBQABgAI&#10;AAAAIQDjuUMw4AAAAAgBAAAPAAAAZHJzL2Rvd25yZXYueG1sTI9BT4NAFITvJv6HzTPx1i6CbRFZ&#10;GtNo4sVDqdV4W9gnoOxbwm5b+u99nvQ4mcnMN/l6sr044ug7Rwpu5hEIpNqZjhoFr7unWQrCB01G&#10;945QwRk9rIvLi1xnxp1oi8cyNIJLyGdaQRvCkEnp6xat9nM3ILH36UarA8uxkWbUJy63vYyjaCmt&#10;7ogXWj3gpsX6uzxYBU35Pn08nqtNSMu3dNg/f61eop1S11fTwz2IgFP4C8MvPqNDwUyVO5DxoleQ&#10;JhxUMIvvYhDsL24TvlIpWC4SkEUu/x8ofgAAAP//AwBQSwECLQAUAAYACAAAACEAtoM4kv4AAADh&#10;AQAAEwAAAAAAAAAAAAAAAAAAAAAAW0NvbnRlbnRfVHlwZXNdLnhtbFBLAQItABQABgAIAAAAIQA4&#10;/SH/1gAAAJQBAAALAAAAAAAAAAAAAAAAAC8BAABfcmVscy8ucmVsc1BLAQItABQABgAIAAAAIQBC&#10;SAaT9QIAAPQFAAAOAAAAAAAAAAAAAAAAAC4CAABkcnMvZTJvRG9jLnhtbFBLAQItABQABgAIAAAA&#10;IQDjuUMw4AAAAAgBAAAPAAAAAAAAAAAAAAAAAE8FAABkcnMvZG93bnJldi54bWxQSwUGAAAAAAQA&#10;BADzAAAAXAYAAAAA&#10;" strokecolor="#92cddc" strokeweight="1pt">
                <v:fill color2="#b6dde8" focus="100%" type="gradient"/>
                <v:shadow on="t" color="#205867" opacity=".5" offset="1pt"/>
                <v:textbox>
                  <w:txbxContent>
                    <w:p w14:paraId="02109263" w14:textId="77777777" w:rsidR="00A84C26" w:rsidRDefault="00A84C26">
                      <w:pPr>
                        <w:jc w:val="center"/>
                      </w:pPr>
                      <w:r>
                        <w:rPr>
                          <w:sz w:val="18"/>
                          <w:szCs w:val="18"/>
                        </w:rPr>
                        <w:t>Konanie o</w:t>
                      </w:r>
                      <w:r>
                        <w:t xml:space="preserve"> </w:t>
                      </w:r>
                      <w:r>
                        <w:rPr>
                          <w:sz w:val="18"/>
                          <w:szCs w:val="18"/>
                        </w:rPr>
                        <w:t>ŽoNFP</w:t>
                      </w:r>
                    </w:p>
                  </w:txbxContent>
                </v:textbox>
              </v:shape>
            </w:pict>
          </mc:Fallback>
        </mc:AlternateContent>
      </w:r>
      <w:r>
        <w:rPr>
          <w:noProof/>
          <w:szCs w:val="22"/>
        </w:rPr>
        <w:drawing>
          <wp:inline distT="0" distB="0" distL="0" distR="0" wp14:anchorId="3E16DE68" wp14:editId="0E5F11BA">
            <wp:extent cx="5544820" cy="1325880"/>
            <wp:effectExtent l="57150" t="0" r="0" b="45720"/>
            <wp:docPr id="2" name="Diagram 6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8" r:lo="rId79" r:qs="rId80" r:cs="rId81"/>
              </a:graphicData>
            </a:graphic>
          </wp:inline>
        </w:drawing>
      </w:r>
    </w:p>
    <w:p w14:paraId="74DCA369" w14:textId="77777777" w:rsidR="00B650E5" w:rsidRDefault="00B650E5">
      <w:pPr>
        <w:spacing w:before="120" w:after="120"/>
        <w:ind w:left="142"/>
        <w:rPr>
          <w:bCs/>
          <w:iCs/>
          <w:sz w:val="18"/>
          <w:szCs w:val="18"/>
          <w:lang w:eastAsia="en-US"/>
        </w:rPr>
      </w:pPr>
      <w:r>
        <w:rPr>
          <w:bCs/>
          <w:iCs/>
          <w:sz w:val="18"/>
          <w:szCs w:val="18"/>
          <w:lang w:eastAsia="en-US"/>
        </w:rPr>
        <w:t>Grafické znázornenie vnútorného členenia konania a porovnanie s úpravou konania v zmysle zákona o príspevku z EŠIF</w:t>
      </w:r>
    </w:p>
    <w:p w14:paraId="4F75ECC1" w14:textId="77777777" w:rsidR="00B650E5" w:rsidRDefault="00B650E5">
      <w:pPr>
        <w:numPr>
          <w:ilvl w:val="0"/>
          <w:numId w:val="86"/>
        </w:numPr>
        <w:spacing w:before="120" w:after="120"/>
        <w:ind w:left="426" w:hanging="426"/>
        <w:jc w:val="both"/>
        <w:rPr>
          <w:szCs w:val="22"/>
          <w:lang w:eastAsia="en-US"/>
        </w:rPr>
      </w:pPr>
      <w:r>
        <w:rPr>
          <w:szCs w:val="22"/>
          <w:lang w:eastAsia="en-US"/>
        </w:rPr>
        <w:t>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w:t>
      </w:r>
      <w:r w:rsidR="00AF03C8">
        <w:rPr>
          <w:szCs w:val="22"/>
          <w:lang w:eastAsia="en-US"/>
        </w:rPr>
        <w:t>e</w:t>
      </w:r>
      <w:r>
        <w:rPr>
          <w:szCs w:val="22"/>
          <w:lang w:eastAsia="en-US"/>
        </w:rPr>
        <w:t xml:space="preserve"> výzvy.</w:t>
      </w:r>
    </w:p>
    <w:p w14:paraId="7A087A75"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Vzhľadom na možnosť zneužitia informácií uvedených v projektovom zámere alebo v ŽoNFP a jej prílohách, ako aj v záujme vylúčenia konfliktu záujmov v priebehu posudzovania </w:t>
      </w:r>
      <w:r>
        <w:rPr>
          <w:szCs w:val="22"/>
          <w:lang w:eastAsia="en-US"/>
        </w:rPr>
        <w:lastRenderedPageBreak/>
        <w:t>projektových zámerov alebo schvaľovania ŽoNFP, sú zamestnanci RO a odborní hodnotitelia podieľajúci sa na 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Pr>
          <w:rStyle w:val="Odkaznapoznmkupodiarou"/>
          <w:szCs w:val="22"/>
          <w:lang w:eastAsia="en-US"/>
        </w:rPr>
        <w:footnoteReference w:id="53"/>
      </w:r>
      <w:r>
        <w:rPr>
          <w:szCs w:val="22"/>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zmluvného vzťahu, ktorý nespadá pod Zákonník práce, zákon o štátnej službe, resp. zákon o výkone prác</w:t>
      </w:r>
      <w:r w:rsidRPr="009078F6">
        <w:rPr>
          <w:szCs w:val="22"/>
          <w:lang w:eastAsia="en-US"/>
        </w:rPr>
        <w:t>e</w:t>
      </w:r>
      <w:r>
        <w:rPr>
          <w:szCs w:val="22"/>
          <w:lang w:eastAsia="en-US"/>
        </w:rPr>
        <w:t xml:space="preserve"> vo verejnom záujme, RO zabezpečí zakotvenie povinností vyplývajúcich z Čestného vyhlásenia </w:t>
      </w:r>
      <w:r w:rsidR="00AF03C8">
        <w:rPr>
          <w:szCs w:val="22"/>
          <w:lang w:eastAsia="en-US"/>
        </w:rPr>
        <w:t xml:space="preserve">o </w:t>
      </w:r>
      <w:r>
        <w:rPr>
          <w:szCs w:val="22"/>
          <w:lang w:eastAsia="en-US"/>
        </w:rPr>
        <w:t>nestrannosti, zachovaní dôvernosti informácií a vylúčení konfliktu záujmov, vrátane dĺžky trvania tejto povinnosti aj po skončení výkonu odborného hodnotenia, do</w:t>
      </w:r>
      <w:r w:rsidR="00AF03C8">
        <w:rPr>
          <w:szCs w:val="22"/>
          <w:lang w:eastAsia="en-US"/>
        </w:rPr>
        <w:t> </w:t>
      </w:r>
      <w:r>
        <w:rPr>
          <w:szCs w:val="22"/>
          <w:lang w:eastAsia="en-US"/>
        </w:rPr>
        <w:t>zmluvného vzťahu s odborným hodnotiteľom.</w:t>
      </w:r>
    </w:p>
    <w:p w14:paraId="324ECC3F" w14:textId="77777777" w:rsidR="00B650E5" w:rsidRDefault="00B650E5">
      <w:pPr>
        <w:numPr>
          <w:ilvl w:val="0"/>
          <w:numId w:val="86"/>
        </w:numPr>
        <w:spacing w:before="120" w:after="120"/>
        <w:ind w:left="426" w:hanging="426"/>
        <w:jc w:val="both"/>
        <w:rPr>
          <w:szCs w:val="22"/>
          <w:lang w:eastAsia="en-US"/>
        </w:rPr>
      </w:pPr>
      <w:r>
        <w:rPr>
          <w:szCs w:val="22"/>
          <w:lang w:eastAsia="en-US"/>
        </w:rPr>
        <w:t xml:space="preserve">Pre posudzovanie projektového zámeru a konania o ŽoNFP je rozhodujúci obsah projektového zámeru alebo ŽoNFP. RO nie je oprávnený pri posudzovaní projektového zámeru alebo konania o ŽoNFP vyvodiť negatívne dôsledky (negatívna hodnotiaca správa/zastavenie konania, resp. rozhodnutie o neschválení) len z dôvodov formálnych nedostatkov </w:t>
      </w:r>
      <w:r w:rsidRPr="009078F6">
        <w:rPr>
          <w:szCs w:val="22"/>
          <w:lang w:eastAsia="en-US"/>
        </w:rPr>
        <w:t>elektronického a/alebo písomného</w:t>
      </w:r>
      <w:r>
        <w:rPr>
          <w:szCs w:val="22"/>
          <w:lang w:eastAsia="en-US"/>
        </w:rPr>
        <w:t xml:space="preserve"> podania. Dôvod, pre ktorý RO vydáva rozhodnutie o zastavení konania alebo rozhodnutie o neschválení musí byť jasný, odôvodnený a musí vyplývať z nedodržania podmienok zadefinovaných vo výzvach.</w:t>
      </w:r>
    </w:p>
    <w:p w14:paraId="13FE5C8A" w14:textId="77777777" w:rsidR="00B650E5" w:rsidRDefault="00B650E5">
      <w:pPr>
        <w:pStyle w:val="SRK3"/>
      </w:pPr>
      <w:bookmarkStart w:id="206" w:name="_Toc453233994"/>
      <w:bookmarkStart w:id="207" w:name="_Toc501630046"/>
      <w:r>
        <w:t xml:space="preserve">3.2.1 Schvaľovací proces </w:t>
      </w:r>
      <w:bookmarkEnd w:id="204"/>
      <w:bookmarkEnd w:id="205"/>
      <w:r>
        <w:t>žiadostí o poskytnutie nenávratného finančného príspevk</w:t>
      </w:r>
      <w:bookmarkEnd w:id="206"/>
      <w:r>
        <w:t>u</w:t>
      </w:r>
      <w:bookmarkEnd w:id="207"/>
    </w:p>
    <w:p w14:paraId="2030D0D5" w14:textId="77777777" w:rsidR="00B650E5" w:rsidRDefault="00B650E5">
      <w:pPr>
        <w:numPr>
          <w:ilvl w:val="0"/>
          <w:numId w:val="88"/>
        </w:numPr>
        <w:spacing w:before="120" w:after="120"/>
        <w:ind w:left="426" w:hanging="426"/>
        <w:jc w:val="both"/>
        <w:rPr>
          <w:szCs w:val="22"/>
          <w:lang w:eastAsia="en-US"/>
        </w:rPr>
      </w:pPr>
      <w:r>
        <w:rPr>
          <w:szCs w:val="22"/>
          <w:lang w:eastAsia="en-US"/>
        </w:rPr>
        <w:t>RO zabezpečí príjem ŽoNFP odo dňa vyhlásenia výzvy do dňa jej uzavretia.</w:t>
      </w:r>
    </w:p>
    <w:p w14:paraId="0BC845C9" w14:textId="77777777" w:rsidR="00B650E5" w:rsidRDefault="00B650E5">
      <w:pPr>
        <w:numPr>
          <w:ilvl w:val="0"/>
          <w:numId w:val="88"/>
        </w:numPr>
        <w:spacing w:before="120" w:after="120"/>
        <w:ind w:left="426" w:hanging="426"/>
        <w:jc w:val="both"/>
        <w:rPr>
          <w:szCs w:val="22"/>
          <w:lang w:eastAsia="en-US"/>
        </w:rPr>
      </w:pPr>
      <w:r>
        <w:rPr>
          <w:szCs w:val="22"/>
          <w:lang w:eastAsia="en-US"/>
        </w:rPr>
        <w:t xml:space="preserve">Doručením ŽoNFP na RO začína konanie o ŽoNFP. Žiadateľ doručuje ŽoNFP elektronicky prostredníctvom verejnej časti ITMS 2014+ a písomne na adresu určenú vo výzve (tzn. v listinnej podobe, alebo elektronicky </w:t>
      </w:r>
      <w:r w:rsidR="00304959">
        <w:rPr>
          <w:szCs w:val="22"/>
          <w:lang w:eastAsia="en-US"/>
        </w:rPr>
        <w:t xml:space="preserve">bez príloh </w:t>
      </w:r>
      <w:r>
        <w:rPr>
          <w:szCs w:val="22"/>
          <w:lang w:eastAsia="en-US"/>
        </w:rPr>
        <w:t xml:space="preserve">prostredníctvom Ústredného portálu verejnej správy, podpísanú </w:t>
      </w:r>
      <w:r>
        <w:t xml:space="preserve">kvalifikovaným elektronickým podpisom, kvalifikovaným elektronickým podpisom s mandátnym certifikátom </w:t>
      </w:r>
      <w:r w:rsidRPr="001272C2">
        <w:t xml:space="preserve">alebo </w:t>
      </w:r>
      <w:r>
        <w:t>kvalifikovanou</w:t>
      </w:r>
      <w:r w:rsidRPr="001272C2">
        <w:t xml:space="preserve"> elektronickou pečaťou</w:t>
      </w:r>
      <w:r>
        <w:t>)</w:t>
      </w:r>
      <w:r>
        <w:rPr>
          <w:szCs w:val="22"/>
          <w:lang w:eastAsia="en-US"/>
        </w:rPr>
        <w:t>.</w:t>
      </w:r>
    </w:p>
    <w:p w14:paraId="1D29F1A9" w14:textId="505374F1" w:rsidR="00B650E5" w:rsidRDefault="00B650E5" w:rsidP="00556762">
      <w:pPr>
        <w:pStyle w:val="SRKNorm"/>
        <w:numPr>
          <w:ilvl w:val="0"/>
          <w:numId w:val="88"/>
        </w:numPr>
        <w:spacing w:before="120" w:after="120"/>
        <w:ind w:left="426" w:hanging="426"/>
      </w:pPr>
      <w:r>
        <w:t xml:space="preserve">Pri doručovaní ŽoNFP prostredníctvom </w:t>
      </w:r>
      <w:r>
        <w:rPr>
          <w:szCs w:val="22"/>
          <w:lang w:eastAsia="en-US"/>
        </w:rPr>
        <w:t>Ústredného portálu verejnej správy</w:t>
      </w:r>
      <w:r>
        <w:t xml:space="preserve"> žiadateľ štandardne neautorizuje prílohy ŽoNFP</w:t>
      </w:r>
      <w:r w:rsidRPr="00A83695">
        <w:t>,</w:t>
      </w:r>
      <w:r>
        <w:t xml:space="preserve"> ale ich iba vloží do ITMS 2014+</w:t>
      </w:r>
      <w:r w:rsidR="001C5340">
        <w:t xml:space="preserve"> (RO môže stanoviť podrobnosti vkladania príloh vo výzve, napr. ich označenie</w:t>
      </w:r>
      <w:r w:rsidR="001C5340" w:rsidRPr="001C5340">
        <w:t xml:space="preserve"> presným názvom</w:t>
      </w:r>
      <w:r w:rsidR="001C5340">
        <w:t xml:space="preserve"> a pod.)</w:t>
      </w:r>
      <w:r>
        <w:t xml:space="preserve">. V odôvodnených prípadoch však RO môže stanoviť povinnosť </w:t>
      </w:r>
      <w:r w:rsidR="003C1D27">
        <w:t>predlož</w:t>
      </w:r>
      <w:r>
        <w:t>iť vybrané prílohy ŽoNFP</w:t>
      </w:r>
      <w:r>
        <w:rPr>
          <w:rStyle w:val="Odkaznapoznmkupodiarou"/>
        </w:rPr>
        <w:footnoteReference w:id="54"/>
      </w:r>
      <w:r>
        <w:t xml:space="preserve"> autorizované kvalifikovaným elektronickým </w:t>
      </w:r>
      <w:r w:rsidRPr="00692F1A">
        <w:t>podpisom</w:t>
      </w:r>
      <w:r>
        <w:t>, kvalifikovaným elektronickým podpisom s mandátnym certifikátom</w:t>
      </w:r>
      <w:r w:rsidRPr="00692F1A">
        <w:t xml:space="preserve"> alebo </w:t>
      </w:r>
      <w:r>
        <w:t>kvalifikovanou</w:t>
      </w:r>
      <w:r w:rsidRPr="00692F1A">
        <w:t xml:space="preserve"> elektronickou pečaťou</w:t>
      </w:r>
      <w:r>
        <w:t xml:space="preserve"> do elektronickej schránky RO. </w:t>
      </w:r>
    </w:p>
    <w:p w14:paraId="6D28985D" w14:textId="77777777" w:rsidR="00B650E5" w:rsidRPr="00A8219F" w:rsidRDefault="00B650E5" w:rsidP="005B4F8F">
      <w:pPr>
        <w:pStyle w:val="SRKNorm"/>
        <w:numPr>
          <w:ilvl w:val="0"/>
          <w:numId w:val="88"/>
        </w:numPr>
        <w:spacing w:before="120" w:after="120"/>
        <w:ind w:left="426" w:hanging="426"/>
      </w:pPr>
      <w:r>
        <w:t xml:space="preserve">Aj v prípade, ak žiadateľ predkladá ŽoNFP bez príloh výlučne elektronicky (prostredníctvom ITMS 2014+ a </w:t>
      </w:r>
      <w:r>
        <w:rPr>
          <w:szCs w:val="22"/>
          <w:lang w:eastAsia="en-US"/>
        </w:rPr>
        <w:t>Ústredného portálu verejnej správy)</w:t>
      </w:r>
      <w:r>
        <w:t xml:space="preserve">, je oprávnený doručiť vybrané prílohy ŽoNFP, ktoré nie sú dostupné v elektronickej podobe, resp. ich zaručená konverzia vykonaná postupom podľa § 36 zákona o e-Governmente do elektronickej podoby by neúmerne zaťažila žiadateľa, v listinnej podobe. V tomto prípade sa za dátum doručenia ŽoNFP bude považovať dátum </w:t>
      </w:r>
      <w:r w:rsidR="00134B4C">
        <w:t>podania</w:t>
      </w:r>
      <w:r>
        <w:t xml:space="preserve"> ŽoNFP do elektronickej schránky RO. O možnosti  doručiť vybrané prílohy ŽoNFP v listinnej podobe RO informuje žiadateľov vo výzve.</w:t>
      </w:r>
      <w:r w:rsidRPr="00C21609">
        <w:t xml:space="preserve"> </w:t>
      </w:r>
    </w:p>
    <w:p w14:paraId="496A1BEC" w14:textId="77777777" w:rsidR="00B650E5" w:rsidRPr="001B709E" w:rsidRDefault="00B650E5">
      <w:pPr>
        <w:pStyle w:val="SRKNorm"/>
        <w:numPr>
          <w:ilvl w:val="0"/>
          <w:numId w:val="88"/>
        </w:numPr>
        <w:spacing w:before="120" w:after="120"/>
        <w:ind w:left="426" w:hanging="426"/>
      </w:pPr>
      <w:r>
        <w:t xml:space="preserve">V prípade, ak </w:t>
      </w:r>
      <w:r w:rsidR="00A96B29">
        <w:t xml:space="preserve">má </w:t>
      </w:r>
      <w:r>
        <w:t>žiadateľ aktivovanú elektronickú schránku, RO je povinný doručovať všetky rozhodnutia, vydané v konaní o ŽoNFP elektronicky, v súlade so zákonom o e-Governmente.</w:t>
      </w:r>
    </w:p>
    <w:p w14:paraId="06BE1B8F" w14:textId="77777777" w:rsidR="00B650E5" w:rsidRDefault="00B650E5" w:rsidP="0045286B">
      <w:pPr>
        <w:pStyle w:val="SRK4"/>
      </w:pPr>
      <w:bookmarkStart w:id="208" w:name="_Toc453233995"/>
      <w:bookmarkStart w:id="209" w:name="_Toc501630047"/>
      <w:bookmarkStart w:id="210" w:name="kapitola_3211"/>
      <w:r>
        <w:lastRenderedPageBreak/>
        <w:t>3.2.1.1 Administratívne overenie</w:t>
      </w:r>
      <w:bookmarkEnd w:id="208"/>
      <w:bookmarkEnd w:id="209"/>
      <w:r>
        <w:t xml:space="preserve"> </w:t>
      </w:r>
    </w:p>
    <w:bookmarkEnd w:id="210"/>
    <w:p w14:paraId="4633E2DD" w14:textId="20265F56" w:rsidR="00B650E5" w:rsidRDefault="00B650E5">
      <w:pPr>
        <w:numPr>
          <w:ilvl w:val="0"/>
          <w:numId w:val="89"/>
        </w:numPr>
        <w:spacing w:before="120" w:after="120"/>
        <w:ind w:left="426" w:hanging="426"/>
        <w:jc w:val="both"/>
        <w:rPr>
          <w:szCs w:val="22"/>
          <w:lang w:eastAsia="en-US"/>
        </w:rPr>
      </w:pPr>
      <w:r>
        <w:rPr>
          <w:szCs w:val="22"/>
          <w:lang w:eastAsia="en-US"/>
        </w:rPr>
        <w:t xml:space="preserve">RO v rámci administratívneho overenia overí splnenie </w:t>
      </w:r>
      <w:r w:rsidR="000165D1">
        <w:rPr>
          <w:szCs w:val="22"/>
          <w:lang w:eastAsia="en-US"/>
        </w:rPr>
        <w:t xml:space="preserve">podmienok </w:t>
      </w:r>
      <w:r>
        <w:rPr>
          <w:szCs w:val="22"/>
          <w:lang w:eastAsia="en-US"/>
        </w:rPr>
        <w:t xml:space="preserve">doručenia ŽoNFP a následne podmienok poskytnutia príspevku určených vo výzve. </w:t>
      </w:r>
    </w:p>
    <w:p w14:paraId="4F930EAD" w14:textId="7B2435F6" w:rsidR="00B650E5" w:rsidRDefault="00B650E5">
      <w:pPr>
        <w:numPr>
          <w:ilvl w:val="0"/>
          <w:numId w:val="89"/>
        </w:numPr>
        <w:spacing w:before="120" w:after="120"/>
        <w:ind w:left="426" w:hanging="426"/>
        <w:jc w:val="both"/>
        <w:rPr>
          <w:szCs w:val="22"/>
          <w:lang w:eastAsia="en-US"/>
        </w:rPr>
      </w:pPr>
      <w:r>
        <w:rPr>
          <w:szCs w:val="22"/>
          <w:lang w:eastAsia="en-US"/>
        </w:rPr>
        <w:t>Po doručení ŽoNFP RO posúdi splnenie podmienky doručenia ŽoNFP riadne, včas a vo forme určenej RO. ŽoNFP je doručená vo forme určenej RO, ak je doručená prostredníctvom verejnej časti ITMS 2014+ a v písomnej podobe. Rozhodujúcim dátumom na splnenie podmienky podať ŽoNFP včas je dátum odovzdania písomnej verzie ŽoNFP osobne na RO (RO o prijatí ŽoNFP vystaví žiadateľovi potvrdenie s vyznačeným dátumom prijatia ŽoNFP a kópiu potvrdenia uchováva v spise k prijatej ŽoNFP) alebo dátum odovzdania na poštovú, resp. inú prepravu (napr. zasielanie prostredníctvom kuriéra</w:t>
      </w:r>
      <w:r w:rsidR="00562EC5">
        <w:rPr>
          <w:szCs w:val="22"/>
          <w:lang w:eastAsia="en-US"/>
        </w:rPr>
        <w:t>)</w:t>
      </w:r>
      <w:r>
        <w:rPr>
          <w:szCs w:val="22"/>
          <w:lang w:eastAsia="en-US"/>
        </w:rPr>
        <w:t xml:space="preserve"> - </w:t>
      </w:r>
      <w:r w:rsidRPr="005243B9">
        <w:t xml:space="preserve">RO zašle žiadateľovi informáciu o prijatí ŽoNFP najneskôr do </w:t>
      </w:r>
      <w:r w:rsidR="00E96D5F">
        <w:t>5</w:t>
      </w:r>
      <w:r w:rsidRPr="005243B9">
        <w:t xml:space="preserve"> pracovných dní po prijatí na kontaktný e-mail, uvedený v ŽoNFP</w:t>
      </w:r>
      <w:r>
        <w:t xml:space="preserve"> </w:t>
      </w:r>
      <w:r>
        <w:rPr>
          <w:szCs w:val="22"/>
          <w:lang w:eastAsia="en-US"/>
        </w:rPr>
        <w:t>alebo dátum podania do</w:t>
      </w:r>
      <w:r w:rsidR="0053742D">
        <w:rPr>
          <w:szCs w:val="22"/>
          <w:lang w:eastAsia="en-US"/>
        </w:rPr>
        <w:t> </w:t>
      </w:r>
      <w:r>
        <w:rPr>
          <w:szCs w:val="22"/>
          <w:lang w:eastAsia="en-US"/>
        </w:rPr>
        <w:t>elektronickej schránky RO (</w:t>
      </w:r>
      <w:r w:rsidRPr="000B18B1">
        <w:rPr>
          <w:szCs w:val="22"/>
          <w:lang w:eastAsia="en-US"/>
        </w:rPr>
        <w:t xml:space="preserve">RO </w:t>
      </w:r>
      <w:r>
        <w:rPr>
          <w:szCs w:val="22"/>
          <w:lang w:eastAsia="en-US"/>
        </w:rPr>
        <w:t xml:space="preserve">v tomto prípade </w:t>
      </w:r>
      <w:r w:rsidRPr="000B18B1">
        <w:rPr>
          <w:szCs w:val="22"/>
          <w:lang w:eastAsia="en-US"/>
        </w:rPr>
        <w:t xml:space="preserve">potvrdenie </w:t>
      </w:r>
      <w:r>
        <w:rPr>
          <w:szCs w:val="22"/>
          <w:lang w:eastAsia="en-US"/>
        </w:rPr>
        <w:t xml:space="preserve">o prijatí ŽoNFP </w:t>
      </w:r>
      <w:r w:rsidRPr="000B18B1">
        <w:rPr>
          <w:szCs w:val="22"/>
          <w:lang w:eastAsia="en-US"/>
        </w:rPr>
        <w:t>nevydáva</w:t>
      </w:r>
      <w:r>
        <w:rPr>
          <w:szCs w:val="22"/>
          <w:lang w:eastAsia="en-US"/>
        </w:rPr>
        <w:t xml:space="preserve">) </w:t>
      </w:r>
      <w:r>
        <w:t>najneskôr v posledný deň uzávierky výzvy, resp. lehoty určenej na predkladanie ŽoNFP vo výzve.</w:t>
      </w:r>
      <w:r>
        <w:rPr>
          <w:szCs w:val="22"/>
          <w:lang w:eastAsia="en-US"/>
        </w:rPr>
        <w:t xml:space="preserve"> ŽoNFP je doručená riadne, ak spĺňa požiadavky na formát stanovený explicitne vo výzve a zaslaný formát umožňuje objektívne posúdenie obsahu ŽoNFP (podmienka nie je splnená najmä v prípadoch, kedy je obsah ŽoNFP vyplnený v inom ako slovenskom jazyku alebo jazyku určenom vo výzve ako akceptovateľným alebo písmom, ktoré neumožňuje rozpoznanie obsahu textu). </w:t>
      </w:r>
    </w:p>
    <w:p w14:paraId="57A6ED3F" w14:textId="77777777" w:rsidR="00B650E5" w:rsidRDefault="00B650E5">
      <w:pPr>
        <w:numPr>
          <w:ilvl w:val="0"/>
          <w:numId w:val="89"/>
        </w:numPr>
        <w:spacing w:before="120" w:after="120"/>
        <w:ind w:left="426" w:hanging="426"/>
        <w:jc w:val="both"/>
        <w:rPr>
          <w:szCs w:val="22"/>
          <w:lang w:eastAsia="en-US"/>
        </w:rPr>
      </w:pPr>
      <w:r>
        <w:rPr>
          <w:szCs w:val="22"/>
          <w:lang w:eastAsia="en-US"/>
        </w:rPr>
        <w:t>V prípade, ak žiadateľ nepredložil ŽoNFP riadne, včas alebo v určenej forme, RO zastaví konanie vydaním rozhodnutia o zastavení konania o ŽoNFP a o tejto skutočnosti informuje žiadateľa.</w:t>
      </w:r>
    </w:p>
    <w:p w14:paraId="39E86107" w14:textId="77777777" w:rsidR="00B650E5" w:rsidRDefault="00B650E5">
      <w:pPr>
        <w:numPr>
          <w:ilvl w:val="0"/>
          <w:numId w:val="89"/>
        </w:numPr>
        <w:spacing w:before="120" w:after="120"/>
        <w:ind w:left="426" w:hanging="426"/>
        <w:jc w:val="both"/>
        <w:rPr>
          <w:szCs w:val="22"/>
          <w:lang w:eastAsia="en-US"/>
        </w:rPr>
      </w:pPr>
      <w:r>
        <w:rPr>
          <w:szCs w:val="22"/>
          <w:lang w:eastAsia="en-US"/>
        </w:rPr>
        <w:t>Po overení splnenia podmienok predložiť ŽoNFP riadne, včas a v určenej forme RO zaregistruje ŽoNFP v  ITMS 2014+. Overenie podmienok predloženia ŽoNFP v súlade s týmto odsekom RO zaznamená v kontrolnom zozname, ktorého minimálne náležitosti sú uvedené vo vzore</w:t>
      </w:r>
      <w:r>
        <w:rPr>
          <w:rStyle w:val="Odkaznapoznmkupodiarou"/>
          <w:szCs w:val="22"/>
          <w:lang w:eastAsia="en-US"/>
        </w:rPr>
        <w:footnoteReference w:id="55"/>
      </w:r>
      <w:r>
        <w:rPr>
          <w:szCs w:val="22"/>
          <w:lang w:eastAsia="en-US"/>
        </w:rPr>
        <w:t xml:space="preserve"> vydanom CKO.</w:t>
      </w:r>
    </w:p>
    <w:p w14:paraId="22DF2CE6" w14:textId="77777777" w:rsidR="00B650E5" w:rsidRDefault="00B650E5">
      <w:pPr>
        <w:spacing w:before="120" w:after="120"/>
        <w:jc w:val="both"/>
        <w:rPr>
          <w:szCs w:val="22"/>
          <w:lang w:eastAsia="en-US"/>
        </w:rPr>
      </w:pPr>
    </w:p>
    <w:p w14:paraId="66CA47D9" w14:textId="77777777" w:rsidR="00B650E5" w:rsidRDefault="00B650E5">
      <w:pPr>
        <w:spacing w:before="120" w:after="120"/>
        <w:ind w:left="426"/>
        <w:jc w:val="both"/>
        <w:rPr>
          <w:szCs w:val="22"/>
          <w:lang w:eastAsia="en-US"/>
        </w:rPr>
      </w:pPr>
    </w:p>
    <w:p w14:paraId="6E79EF91" w14:textId="77777777" w:rsidR="00E232B8" w:rsidRDefault="00E232B8">
      <w:pPr>
        <w:spacing w:before="120" w:after="120"/>
        <w:ind w:left="426"/>
        <w:jc w:val="both"/>
        <w:rPr>
          <w:szCs w:val="22"/>
          <w:lang w:eastAsia="en-US"/>
        </w:rPr>
      </w:pPr>
    </w:p>
    <w:p w14:paraId="56E87E11" w14:textId="77777777" w:rsidR="00E232B8" w:rsidRDefault="00E232B8">
      <w:pPr>
        <w:spacing w:before="120" w:after="120"/>
        <w:ind w:left="426"/>
        <w:jc w:val="both"/>
        <w:rPr>
          <w:szCs w:val="22"/>
          <w:lang w:eastAsia="en-US"/>
        </w:rPr>
      </w:pPr>
    </w:p>
    <w:p w14:paraId="793336EE" w14:textId="373728C3" w:rsidR="00B650E5" w:rsidRDefault="0053588C">
      <w:pPr>
        <w:pStyle w:val="Odsekzoznamu"/>
        <w:spacing w:before="120" w:after="120"/>
        <w:jc w:val="both"/>
        <w:rPr>
          <w:bCs/>
          <w:iCs/>
          <w:color w:val="4F81BD"/>
          <w:szCs w:val="22"/>
          <w:lang w:eastAsia="en-US"/>
        </w:rPr>
      </w:pPr>
      <w:r>
        <w:rPr>
          <w:noProof/>
        </w:rPr>
        <w:lastRenderedPageBreak/>
        <mc:AlternateContent>
          <mc:Choice Requires="wps">
            <w:drawing>
              <wp:anchor distT="0" distB="0" distL="114300" distR="114300" simplePos="0" relativeHeight="251665408" behindDoc="0" locked="0" layoutInCell="1" allowOverlap="1" wp14:anchorId="7037CD28" wp14:editId="27C66767">
                <wp:simplePos x="0" y="0"/>
                <wp:positionH relativeFrom="column">
                  <wp:posOffset>1962150</wp:posOffset>
                </wp:positionH>
                <wp:positionV relativeFrom="paragraph">
                  <wp:posOffset>2861310</wp:posOffset>
                </wp:positionV>
                <wp:extent cx="2066925" cy="342900"/>
                <wp:effectExtent l="19050" t="13335" r="19050" b="15240"/>
                <wp:wrapNone/>
                <wp:docPr id="77" name="Obdĺžnik 1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66925" cy="342900"/>
                        </a:xfrm>
                        <a:prstGeom prst="rect">
                          <a:avLst/>
                        </a:prstGeom>
                        <a:solidFill>
                          <a:srgbClr val="FFFFFF"/>
                        </a:solidFill>
                        <a:ln w="25400">
                          <a:solidFill>
                            <a:srgbClr val="FFFFFF"/>
                          </a:solidFill>
                          <a:miter lim="800000"/>
                          <a:headEnd/>
                          <a:tailEnd/>
                        </a:ln>
                      </wps:spPr>
                      <wps:txbx>
                        <w:txbxContent>
                          <w:p w14:paraId="5505E35B" w14:textId="77777777" w:rsidR="00A84C26" w:rsidRDefault="00A84C26">
                            <w:pPr>
                              <w:spacing w:before="120" w:after="120"/>
                              <w:jc w:val="center"/>
                              <w:rPr>
                                <w:szCs w:val="22"/>
                                <w:lang w:eastAsia="en-US"/>
                              </w:rPr>
                            </w:pPr>
                            <w:r>
                              <w:rPr>
                                <w:bCs/>
                                <w:iCs/>
                                <w:sz w:val="18"/>
                                <w:szCs w:val="18"/>
                                <w:lang w:eastAsia="en-US"/>
                              </w:rPr>
                              <w:t>Postup pri doručení a registrácii ŽoNFP</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Obdĺžnik 1128" o:spid="_x0000_s1034" style="position:absolute;left:0;text-align:left;margin-left:154.5pt;margin-top:225.3pt;width:162.75pt;height:27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zkZoMAIAAFYEAAAOAAAAZHJzL2Uyb0RvYy54bWysVM2O0zAQviPxDpbvND/0N2q6WnUpQlrY&#10;lRYewHGcxlrHNmO3aXk0DnuC92LsdEuB24ocLI9n/Hnm+2ayvDp0iuwFOGl0SbNRSonQ3NRSb0v6&#10;5fPmzZwS55mumTJalPQoHL1avX617G0hctMaVQsgCKJd0duStt7bIkkcb0XH3MhYodHZGOiYRxO2&#10;SQ2sR/ROJXmaTpPeQG3BcOEcnt4MTrqK+E0juL9rGic8USXF3HxcIa5VWJPVkhVbYLaV/JQGe0EW&#10;HZMaHz1D3TDPyA7kP1Cd5GCcafyImy4xTSO5iDVgNVn6VzUPLbMi1oLkOHumyf0/WP5pfw9E1iWd&#10;zSjRrEON7qr6x/efT1o+kizL54Gj3roCQx/sPYQqnb01/NERbdYt01txDWD6VrAaM8tCfPLHhWA4&#10;vEqq/qOp8QW28ybSdWigC4BIBDlEVY5nVcTBE46HeTqdLvIJJRx9b8f5Io2yJax4vm3B+ffCdCRs&#10;SgqoekRn+1vnQzaseA6J2Rsl641UKhqwrdYKyJ5hh2ziFwvAIi/DlCY9pjIZ4+Mvxeikx15Xsivp&#10;PA3f0H2Bt3e6jp3omVTDHnNW+kRk4G7QwB+qQ1TrrEpl6iMyC2ZobRxF3LQGvlHSY1uX1H3dMRCU&#10;qA8a1Vlk43GYg2iMJ7McDbj0VJcepjlClZR7oGQw1n6Ynp0FuW3xrSzyoc01atrISHfQe8jrVAA2&#10;b1ThNGhhOi7tGPX7d7D6BQAA//8DAFBLAwQUAAYACAAAACEA7eVtfOIAAAALAQAADwAAAGRycy9k&#10;b3ducmV2LnhtbEyPwU7DMBBE70j8g7VI3KgNTSII2VQICamcKKGCHreJcSLidRS7TcrXY05wHM1o&#10;5k2xmm0vjnr0nWOE64UCobl2TccGYfv2dHULwgfihnrHGuGkPazK87OC8sZN/KqPVTAilrDPCaEN&#10;Ycil9HWrLfmFGzRH79ONlkKUo5HNSFMst728USqTljqOCy0N+rHV9Vd1sAibk9l+z8PHs6lfaHpf&#10;b3bVepcgXl7MD/cggp7DXxh+8SM6lJFp7w7ceNEjLNVd/BIQklRlIGIiWyYpiD1CqpIMZFnI/x/K&#10;HwAAAP//AwBQSwECLQAUAAYACAAAACEAtoM4kv4AAADhAQAAEwAAAAAAAAAAAAAAAAAAAAAAW0Nv&#10;bnRlbnRfVHlwZXNdLnhtbFBLAQItABQABgAIAAAAIQA4/SH/1gAAAJQBAAALAAAAAAAAAAAAAAAA&#10;AC8BAABfcmVscy8ucmVsc1BLAQItABQABgAIAAAAIQD3zkZoMAIAAFYEAAAOAAAAAAAAAAAAAAAA&#10;AC4CAABkcnMvZTJvRG9jLnhtbFBLAQItABQABgAIAAAAIQDt5W184gAAAAsBAAAPAAAAAAAAAAAA&#10;AAAAAIoEAABkcnMvZG93bnJldi54bWxQSwUGAAAAAAQABADzAAAAmQUAAAAA&#10;" strokecolor="white" strokeweight="2pt">
                <v:textbox>
                  <w:txbxContent>
                    <w:p w14:paraId="5505E35B" w14:textId="77777777" w:rsidR="00A84C26" w:rsidRDefault="00A84C26">
                      <w:pPr>
                        <w:spacing w:before="120" w:after="120"/>
                        <w:jc w:val="center"/>
                        <w:rPr>
                          <w:szCs w:val="22"/>
                          <w:lang w:eastAsia="en-US"/>
                        </w:rPr>
                      </w:pPr>
                      <w:r>
                        <w:rPr>
                          <w:bCs/>
                          <w:iCs/>
                          <w:sz w:val="18"/>
                          <w:szCs w:val="18"/>
                          <w:lang w:eastAsia="en-US"/>
                        </w:rPr>
                        <w:t>Postup pri doručení a registrácii ŽoNFP</w:t>
                      </w:r>
                    </w:p>
                  </w:txbxContent>
                </v:textbox>
              </v:rect>
            </w:pict>
          </mc:Fallback>
        </mc:AlternateContent>
      </w:r>
      <w:r>
        <w:rPr>
          <w:noProof/>
        </w:rPr>
        <mc:AlternateContent>
          <mc:Choice Requires="wps">
            <w:drawing>
              <wp:anchor distT="0" distB="0" distL="114300" distR="114300" simplePos="0" relativeHeight="251646976" behindDoc="0" locked="0" layoutInCell="1" allowOverlap="1" wp14:anchorId="0179953E" wp14:editId="305F0F31">
                <wp:simplePos x="0" y="0"/>
                <wp:positionH relativeFrom="column">
                  <wp:posOffset>4586605</wp:posOffset>
                </wp:positionH>
                <wp:positionV relativeFrom="paragraph">
                  <wp:posOffset>-337820</wp:posOffset>
                </wp:positionV>
                <wp:extent cx="1504950" cy="1066800"/>
                <wp:effectExtent l="52705" t="14605" r="52070" b="33020"/>
                <wp:wrapNone/>
                <wp:docPr id="76" name="Šípka dolu 1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950" cy="1066800"/>
                        </a:xfrm>
                        <a:prstGeom prst="downArrow">
                          <a:avLst>
                            <a:gd name="adj1" fmla="val 50000"/>
                            <a:gd name="adj2" fmla="val 25000"/>
                          </a:avLst>
                        </a:prstGeom>
                        <a:gradFill rotWithShape="0">
                          <a:gsLst>
                            <a:gs pos="0">
                              <a:srgbClr val="FABF8F"/>
                            </a:gs>
                            <a:gs pos="50000">
                              <a:srgbClr val="FDE9D9"/>
                            </a:gs>
                            <a:gs pos="100000">
                              <a:srgbClr val="FABF8F"/>
                            </a:gs>
                          </a:gsLst>
                          <a:lin ang="18900000" scaled="1"/>
                        </a:gradFill>
                        <a:ln w="12700">
                          <a:solidFill>
                            <a:srgbClr val="FABF8F"/>
                          </a:solidFill>
                          <a:miter lim="800000"/>
                          <a:headEnd/>
                          <a:tailEnd/>
                        </a:ln>
                        <a:effectLst>
                          <a:outerShdw dist="28398" dir="3806097" algn="ctr" rotWithShape="0">
                            <a:srgbClr val="974706">
                              <a:alpha val="50000"/>
                            </a:srgbClr>
                          </a:outerShdw>
                        </a:effectLst>
                      </wps:spPr>
                      <wps:txbx>
                        <w:txbxContent>
                          <w:p w14:paraId="5A63C51A" w14:textId="77777777" w:rsidR="00A84C26" w:rsidRDefault="00A84C26">
                            <w:pPr>
                              <w:jc w:val="center"/>
                              <w:rPr>
                                <w:sz w:val="18"/>
                                <w:szCs w:val="18"/>
                              </w:rPr>
                            </w:pPr>
                            <w:r>
                              <w:rPr>
                                <w:sz w:val="18"/>
                                <w:szCs w:val="18"/>
                              </w:rPr>
                              <w:t>Konanie o ŽoNFP pokračuje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ípka dolu 1130" o:spid="_x0000_s1035" type="#_x0000_t67" style="position:absolute;left:0;text-align:left;margin-left:361.15pt;margin-top:-26.6pt;width:118.5pt;height:84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Fp+7QIAABIGAAAOAAAAZHJzL2Uyb0RvYy54bWysVNtu0zAYvkfiHSzfsyRdT4mWTmNdEdKA&#10;SQNx7cZOYubYxnabjqfhBXgKxHvx20lKCrtAiFxEtv/T9/2ni8tDI9CeGcuVzHFyFmPEZKEol1WO&#10;P7zfvFhiZB2RlAglWY4fmcWXq+fPLlqdsYmqlaDMIHAibdbqHNfO6SyKbFGzhtgzpZkEYalMQxxc&#10;TRVRQ1rw3ohoEsfzqFWGaqMKZi28rjshXgX/ZckK964sLXNI5BiwufA34b/1/2h1QbLKEF3zoodB&#10;/gFFQ7iEoEdXa+II2hn+h6uGF0ZZVbqzQjWRKktesMAB2CTxb2zua6JZ4ALJsfqYJvv/3BZv93cG&#10;cZrjxRwjSRqo0Y+v37/pB4KoEjuUJOchS622GSjf6zvjeVp9q4oHi6S6roms2JUxqq0ZoYAt8VmN&#10;Tgz8xYIp2rZvFIUYZOdUSNihNI13CKlAh1CXx2Nd2MGhAh6TWTxNZ1C+AmRJPJ8v44ApItlgro11&#10;r5hqkD/kmKpWBkghBtnfWheqQ3uKhH5KMCobAcXeE4FmMXx9M4x0JmOdiVcK1EjWewQAQ+C++HTD&#10;hUBGuY/c1aF+nk0Q2gGERVpBmrpna6rttTAIUOR4c/Vys9z0MSrbmXXaHUL/cmqxvknX6ZMWief0&#10;N0GARTWAE1wiqCekeZl29sgWRDBokK6socUDS49FSNSCZLIYAinBj8JToGNqdqzWcAcrQPAmx1BX&#10;DzkMpW+mG0nD2REuujNgFdJHZmG4+5SqHbi4r2mLKPflnyzPU1g8lMOkny/jeZwuMCKighVVOIOf&#10;rM8J2nQxXcTzrnmErklXnmOXAIpeHRodencIH24jZGEIfN/7fWQzd9gewqyFgvmXraKPMBXQL74f&#10;/CKFQ63MF4xaWEo5tp93xDCMxGsJLZMm06nfYuEynS0mcDFjyXYsIbIAVzl2wD0cr123+Xba8KqG&#10;SElgKNUVTGPJ3TC2Hap+hmHxBFr9kvSbbXwPWr9W+eonAAAA//8DAFBLAwQUAAYACAAAACEAWKvu&#10;JOMAAAALAQAADwAAAGRycy9kb3ducmV2LnhtbEyPTU+DQBCG7yb+h82YeDHtApVSkKUxbdrUg4dW&#10;E69bdgTifhB2S/HfO570ODNP3nnecj0ZzUYcfOesgHgeAUNbO9XZRsD72262AuaDtEpqZ1HAN3pY&#10;V7c3pSyUu9ojjqfQMAqxvpAC2hD6gnNft2ikn7seLd0+3WBkoHFouBrklcKN5kkULbmRnaUPrexx&#10;02L9dboYAXqbvj7kh1223Rz32cdy30dj/CLE/d30/AQs4BT+YPjVJ3WoyOnsLlZ5pgVkSbIgVMAs&#10;XSTAiMjTnDZnQuPHFfCq5P87VD8AAAD//wMAUEsBAi0AFAAGAAgAAAAhALaDOJL+AAAA4QEAABMA&#10;AAAAAAAAAAAAAAAAAAAAAFtDb250ZW50X1R5cGVzXS54bWxQSwECLQAUAAYACAAAACEAOP0h/9YA&#10;AACUAQAACwAAAAAAAAAAAAAAAAAvAQAAX3JlbHMvLnJlbHNQSwECLQAUAAYACAAAACEAlgRafu0C&#10;AAASBgAADgAAAAAAAAAAAAAAAAAuAgAAZHJzL2Uyb0RvYy54bWxQSwECLQAUAAYACAAAACEAWKvu&#10;JOMAAAALAQAADwAAAAAAAAAAAAAAAABHBQAAZHJzL2Rvd25yZXYueG1sUEsFBgAAAAAEAAQA8wAA&#10;AFcGAAAAAA==&#10;" fillcolor="#fabf8f" strokecolor="#fabf8f" strokeweight="1pt">
                <v:fill color2="#fde9d9" angle="135" focus="50%" type="gradient"/>
                <v:shadow on="t" color="#974706" opacity=".5" offset="1pt"/>
                <v:textbox>
                  <w:txbxContent>
                    <w:p w14:paraId="5A63C51A" w14:textId="77777777" w:rsidR="00A84C26" w:rsidRDefault="00A84C26">
                      <w:pPr>
                        <w:jc w:val="center"/>
                        <w:rPr>
                          <w:sz w:val="18"/>
                          <w:szCs w:val="18"/>
                        </w:rPr>
                      </w:pPr>
                      <w:r>
                        <w:rPr>
                          <w:sz w:val="18"/>
                          <w:szCs w:val="18"/>
                        </w:rPr>
                        <w:t>Konanie o ŽoNFP pokračuje</w:t>
                      </w:r>
                    </w:p>
                  </w:txbxContent>
                </v:textbox>
              </v:shape>
            </w:pict>
          </mc:Fallback>
        </mc:AlternateContent>
      </w:r>
      <w:r>
        <w:rPr>
          <w:noProof/>
        </w:rPr>
        <mc:AlternateContent>
          <mc:Choice Requires="wps">
            <w:drawing>
              <wp:anchor distT="0" distB="0" distL="114300" distR="114300" simplePos="0" relativeHeight="251645952" behindDoc="0" locked="0" layoutInCell="1" allowOverlap="1" wp14:anchorId="49D68FF6" wp14:editId="475DA872">
                <wp:simplePos x="0" y="0"/>
                <wp:positionH relativeFrom="column">
                  <wp:posOffset>4586605</wp:posOffset>
                </wp:positionH>
                <wp:positionV relativeFrom="paragraph">
                  <wp:posOffset>2386330</wp:posOffset>
                </wp:positionV>
                <wp:extent cx="1428750" cy="904875"/>
                <wp:effectExtent l="81280" t="81280" r="52070" b="13970"/>
                <wp:wrapNone/>
                <wp:docPr id="75" name="Šípka nahor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0" cy="904875"/>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107763" dir="13500000" algn="ctr" rotWithShape="0">
                            <a:srgbClr val="205867">
                              <a:alpha val="50000"/>
                            </a:srgbClr>
                          </a:outerShdw>
                        </a:effectLst>
                      </wps:spPr>
                      <wps:txbx>
                        <w:txbxContent>
                          <w:p w14:paraId="0C9DA089" w14:textId="77777777" w:rsidR="00A84C26" w:rsidRDefault="00A84C26">
                            <w:pPr>
                              <w:jc w:val="center"/>
                            </w:pPr>
                            <w:r>
                              <w:rPr>
                                <w:sz w:val="18"/>
                                <w:szCs w:val="18"/>
                              </w:rPr>
                              <w:t>Ukončenie  konania o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131" o:spid="_x0000_s1036" type="#_x0000_t68" style="position:absolute;left:0;text-align:left;margin-left:361.15pt;margin-top:187.9pt;width:112.5pt;height:71.2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uuF5QIAABMGAAAOAAAAZHJzL2Uyb0RvYy54bWysVNtuEzEQfUfiHyy/070kaS7qpqqSFiEV&#10;qFQQz47t3TX12sZ2silfww/wFYj/YuzdpBvoA0Lsw8rjGc+cM7eLy30j0Y5bJ7QqcHaWYsQV1Uyo&#10;qsAfP9y8mmHkPFGMSK14gR+5w5fLly8uWrPgua61ZNwicKLcojUFrr03iyRxtOYNcWfacAXKUtuG&#10;eBBtlTBLWvDeyCRP0/Ok1ZYZqyl3Dm7XnRIvo/+y5NS/L0vHPZIFBmw+/m38b8I/WV6QRWWJqQXt&#10;YZB/QNEQoSDo0dWaeIK2VvzhqhHUaqdLf0Z1k+iyFJRHDsAmS39jc18TwyMXSI4zxzS5/+eWvtvd&#10;WSRYgacTjBRpoEY/v/34bh4ISLW2KMtGWUhTa9wCrO/NnQ1EnbnV9MEhpVc1URW/sla3NScMwEX7&#10;5ORBEBw8RZv2rWYQhGy9jhnbl7YJDiEXaB8L83gsDN97ROEyG+ez6QTqR0E3T8cgBEgJWRxeG+v8&#10;a64bFA4F3pqIJwYgu1vnY21YT5CwzxlGZSOh1Dsi0SSFr2+FgU0+tMmDUR+09wjhD2H70rMbISWy&#10;2n8Svo7VC1Si0h1AOGQ05Ki7drbarKRFgAKI5av1etXHqFz3rLPuEIabkxfrq+vrm9GzL7LA6W+C&#10;AIvqAE4KhaCYkPDZvHuPHCWSQ3t0NY0NHlkGLFKhFjT59BBIS3FUngA9oeaGZo3wsACkaAo860LG&#10;kQyddK1YPHsiZHcGrFKFyDyOdp9SvQUX9zVrEROh+Fk6nZ6PMEgw6Nko5g56h8gKVhT1Fj9boRO8&#10;eTqZnU+79pGmJl2Bjn0COHrz2IRHAFEaYIszENq+Gx+/3+zjrGWxk8JMbDR7hKmAlgktETYpHGDs&#10;vmLUwlYqsPuyJZZjJN8o6Jp5Nh6HNRaF8WSag2CHms1QQxQFVwX2QD4eV75bfVtjRVWHVEWKSl/B&#10;NJbCh5l6QtULsHkir35LhtU2lKPV0y5f/gIAAP//AwBQSwMEFAAGAAgAAAAhAMSea2/jAAAACwEA&#10;AA8AAABkcnMvZG93bnJldi54bWxMj8FOwzAMhu9IvENkJC6IpUs3upWmExoChDhRkMoxa0JTaJyq&#10;ybbC02NOcLT96ff3F5vJ9exgxtB5lDCfJcAMNl532Ep4fbm7XAELUaFWvUcj4csE2JSnJ4XKtT/i&#10;szlUsWUUgiFXEmyMQ855aKxxKsz8YJBu7350KtI4tlyP6kjhruciSa64Ux3SB6sGs7Wm+az2ToJ4&#10;esP778W63g62qsXF421dPXxIeX423VwDi2aKfzD86pM6lOS083vUgfUSMiFSQiWk2ZI6ELFeZLTZ&#10;SVjOVynwsuD/O5Q/AAAA//8DAFBLAQItABQABgAIAAAAIQC2gziS/gAAAOEBAAATAAAAAAAAAAAA&#10;AAAAAAAAAABbQ29udGVudF9UeXBlc10ueG1sUEsBAi0AFAAGAAgAAAAhADj9If/WAAAAlAEAAAsA&#10;AAAAAAAAAAAAAAAALwEAAF9yZWxzLy5yZWxzUEsBAi0AFAAGAAgAAAAhACnq64XlAgAAEwYAAA4A&#10;AAAAAAAAAAAAAAAALgIAAGRycy9lMm9Eb2MueG1sUEsBAi0AFAAGAAgAAAAhAMSea2/jAAAACwEA&#10;AA8AAAAAAAAAAAAAAAAAPwUAAGRycy9kb3ducmV2LnhtbFBLBQYAAAAABAAEAPMAAABPBgAAAAA=&#10;" fillcolor="#92cddc" strokecolor="#92cddc" strokeweight="1pt">
                <v:fill color2="#daeef3" angle="135" focus="50%" type="gradient"/>
                <v:shadow on="t" color="#205867" opacity=".5" offset="-6pt,-6pt"/>
                <v:textbox>
                  <w:txbxContent>
                    <w:p w14:paraId="0C9DA089" w14:textId="77777777" w:rsidR="00A84C26" w:rsidRDefault="00A84C26">
                      <w:pPr>
                        <w:jc w:val="center"/>
                      </w:pPr>
                      <w:r>
                        <w:rPr>
                          <w:sz w:val="18"/>
                          <w:szCs w:val="18"/>
                        </w:rPr>
                        <w:t>Ukončenie  konania o ŽoNFP</w:t>
                      </w:r>
                    </w:p>
                  </w:txbxContent>
                </v:textbox>
              </v:shape>
            </w:pict>
          </mc:Fallback>
        </mc:AlternateContent>
      </w:r>
      <w:r>
        <w:rPr>
          <w:noProof/>
        </w:rPr>
        <mc:AlternateContent>
          <mc:Choice Requires="wps">
            <w:drawing>
              <wp:anchor distT="0" distB="0" distL="114300" distR="114300" simplePos="0" relativeHeight="251648000" behindDoc="0" locked="0" layoutInCell="1" allowOverlap="1" wp14:anchorId="6F13F7ED" wp14:editId="6C1B291E">
                <wp:simplePos x="0" y="0"/>
                <wp:positionH relativeFrom="column">
                  <wp:posOffset>338455</wp:posOffset>
                </wp:positionH>
                <wp:positionV relativeFrom="paragraph">
                  <wp:posOffset>2018665</wp:posOffset>
                </wp:positionV>
                <wp:extent cx="1562100" cy="996315"/>
                <wp:effectExtent l="81280" t="85090" r="52070" b="13970"/>
                <wp:wrapNone/>
                <wp:docPr id="74" name="Šípka nahor 1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0" cy="996315"/>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107763" dir="13500000" algn="ctr" rotWithShape="0">
                            <a:srgbClr val="205867">
                              <a:alpha val="50000"/>
                            </a:srgbClr>
                          </a:outerShdw>
                        </a:effectLst>
                      </wps:spPr>
                      <wps:txbx>
                        <w:txbxContent>
                          <w:p w14:paraId="0A4C22E4" w14:textId="77777777" w:rsidR="00A84C26" w:rsidRDefault="00A84C26">
                            <w:pPr>
                              <w:jc w:val="center"/>
                              <w:rPr>
                                <w:sz w:val="18"/>
                                <w:szCs w:val="18"/>
                              </w:rPr>
                            </w:pPr>
                            <w:r>
                              <w:rPr>
                                <w:sz w:val="18"/>
                                <w:szCs w:val="18"/>
                              </w:rPr>
                              <w:t>Začiatok konania o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ípka nahor 1132" o:spid="_x0000_s1037" type="#_x0000_t68" style="position:absolute;left:0;text-align:left;margin-left:26.65pt;margin-top:158.95pt;width:123pt;height:78.4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r9f6QIAABMGAAAOAAAAZHJzL2Uyb0RvYy54bWysVElu2zAU3RfoHQjuGw2ejchBYCdFgQ4B&#10;0qJrmqQkNhTJkrTl9DS9QE9R9F79pCTXbrIqqoXwP//0/nh5dWgk2nPrhFYFzi5SjLiimglVFfjT&#10;x9tXc4ycJ4oRqRUv8CN3+Gr18sVla5Y817WWjFsETpRbtqbAtfdmmSSO1rwh7kIbrkBYatsQD6yt&#10;EmZJC94bmeRpOk1abZmxmnLn4HXTCfEq+i9LTv2HsnTcI1lgwObj38b/NvyT1SVZVpaYWtAeBvkH&#10;FA0RCoIeXW2IJ2hnxRNXjaBWO136C6qbRJeloDzmANlk6V/Z3NfE8JgLFMeZY5nc/3NL3+/vLBKs&#10;wLMxRoo00KNf33/+MA8EuFpblGWjPJSpNW4J2vfmzoZEnXmr6YNDSq9roip+ba1ua04YgMuCfnJm&#10;EBgHpmjbvtMMgpCd17Fih9I2wSHUAh1iYx6PjeEHjyg8ZpNpnqXQPwqyxWI6yiYxBFkO1sY6/5rr&#10;BgWiwDsT8cQAZP/W+dgb1idI2JcMo7KR0Oo9kWiSwtePwolOfqqTB6U+aO8xIcshbN96diukRFb7&#10;z8LXsXshlSh0AwiHjIYadc/OVtu1tAhQQGL5erNZ9zEq15l12h3C8HJmsbm+ubkdPWsB5QqAn5g8&#10;CQJZVAM4KRSCZkLB54vOHjlKJIfx6HoaBzxmGRxLhVqQ5LMhkJbiKDwDehbVnao1wsMBkKIp8LwL&#10;GVcyTNKNYpH2RMiOBqxShcg8rnZfUr0DF/c1axEToflZOptNRxg4WPRsFGsHs0NkBSeKeouf7dAZ&#10;3jydzKezbnykqUnXoOOcAI5eHeYcRncAELkTbHEHwth36+MP20PctSxWM+zEVrNH2AoYmTAS4ZIC&#10;AWv3DaMWrlKB3dcdsRwj+UbB1Cyy8TicsciMJ7McGHsq2Z5KiKLgqsAeko/k2nenb2esqOpQqpii&#10;0tewjaXww9p2qPodhssT8+qvZDhtp3zU+nPLV78BAAD//wMAUEsDBBQABgAIAAAAIQAzLZTA4wAA&#10;AAoBAAAPAAAAZHJzL2Rvd25yZXYueG1sTI/BTsMwDIbvSLxDZCQuaEvXlm0tTSc0BBPiREEqx6wx&#10;TaFxqibbCk9POMHR9qff319sJtOzI46usyRgMY+AITVWddQKeH25n62BOS9Jyd4SCvhCB5vy/KyQ&#10;ubInesZj5VsWQsjlUoD2fsg5d41GI93cDkjh9m5HI30Yx5arUZ5CuOl5HEVLbmRH4YOWA241Np/V&#10;wQiIn97o4TvN6u2gqzq+eryrq92HEJcX0+0NMI+T/4PhVz+oQxmc9vZAyrFewHWSBFJAslhlwAIQ&#10;Z1nY7AWkq3QNvCz4/wrlDwAAAP//AwBQSwECLQAUAAYACAAAACEAtoM4kv4AAADhAQAAEwAAAAAA&#10;AAAAAAAAAAAAAAAAW0NvbnRlbnRfVHlwZXNdLnhtbFBLAQItABQABgAIAAAAIQA4/SH/1gAAAJQB&#10;AAALAAAAAAAAAAAAAAAAAC8BAABfcmVscy8ucmVsc1BLAQItABQABgAIAAAAIQAqrr9f6QIAABMG&#10;AAAOAAAAAAAAAAAAAAAAAC4CAABkcnMvZTJvRG9jLnhtbFBLAQItABQABgAIAAAAIQAzLZTA4wAA&#10;AAoBAAAPAAAAAAAAAAAAAAAAAEMFAABkcnMvZG93bnJldi54bWxQSwUGAAAAAAQABADzAAAAUwYA&#10;AAAA&#10;" fillcolor="#92cddc" strokecolor="#92cddc" strokeweight="1pt">
                <v:fill color2="#daeef3" angle="135" focus="50%" type="gradient"/>
                <v:shadow on="t" color="#205867" opacity=".5" offset="-6pt,-6pt"/>
                <v:textbox>
                  <w:txbxContent>
                    <w:p w14:paraId="0A4C22E4" w14:textId="77777777" w:rsidR="00A84C26" w:rsidRDefault="00A84C26">
                      <w:pPr>
                        <w:jc w:val="center"/>
                        <w:rPr>
                          <w:sz w:val="18"/>
                          <w:szCs w:val="18"/>
                        </w:rPr>
                      </w:pPr>
                      <w:r>
                        <w:rPr>
                          <w:sz w:val="18"/>
                          <w:szCs w:val="18"/>
                        </w:rPr>
                        <w:t>Začiatok konania o ŽoNFP</w:t>
                      </w:r>
                    </w:p>
                  </w:txbxContent>
                </v:textbox>
              </v:shape>
            </w:pict>
          </mc:Fallback>
        </mc:AlternateContent>
      </w:r>
      <w:r>
        <w:rPr>
          <w:noProof/>
          <w:color w:val="4F81BD"/>
          <w:szCs w:val="22"/>
        </w:rPr>
        <w:drawing>
          <wp:inline distT="0" distB="0" distL="0" distR="0" wp14:anchorId="690564FF" wp14:editId="0F0089A5">
            <wp:extent cx="5591810" cy="3209290"/>
            <wp:effectExtent l="76200" t="0" r="104140" b="0"/>
            <wp:docPr id="3" name="Diagram 113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3" r:lo="rId84" r:qs="rId85" r:cs="rId86"/>
              </a:graphicData>
            </a:graphic>
          </wp:inline>
        </w:drawing>
      </w:r>
    </w:p>
    <w:p w14:paraId="3CCF4644" w14:textId="77777777" w:rsidR="00B650E5" w:rsidRDefault="00B650E5">
      <w:pPr>
        <w:numPr>
          <w:ilvl w:val="0"/>
          <w:numId w:val="89"/>
        </w:numPr>
        <w:spacing w:before="120" w:after="120"/>
        <w:ind w:left="426" w:hanging="426"/>
        <w:jc w:val="both"/>
        <w:rPr>
          <w:szCs w:val="22"/>
          <w:lang w:eastAsia="en-US"/>
        </w:rPr>
      </w:pPr>
      <w:r>
        <w:rPr>
          <w:szCs w:val="22"/>
          <w:lang w:eastAsia="en-US"/>
        </w:rPr>
        <w:t>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ITMS 2014+, verejne dostupné registre a pod.) a v relevantných prílohách, ktorými žiadateľ preukazuje splnenie vybraných podmienok poskytnutia príspevku.</w:t>
      </w:r>
    </w:p>
    <w:p w14:paraId="76C777A4" w14:textId="77777777" w:rsidR="00B650E5" w:rsidRDefault="00B650E5">
      <w:pPr>
        <w:numPr>
          <w:ilvl w:val="0"/>
          <w:numId w:val="89"/>
        </w:numPr>
        <w:spacing w:before="120" w:after="120"/>
        <w:ind w:left="426" w:hanging="426"/>
        <w:jc w:val="both"/>
        <w:rPr>
          <w:szCs w:val="22"/>
          <w:lang w:eastAsia="en-US"/>
        </w:rPr>
      </w:pPr>
      <w:r>
        <w:rPr>
          <w:szCs w:val="22"/>
          <w:lang w:eastAsia="en-US"/>
        </w:rPr>
        <w:t>Závery z administratívneho overenia RO zaznamenáva v kontrolnom zozname, ktorým RO zdokumentuje overenie splnenia podmienok poskytnutia príspevku a ktorého vzor</w:t>
      </w:r>
      <w:r>
        <w:rPr>
          <w:rStyle w:val="Odkaznapoznmkupodiarou"/>
          <w:szCs w:val="22"/>
          <w:lang w:eastAsia="en-US"/>
        </w:rPr>
        <w:footnoteReference w:id="56"/>
      </w:r>
      <w:r>
        <w:rPr>
          <w:szCs w:val="22"/>
          <w:lang w:eastAsia="en-US"/>
        </w:rPr>
        <w:t xml:space="preserve"> vydáva CKO.</w:t>
      </w:r>
    </w:p>
    <w:p w14:paraId="5D45BFB8" w14:textId="77777777" w:rsidR="00B650E5" w:rsidRPr="00F771BF" w:rsidRDefault="00B650E5" w:rsidP="008A6040">
      <w:pPr>
        <w:numPr>
          <w:ilvl w:val="0"/>
          <w:numId w:val="89"/>
        </w:numPr>
        <w:spacing w:before="120" w:after="120"/>
        <w:ind w:left="426" w:hanging="426"/>
        <w:jc w:val="both"/>
        <w:rPr>
          <w:lang w:eastAsia="en-US"/>
        </w:rPr>
      </w:pPr>
      <w:bookmarkStart w:id="211" w:name="kapitola_3211_ods_7"/>
      <w:r w:rsidRPr="00F771BF">
        <w:rPr>
          <w:lang w:eastAsia="en-US"/>
        </w:rPr>
        <w:t xml:space="preserve">RO posudzuje v rámci administratívneho overenia všetky podmienky poskytnutia príspevku alebo ich časť, ktoré sú určené vo výzve s výnimkou tých, ktoré sú úplne alebo </w:t>
      </w:r>
      <w:r w:rsidR="006D20EC">
        <w:rPr>
          <w:lang w:eastAsia="en-US"/>
        </w:rPr>
        <w:t>s</w:t>
      </w:r>
      <w:r w:rsidRPr="00F771BF">
        <w:rPr>
          <w:lang w:eastAsia="en-US"/>
        </w:rPr>
        <w:t>časti overované v rámci odborného hodnotenia ŽoNFP.</w:t>
      </w:r>
    </w:p>
    <w:p w14:paraId="57D8DA79" w14:textId="5A238732" w:rsidR="00B650E5" w:rsidRDefault="00B650E5">
      <w:pPr>
        <w:numPr>
          <w:ilvl w:val="0"/>
          <w:numId w:val="89"/>
        </w:numPr>
        <w:spacing w:before="120" w:after="120"/>
        <w:ind w:left="426" w:hanging="426"/>
        <w:jc w:val="both"/>
        <w:rPr>
          <w:szCs w:val="22"/>
          <w:lang w:eastAsia="en-US"/>
        </w:rPr>
      </w:pPr>
      <w:bookmarkStart w:id="212" w:name="kapitola_3211_ods_8"/>
      <w:bookmarkEnd w:id="211"/>
      <w:r>
        <w:rPr>
          <w:szCs w:val="22"/>
          <w:lang w:eastAsia="en-US"/>
        </w:rPr>
        <w:t>V prípade, ak na základe preskúmania ŽoNFP a jej príloh vzniknú pochybnosti o  pravdivosti alebo úplnosti ŽoNFP alebo jej príloh, RO vyzve žiadateľa na doplnenie neúplných údajov, vysvetlenie nejasností alebo vysvetlenie nepravdivých údajov zaslaním výzvy na doplnenie ŽoNFP (vzor</w:t>
      </w:r>
      <w:r>
        <w:rPr>
          <w:rStyle w:val="Odkaznapoznmkupodiarou"/>
          <w:szCs w:val="22"/>
          <w:lang w:eastAsia="en-US"/>
        </w:rPr>
        <w:footnoteReference w:id="57"/>
      </w:r>
      <w:r>
        <w:rPr>
          <w:szCs w:val="22"/>
          <w:lang w:eastAsia="en-US"/>
        </w:rPr>
        <w:t xml:space="preserve"> vydáva CKO). Lehota na doplnenie údajov na základe výzvy na doplnenie ŽoNFP </w:t>
      </w:r>
      <w:r w:rsidR="00B84909">
        <w:rPr>
          <w:szCs w:val="22"/>
          <w:lang w:eastAsia="en-US"/>
        </w:rPr>
        <w:t xml:space="preserve">nesmie </w:t>
      </w:r>
      <w:r>
        <w:rPr>
          <w:szCs w:val="22"/>
          <w:lang w:eastAsia="en-US"/>
        </w:rPr>
        <w:t xml:space="preserve">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w:t>
      </w:r>
      <w:r w:rsidR="00871B36">
        <w:rPr>
          <w:szCs w:val="22"/>
          <w:lang w:eastAsia="en-US"/>
        </w:rPr>
        <w:t xml:space="preserve">alebo vysvetlenie </w:t>
      </w:r>
      <w:r>
        <w:rPr>
          <w:szCs w:val="22"/>
          <w:lang w:eastAsia="en-US"/>
        </w:rPr>
        <w:t xml:space="preserve">údajov podľa tohto odseku, bezodkladne vykoná nápravu a zašle žiadateľovi opätovnú výzvu na doplnenie ŽoNFP, ktorou zabezpečí rovnaké aplikovanie možnosti nápravy vo vzťahu ku všetkým posudzovaným ŽoNFP. O dôvodoch a spôsobe opätovného dožiadania RO v rámci spisu ŽoNFP uchová dostatočnú dokumentáciu umožňujúcu overiť odôvodnenosť postupu. Lehota na predloženie požadovaných dokumentov musí byť totožná s lehotou, ktorá bola poskytnutá ostatným žiadateľom v rámci konania, pričom nesmie byť kratšia ako 5 pracovných dní. </w:t>
      </w:r>
    </w:p>
    <w:bookmarkEnd w:id="212"/>
    <w:p w14:paraId="35422BA0" w14:textId="77777777" w:rsidR="00B650E5" w:rsidRDefault="00B650E5">
      <w:pPr>
        <w:numPr>
          <w:ilvl w:val="0"/>
          <w:numId w:val="89"/>
        </w:numPr>
        <w:spacing w:before="120" w:after="120"/>
        <w:ind w:left="426" w:hanging="426"/>
        <w:jc w:val="both"/>
        <w:rPr>
          <w:szCs w:val="22"/>
          <w:lang w:eastAsia="en-US"/>
        </w:rPr>
      </w:pPr>
      <w:r>
        <w:rPr>
          <w:szCs w:val="22"/>
          <w:lang w:eastAsia="en-US"/>
        </w:rPr>
        <w:lastRenderedPageBreak/>
        <w:t>Po doplnení údajov zo strany žiadateľa RO overí, či žiadateľ predložil všetky požadované informácie a dokumenty a či ich predložil včas a opätovne overí splnenie podmienok poskytnutia príspevku. Opätovný výkon administratívneho overenia splnenia zaznamená RO v kontrolnom zozname, ktorého vzor</w:t>
      </w:r>
      <w:r>
        <w:rPr>
          <w:rStyle w:val="Odkaznapoznmkupodiarou"/>
          <w:szCs w:val="22"/>
          <w:lang w:eastAsia="en-US"/>
        </w:rPr>
        <w:footnoteReference w:id="58"/>
      </w:r>
      <w:r>
        <w:rPr>
          <w:szCs w:val="22"/>
          <w:lang w:eastAsia="en-US"/>
        </w:rPr>
        <w:t xml:space="preserve"> vydáva CKO. V prípade splnenia všetkých podmienok poskytnutia príspevku, ktorých overenie je súčasťou administratívneho overenia, je ŽoNFP postúpená na</w:t>
      </w:r>
      <w:r w:rsidR="0053742D">
        <w:rPr>
          <w:szCs w:val="22"/>
          <w:lang w:eastAsia="en-US"/>
        </w:rPr>
        <w:t> </w:t>
      </w:r>
      <w:r>
        <w:rPr>
          <w:szCs w:val="22"/>
          <w:lang w:eastAsia="en-US"/>
        </w:rPr>
        <w:t xml:space="preserve">odborné hodnotenie. </w:t>
      </w:r>
    </w:p>
    <w:p w14:paraId="46906088" w14:textId="77777777" w:rsidR="00B650E5" w:rsidRDefault="00B650E5">
      <w:pPr>
        <w:numPr>
          <w:ilvl w:val="0"/>
          <w:numId w:val="89"/>
        </w:numPr>
        <w:spacing w:before="120" w:after="120"/>
        <w:ind w:left="426" w:hanging="426"/>
        <w:jc w:val="both"/>
        <w:rPr>
          <w:szCs w:val="22"/>
          <w:lang w:eastAsia="en-US"/>
        </w:rPr>
      </w:pPr>
      <w:r>
        <w:rPr>
          <w:szCs w:val="22"/>
          <w:lang w:eastAsia="en-US"/>
        </w:rPr>
        <w:t>V prípade nesplnenia niektorej z podmienok poskytnutia príspevku</w:t>
      </w:r>
      <w:r w:rsidR="006F3B93">
        <w:rPr>
          <w:szCs w:val="22"/>
          <w:lang w:eastAsia="en-US"/>
        </w:rPr>
        <w:t>,</w:t>
      </w:r>
      <w:r>
        <w:rPr>
          <w:szCs w:val="22"/>
          <w:lang w:eastAsia="en-US"/>
        </w:rPr>
        <w:t xml:space="preserve"> a to ani po predložení doplnených údajov zo strany žiadateľa (ak bola žiadateľovi zaslaná výzva na doplnenie ŽoNFP podľa </w:t>
      </w:r>
      <w:hyperlink w:anchor="kapitola_3211_ods_8" w:tooltip="ods. 8 tejto kapitoly" w:history="1">
        <w:r>
          <w:rPr>
            <w:rStyle w:val="Hypertextovprepojenie"/>
          </w:rPr>
          <w:t>ods. 8 tejto kapitoly</w:t>
        </w:r>
      </w:hyperlink>
      <w:r>
        <w:rPr>
          <w:szCs w:val="22"/>
          <w:lang w:eastAsia="en-US"/>
        </w:rPr>
        <w:t xml:space="preserve">), RO rozhodne o neschválení ŽoNFP, pričom v rozhodnutí identifikuje, ktorá z podmienok nebola splnená.  </w:t>
      </w:r>
    </w:p>
    <w:p w14:paraId="2BD41F38" w14:textId="20067883" w:rsidR="00B650E5" w:rsidRDefault="00B650E5">
      <w:pPr>
        <w:numPr>
          <w:ilvl w:val="0"/>
          <w:numId w:val="89"/>
        </w:numPr>
        <w:spacing w:before="120" w:after="120"/>
        <w:ind w:left="426" w:hanging="426"/>
        <w:jc w:val="both"/>
        <w:rPr>
          <w:szCs w:val="22"/>
          <w:lang w:eastAsia="en-US"/>
        </w:rPr>
      </w:pPr>
      <w:r>
        <w:rPr>
          <w:szCs w:val="22"/>
          <w:lang w:eastAsia="en-US"/>
        </w:rPr>
        <w:t xml:space="preserve">RO zastaví konanie v prípade nedoplnenia žiadnych náležitostí, v prípade doručenia požadovaných náležitostí po stanovenom termíne alebo v prípade, ak aj po doplnení chýbajúcich náležitostí naďalej pretrvávajú pochybnosti o pravdivosti alebo úplnosti </w:t>
      </w:r>
      <w:r w:rsidR="008933F1">
        <w:rPr>
          <w:szCs w:val="22"/>
          <w:lang w:eastAsia="en-US"/>
        </w:rPr>
        <w:t>ŽoNFP</w:t>
      </w:r>
      <w:r>
        <w:rPr>
          <w:szCs w:val="22"/>
          <w:lang w:eastAsia="en-US"/>
        </w:rPr>
        <w:t>, na základe čoho nie je možné overiť splnenie niektorej z podmienok poskytnutia príspevku a rozhodnúť o</w:t>
      </w:r>
      <w:r w:rsidR="0053742D">
        <w:rPr>
          <w:szCs w:val="22"/>
          <w:lang w:eastAsia="en-US"/>
        </w:rPr>
        <w:t> </w:t>
      </w:r>
      <w:r>
        <w:rPr>
          <w:szCs w:val="22"/>
          <w:lang w:eastAsia="en-US"/>
        </w:rPr>
        <w:t>schválení ŽoNFP.</w:t>
      </w:r>
    </w:p>
    <w:p w14:paraId="03BE6AB5" w14:textId="3349E9EB" w:rsidR="00B650E5" w:rsidRDefault="0053588C">
      <w:pPr>
        <w:spacing w:before="120" w:after="120"/>
        <w:rPr>
          <w:bCs/>
          <w:iCs/>
          <w:sz w:val="18"/>
          <w:szCs w:val="18"/>
          <w:lang w:eastAsia="en-US"/>
        </w:rPr>
      </w:pPr>
      <w:r>
        <w:rPr>
          <w:noProof/>
        </w:rPr>
        <mc:AlternateContent>
          <mc:Choice Requires="wps">
            <w:drawing>
              <wp:anchor distT="0" distB="0" distL="114300" distR="114300" simplePos="0" relativeHeight="251644928" behindDoc="0" locked="0" layoutInCell="1" allowOverlap="1" wp14:anchorId="22AD2DD9" wp14:editId="68C4AC6E">
                <wp:simplePos x="0" y="0"/>
                <wp:positionH relativeFrom="column">
                  <wp:posOffset>511175</wp:posOffset>
                </wp:positionH>
                <wp:positionV relativeFrom="paragraph">
                  <wp:posOffset>1624330</wp:posOffset>
                </wp:positionV>
                <wp:extent cx="1257300" cy="895350"/>
                <wp:effectExtent l="44450" t="14605" r="50800" b="33020"/>
                <wp:wrapNone/>
                <wp:docPr id="73"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rgbClr val="92CDDC"/>
                            </a:gs>
                            <a:gs pos="50000">
                              <a:srgbClr val="DAEEF3"/>
                            </a:gs>
                            <a:gs pos="100000">
                              <a:srgbClr val="92CDDC"/>
                            </a:gs>
                          </a:gsLst>
                          <a:lin ang="18900000" scaled="1"/>
                        </a:gradFill>
                        <a:ln w="12700">
                          <a:solidFill>
                            <a:srgbClr val="92CDDC"/>
                          </a:solidFill>
                          <a:miter lim="800000"/>
                          <a:headEnd/>
                          <a:tailEnd/>
                        </a:ln>
                        <a:effectLst>
                          <a:outerShdw dist="28398" dir="3806097" algn="ctr" rotWithShape="0">
                            <a:srgbClr val="205867">
                              <a:alpha val="50000"/>
                            </a:srgbClr>
                          </a:outerShdw>
                        </a:effectLst>
                      </wps:spPr>
                      <wps:txbx>
                        <w:txbxContent>
                          <w:p w14:paraId="1B2740AA" w14:textId="77777777" w:rsidR="00A84C26" w:rsidRDefault="00A84C26">
                            <w:pPr>
                              <w:jc w:val="center"/>
                            </w:pPr>
                            <w:r>
                              <w:rPr>
                                <w:sz w:val="18"/>
                                <w:szCs w:val="18"/>
                              </w:rPr>
                              <w:t>Zaregis-trované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ípka nahor 1062" o:spid="_x0000_s1038" type="#_x0000_t68" style="position:absolute;margin-left:40.25pt;margin-top:127.9pt;width:99pt;height:70.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2z86wIAABEGAAAOAAAAZHJzL2Uyb0RvYy54bWysVNtuEzEQfUfiHyy/072kua26qaqkRUgF&#10;KhXEs2N7d029trGdbNqv4Qf4CsR/MfZuQgJ9QIh9WPkynjlnzsxcXO5aibbcOqFVibOzFCOuqGZC&#10;1SX++OHm1Qwj54liRGrFS/zIHb5cvHxx0ZmC57rRknGLwIlyRWdK3HhviiRxtOEtcWfacAWXlbYt&#10;8bC1dcIs6cB7K5M8TSdJpy0zVlPuHJyu+ku8iP6rilP/vqoc90iWGLD5+Lfxvw7/ZHFBitoS0wg6&#10;wCD/gKIlQkHQg6sV8QRtrPjDVSuo1U5X/ozqNtFVJSiPHIBNlv7G5r4hhkcukBxnDmly/88tfbe9&#10;s0iwEk9HGCnSgkY/vn7/Zh4I7BptUZZO8pCmzrgCrO/NnQ1EnbnV9MEhpZcNUTW/slZ3DScMwGXB&#10;Pjl5EDYOnqJ191YzCEI2XseM7SrbBoeQC7SLwjwehOE7jygcZvl4OkpBPwp3s/l4NI7KJaTYvzbW&#10;+ddctygsSrwxEU8MQLa3zkdt2ECQsM8ZRlUrQeotkWicwjeUwpFNfmyTB6PIixSDRwi/DztIz26E&#10;lMhq/0n4JqoXqMRLtwfhkNGQo/7Y2Xq9lBYBihLP8+VqtRxi1K5/1lv3CMPJyYvV1fX1zejZF1ng&#10;9DdBgEW9ByeFQiAmJHw2798jR4nkUB69prHAI8uARSrUBXGm+0BaisPlCdATau7YrBUeBoAULQjb&#10;h4wtGSrpWrG49kTIfg1YpQqReWztIaV6Ay7uG9YhJoL4+Ww0h7HDBPT5aJZO0vkUIyJrGFDUW/ys&#10;Pido83Q8m0z74pGmIb08hyoBFIM5VDkU7j583B0hix0Qir5vHr9b72KnZYd+Wmv2CD0BBRMKIsxR&#10;WEDTPWHUwUwqsfuyIZZjJN8oqJl5dn4ehljcnI+nOWzs8c36+IYoCq5K7IF8XC59P/g2xoq6gUhZ&#10;pKj0FfRiJfy+aXtUQwfD3Im8hhkZBtvxPlr9muSLnwAAAP//AwBQSwMEFAAGAAgAAAAhABKJRtjd&#10;AAAACgEAAA8AAABkcnMvZG93bnJldi54bWxMj8FOwzAMhu9IvENkJG4sXVFHKXUnBNp9dBSuWWOa&#10;iiapmnTr3h5zgqPtT7+/v9wudhAnmkLvHcJ6lYAg13rduw7h/bC7y0GEqJxWg3eEcKEA2+r6qlSF&#10;9mf3Rqc6doJDXCgUgolxLKQMrSGrwsqP5Pj25SerIo9TJ/WkzhxuB5kmyUZa1Tv+YNRIL4ba73q2&#10;CH2zn5tPe7H1x27aH15lYzK/Rry9WZ6fQERa4h8Mv/qsDhU7Hf3sdBADQp5kTCKkWcYVGEgfct4c&#10;Ee4fNznIqpT/K1Q/AAAA//8DAFBLAQItABQABgAIAAAAIQC2gziS/gAAAOEBAAATAAAAAAAAAAAA&#10;AAAAAAAAAABbQ29udGVudF9UeXBlc10ueG1sUEsBAi0AFAAGAAgAAAAhADj9If/WAAAAlAEAAAsA&#10;AAAAAAAAAAAAAAAALwEAAF9yZWxzLy5yZWxzUEsBAi0AFAAGAAgAAAAhAMtrbPzrAgAAEQYAAA4A&#10;AAAAAAAAAAAAAAAALgIAAGRycy9lMm9Eb2MueG1sUEsBAi0AFAAGAAgAAAAhABKJRtjdAAAACgEA&#10;AA8AAAAAAAAAAAAAAAAARQUAAGRycy9kb3ducmV2LnhtbFBLBQYAAAAABAAEAPMAAABPBgAAAAA=&#10;" fillcolor="#92cddc" strokecolor="#92cddc" strokeweight="1pt">
                <v:fill color2="#daeef3" angle="135" focus="50%" type="gradient"/>
                <v:shadow on="t" color="#205867" opacity=".5" offset="1pt"/>
                <v:textbox>
                  <w:txbxContent>
                    <w:p w14:paraId="1B2740AA" w14:textId="77777777" w:rsidR="00A84C26" w:rsidRDefault="00A84C26">
                      <w:pPr>
                        <w:jc w:val="center"/>
                      </w:pPr>
                      <w:r>
                        <w:rPr>
                          <w:sz w:val="18"/>
                          <w:szCs w:val="18"/>
                        </w:rPr>
                        <w:t>Zaregis-trované ŽoNFP</w:t>
                      </w:r>
                    </w:p>
                  </w:txbxContent>
                </v:textbox>
              </v:shape>
            </w:pict>
          </mc:Fallback>
        </mc:AlternateContent>
      </w:r>
      <w:r>
        <w:rPr>
          <w:noProof/>
          <w:color w:val="4F81BD"/>
          <w:szCs w:val="22"/>
        </w:rPr>
        <w:drawing>
          <wp:inline distT="0" distB="0" distL="0" distR="0" wp14:anchorId="5C17E68E" wp14:editId="1BF4B353">
            <wp:extent cx="5417185" cy="3042920"/>
            <wp:effectExtent l="0" t="57150" r="0" b="119380"/>
            <wp:docPr id="4" name="Diagram 106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8" r:lo="rId89" r:qs="rId90" r:cs="rId91"/>
              </a:graphicData>
            </a:graphic>
          </wp:inline>
        </w:drawing>
      </w:r>
    </w:p>
    <w:p w14:paraId="3B10608B" w14:textId="77777777" w:rsidR="00B650E5" w:rsidRDefault="00B650E5">
      <w:pPr>
        <w:spacing w:before="120" w:after="120"/>
        <w:jc w:val="center"/>
        <w:rPr>
          <w:bCs/>
          <w:iCs/>
          <w:sz w:val="18"/>
          <w:szCs w:val="18"/>
          <w:lang w:eastAsia="en-US"/>
        </w:rPr>
      </w:pPr>
      <w:r>
        <w:rPr>
          <w:bCs/>
          <w:iCs/>
          <w:sz w:val="18"/>
          <w:szCs w:val="18"/>
          <w:lang w:eastAsia="en-US"/>
        </w:rPr>
        <w:t>Model administratívneho overenia</w:t>
      </w:r>
    </w:p>
    <w:p w14:paraId="7E549693" w14:textId="77777777" w:rsidR="00B650E5" w:rsidRDefault="00B650E5" w:rsidP="00416B96">
      <w:pPr>
        <w:pStyle w:val="SRK4"/>
        <w:numPr>
          <w:ilvl w:val="3"/>
          <w:numId w:val="206"/>
        </w:numPr>
        <w:ind w:left="709" w:hanging="709"/>
      </w:pPr>
      <w:bookmarkStart w:id="213" w:name="_Toc453233996"/>
      <w:bookmarkStart w:id="214" w:name="_Toc501630048"/>
      <w:bookmarkStart w:id="215" w:name="kapitola_3212"/>
      <w:r>
        <w:t>Odborné hodnotenie a výber žiadostí o poskytnutie nenávratného finančného príspevk</w:t>
      </w:r>
      <w:bookmarkEnd w:id="213"/>
      <w:r>
        <w:t>u</w:t>
      </w:r>
      <w:bookmarkEnd w:id="214"/>
    </w:p>
    <w:bookmarkEnd w:id="215"/>
    <w:p w14:paraId="0E217CB1" w14:textId="77777777" w:rsidR="00B650E5" w:rsidRPr="007A00B7" w:rsidRDefault="00B650E5" w:rsidP="00DE5D89">
      <w:pPr>
        <w:numPr>
          <w:ilvl w:val="0"/>
          <w:numId w:val="90"/>
        </w:numPr>
        <w:spacing w:before="120" w:after="120"/>
        <w:ind w:left="426" w:hanging="426"/>
        <w:jc w:val="both"/>
        <w:rPr>
          <w:szCs w:val="22"/>
          <w:lang w:eastAsia="en-US"/>
        </w:rPr>
      </w:pPr>
      <w:r w:rsidRPr="009078F6">
        <w:rPr>
          <w:szCs w:val="22"/>
          <w:lang w:eastAsia="en-US"/>
        </w:rPr>
        <w:t xml:space="preserve">RO v rámci odborného hodnotenia ŽoNFP zabezpečí posúdenie ŽoNFP minimálne dvoma odbornými hodnotiteľmi, ktorí vyhodnotia v totožnom rozsahu ŽoNFP na základe hodnotiacich kritérií zverejnených vo výzve. </w:t>
      </w:r>
    </w:p>
    <w:p w14:paraId="35B94C5F"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Pred výkonom odborného hodnotenia RO zabezpečí, aby boli odborní hodnotitelia oboznámení s podmienkami a o spôsobe výkonu odborného hodnotenia. Počas odborného hodnotenia dodržiavanie pravidiel pre výkon odborného hodnotenia upravených v príručke pre odborných hodnotiteľov zabezpečuje zodpovedný zamestnanec RO. Zamestnanec RO svojou účasťou nesmie zasahovať do obsahového vyhodnotenia jednotlivých kritérií odborného hodnotenia. </w:t>
      </w:r>
      <w:r>
        <w:rPr>
          <w:szCs w:val="22"/>
          <w:lang w:eastAsia="en-US"/>
        </w:rPr>
        <w:lastRenderedPageBreak/>
        <w:t>Za</w:t>
      </w:r>
      <w:r w:rsidR="0053742D">
        <w:rPr>
          <w:szCs w:val="22"/>
          <w:lang w:eastAsia="en-US"/>
        </w:rPr>
        <w:t> </w:t>
      </w:r>
      <w:r>
        <w:rPr>
          <w:szCs w:val="22"/>
          <w:lang w:eastAsia="en-US"/>
        </w:rPr>
        <w:t>takýto postup sa nepovažuje to, ak zamestnanec RO informuje odborných hodnotiteľov o</w:t>
      </w:r>
      <w:r w:rsidR="0053742D">
        <w:rPr>
          <w:szCs w:val="22"/>
          <w:lang w:eastAsia="en-US"/>
        </w:rPr>
        <w:t> </w:t>
      </w:r>
      <w:r>
        <w:rPr>
          <w:szCs w:val="22"/>
          <w:lang w:eastAsia="en-US"/>
        </w:rPr>
        <w:t>prílohách alebo častiach ŽoNFP, ktoré môžu obsahovať informácie relevantné pre výkon odborného hodnotenia.</w:t>
      </w:r>
    </w:p>
    <w:p w14:paraId="20B3A996" w14:textId="359FBC48" w:rsidR="00B650E5" w:rsidRDefault="00B650E5">
      <w:pPr>
        <w:numPr>
          <w:ilvl w:val="0"/>
          <w:numId w:val="90"/>
        </w:numPr>
        <w:spacing w:before="120" w:after="120"/>
        <w:ind w:left="426" w:hanging="426"/>
        <w:jc w:val="both"/>
        <w:rPr>
          <w:szCs w:val="22"/>
          <w:lang w:eastAsia="en-US"/>
        </w:rPr>
      </w:pPr>
      <w:bookmarkStart w:id="216" w:name="kapitola_4124"/>
      <w:bookmarkStart w:id="217" w:name="kapitola_3212_ods_3"/>
      <w:bookmarkEnd w:id="216"/>
      <w:bookmarkEnd w:id="217"/>
      <w:r>
        <w:rPr>
          <w:szCs w:val="22"/>
          <w:lang w:eastAsia="en-US"/>
        </w:rPr>
        <w:t xml:space="preserve">RO oznamuje začatie výkonu odborného hodnotenia partnerom, ktorí sa zúčastnia procesu odborného hodnotenia ako pozorovatelia. RO zašle informáciu o mieste a čase konania odborného hodnotenia na adresu </w:t>
      </w:r>
      <w:hyperlink r:id="rId93" w:history="1">
        <w:r>
          <w:rPr>
            <w:rStyle w:val="Hypertextovprepojenie"/>
            <w:szCs w:val="22"/>
            <w:lang w:eastAsia="en-US"/>
          </w:rPr>
          <w:t>splnomocnenec_ros@minv.sk</w:t>
        </w:r>
      </w:hyperlink>
      <w:r>
        <w:rPr>
          <w:szCs w:val="22"/>
          <w:lang w:eastAsia="en-US"/>
        </w:rPr>
        <w:t xml:space="preserve"> najneskôr 5 pracovných dní pred</w:t>
      </w:r>
      <w:r w:rsidR="0053742D">
        <w:rPr>
          <w:szCs w:val="22"/>
          <w:lang w:eastAsia="en-US"/>
        </w:rPr>
        <w:t> </w:t>
      </w:r>
      <w:r>
        <w:rPr>
          <w:szCs w:val="22"/>
          <w:lang w:eastAsia="en-US"/>
        </w:rPr>
        <w:t>plánovaným termínom odborného hodnotenia. Mená a priezviská zástupcov partnerov a označenie zastupovanej inštitúcie sú zaslané na adresu odosielateľa e-mailu RO najneskôr jeden pracovný deň predchádzajúci výkonu odborného hodnotenia. V prípade, ak RO neobdrží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 nestrannosti, zachovaní dôvernosti informácií a vylúčení konfliktu záujmov. RO poučí partnerov pred ich účasťou o pravidlách vzťahujúcich sa na</w:t>
      </w:r>
      <w:r w:rsidR="0053742D">
        <w:rPr>
          <w:szCs w:val="22"/>
          <w:lang w:eastAsia="en-US"/>
        </w:rPr>
        <w:t> </w:t>
      </w:r>
      <w:r>
        <w:rPr>
          <w:szCs w:val="22"/>
          <w:lang w:eastAsia="en-US"/>
        </w:rPr>
        <w:t xml:space="preserve">postavenie pozorovateľa, najmä </w:t>
      </w:r>
      <w:r w:rsidR="008933F1">
        <w:rPr>
          <w:szCs w:val="22"/>
          <w:lang w:eastAsia="en-US"/>
        </w:rPr>
        <w:t xml:space="preserve">ich </w:t>
      </w:r>
      <w:r>
        <w:rPr>
          <w:szCs w:val="22"/>
          <w:lang w:eastAsia="en-US"/>
        </w:rPr>
        <w:t>poučí o povinnosti nerušiť výkon odborného hodnotenia a zákazu ovplyvňovať hodnotiteľov pri 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w:t>
      </w:r>
      <w:r w:rsidR="0053742D">
        <w:rPr>
          <w:szCs w:val="22"/>
          <w:lang w:eastAsia="en-US"/>
        </w:rPr>
        <w:t> </w:t>
      </w:r>
      <w:r>
        <w:rPr>
          <w:szCs w:val="22"/>
          <w:lang w:eastAsia="en-US"/>
        </w:rPr>
        <w:t xml:space="preserve">oprávnenie RO vylúčiť ho z účasti na odbornom hodnotení. RO túto informáciu zasiela elektronicky na adresu </w:t>
      </w:r>
      <w:hyperlink r:id="rId94" w:history="1">
        <w:r>
          <w:rPr>
            <w:rStyle w:val="Hypertextovprepojenie"/>
            <w:szCs w:val="22"/>
            <w:lang w:eastAsia="en-US"/>
          </w:rPr>
          <w:t>splnomocnenec_ros@minv.sk</w:t>
        </w:r>
      </w:hyperlink>
      <w:r>
        <w:rPr>
          <w:szCs w:val="22"/>
          <w:lang w:eastAsia="en-US"/>
        </w:rPr>
        <w:t xml:space="preserve">,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hodnotia. Vylúčenie partnera z dôvodu nerešpektovania pravidiel účasti na výkone odborného hodnotenia nemá vplyv na pokračovanie samotného odborného hodnotenia. </w:t>
      </w:r>
    </w:p>
    <w:p w14:paraId="277DA780" w14:textId="4C06DCD0" w:rsidR="00B650E5" w:rsidRDefault="00B650E5">
      <w:pPr>
        <w:numPr>
          <w:ilvl w:val="0"/>
          <w:numId w:val="90"/>
        </w:numPr>
        <w:spacing w:before="120" w:after="120"/>
        <w:ind w:left="426" w:hanging="426"/>
        <w:jc w:val="both"/>
        <w:rPr>
          <w:szCs w:val="22"/>
          <w:lang w:eastAsia="en-US"/>
        </w:rPr>
      </w:pPr>
      <w:bookmarkStart w:id="218" w:name="kapitola_3212_ods_4"/>
      <w:r>
        <w:rPr>
          <w:szCs w:val="22"/>
          <w:lang w:eastAsia="en-US"/>
        </w:rPr>
        <w:t>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oznámi okamžite túto skutočnosť RO, ktorý v závislosti od oznámenia vykoná potrebné nápravné opatrenia. Partner je povinný svoje zistenia predložiť RO v písomnej podobe, pričom môže požadovať potvrdeni</w:t>
      </w:r>
      <w:r w:rsidR="0053742D">
        <w:rPr>
          <w:szCs w:val="22"/>
          <w:lang w:eastAsia="en-US"/>
        </w:rPr>
        <w:t>e</w:t>
      </w:r>
      <w:r>
        <w:rPr>
          <w:szCs w:val="22"/>
          <w:lang w:eastAsia="en-US"/>
        </w:rPr>
        <w:t xml:space="preserve"> prevzatia danej informácie od zástupcu RO. RO je povinný informovať zástupcov partnerov o spôsobe vyhodnotenia podnetu a prijatých nápravných opatreniach.</w:t>
      </w:r>
    </w:p>
    <w:bookmarkEnd w:id="218"/>
    <w:p w14:paraId="1A8FA255" w14:textId="77777777" w:rsidR="00B650E5" w:rsidRDefault="00B650E5">
      <w:pPr>
        <w:numPr>
          <w:ilvl w:val="0"/>
          <w:numId w:val="90"/>
        </w:numPr>
        <w:spacing w:before="120" w:after="120"/>
        <w:ind w:left="426" w:hanging="426"/>
        <w:jc w:val="both"/>
        <w:rPr>
          <w:szCs w:val="22"/>
          <w:lang w:eastAsia="en-US"/>
        </w:rPr>
      </w:pPr>
      <w:r>
        <w:rPr>
          <w:szCs w:val="22"/>
          <w:lang w:eastAsia="en-US"/>
        </w:rPr>
        <w:t>Odborní hodnotitelia vykonávajú odborné hodnotenie v priestoroch určených RO, pričom nie sú oprávnení vynášať poskytnuté dokumenty mimo priestorov RO.</w:t>
      </w:r>
    </w:p>
    <w:p w14:paraId="13535FA3" w14:textId="77777777" w:rsidR="00B650E5" w:rsidRPr="007A00B7" w:rsidRDefault="00B650E5">
      <w:pPr>
        <w:numPr>
          <w:ilvl w:val="0"/>
          <w:numId w:val="90"/>
        </w:numPr>
        <w:spacing w:before="120" w:after="120"/>
        <w:ind w:left="426" w:hanging="426"/>
        <w:jc w:val="both"/>
        <w:rPr>
          <w:szCs w:val="22"/>
          <w:lang w:eastAsia="en-US"/>
        </w:rPr>
      </w:pPr>
      <w:r w:rsidRPr="009078F6">
        <w:rPr>
          <w:szCs w:val="22"/>
          <w:lang w:eastAsia="en-US"/>
        </w:rPr>
        <w:t>Ak súlad projektu s HP nebol na základe zadefinovanej podmienky poskytnutia príspevku overovaný v rámci administratívneho overovania a za účelom posúdenia súladu s HP boli po</w:t>
      </w:r>
      <w:r w:rsidR="0053742D">
        <w:rPr>
          <w:szCs w:val="22"/>
          <w:lang w:eastAsia="en-US"/>
        </w:rPr>
        <w:t> </w:t>
      </w:r>
      <w:r w:rsidRPr="009078F6">
        <w:rPr>
          <w:szCs w:val="22"/>
          <w:lang w:eastAsia="en-US"/>
        </w:rPr>
        <w:t xml:space="preserve">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w:t>
      </w:r>
      <w:r w:rsidRPr="009078F6">
        <w:rPr>
          <w:szCs w:val="22"/>
          <w:lang w:eastAsia="en-US"/>
        </w:rPr>
        <w:lastRenderedPageBreak/>
        <w:t xml:space="preserve">kritérií odborného hodnotenia týkajúcich sa posúdenia súladu s HP. </w:t>
      </w:r>
      <w:r w:rsidRPr="007A00B7">
        <w:rPr>
          <w:szCs w:val="22"/>
          <w:lang w:eastAsia="en-US"/>
        </w:rPr>
        <w:t>Za účelom dodržania princípu 4 očí pri  vyhodnotení osobitného hodnotiaceho kritéria týkajúceho sa HP je po dohode s gestorom možné postupovať nasledovne:</w:t>
      </w:r>
    </w:p>
    <w:p w14:paraId="0088B202" w14:textId="77777777" w:rsidR="00B650E5" w:rsidRPr="00DE5D89" w:rsidRDefault="00B650E5" w:rsidP="00DE5D89">
      <w:pPr>
        <w:numPr>
          <w:ilvl w:val="1"/>
          <w:numId w:val="90"/>
        </w:numPr>
        <w:spacing w:before="120" w:after="120"/>
        <w:ind w:left="851" w:hanging="425"/>
        <w:jc w:val="both"/>
        <w:rPr>
          <w:szCs w:val="22"/>
          <w:lang w:eastAsia="en-US"/>
        </w:rPr>
      </w:pPr>
      <w:r w:rsidRPr="007A00B7">
        <w:rPr>
          <w:szCs w:val="22"/>
          <w:lang w:eastAsia="en-US"/>
        </w:rPr>
        <w:t>Osobitné hodnotiace kritérium týkajúce sa HP je posudzované dvoma zástupcami gestora HP, resp. dvoma osobami poverenými gestorom HP</w:t>
      </w:r>
      <w:r w:rsidR="00B751A3">
        <w:rPr>
          <w:szCs w:val="22"/>
          <w:lang w:eastAsia="en-US"/>
        </w:rPr>
        <w:t>,</w:t>
      </w:r>
      <w:r w:rsidRPr="007A00B7">
        <w:rPr>
          <w:szCs w:val="22"/>
          <w:lang w:eastAsia="en-US"/>
        </w:rPr>
        <w:t xml:space="preserve"> alebo</w:t>
      </w:r>
    </w:p>
    <w:p w14:paraId="17219646" w14:textId="77777777" w:rsidR="00B650E5" w:rsidRPr="009078F6" w:rsidRDefault="00B650E5" w:rsidP="00DE5D89">
      <w:pPr>
        <w:numPr>
          <w:ilvl w:val="1"/>
          <w:numId w:val="90"/>
        </w:numPr>
        <w:spacing w:before="120" w:after="120"/>
        <w:ind w:left="851" w:hanging="425"/>
        <w:jc w:val="both"/>
        <w:rPr>
          <w:szCs w:val="22"/>
          <w:lang w:eastAsia="en-US"/>
        </w:rPr>
      </w:pPr>
      <w:r w:rsidRPr="00DE5D89">
        <w:rPr>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14:paraId="7E8EC0F6" w14:textId="77777777" w:rsidR="00B650E5" w:rsidRDefault="00B650E5">
      <w:pPr>
        <w:numPr>
          <w:ilvl w:val="0"/>
          <w:numId w:val="90"/>
        </w:numPr>
        <w:spacing w:before="120" w:after="120"/>
        <w:ind w:left="426" w:hanging="426"/>
        <w:jc w:val="both"/>
        <w:rPr>
          <w:szCs w:val="22"/>
          <w:lang w:eastAsia="en-US"/>
        </w:rPr>
      </w:pPr>
      <w:r>
        <w:rPr>
          <w:szCs w:val="22"/>
          <w:lang w:eastAsia="en-US"/>
        </w:rPr>
        <w:t>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zistí, že na posúdenie splnenia odborného hodnotenia je potrebné poskytnúť zo strany žiadateľa 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w:t>
      </w:r>
      <w:r w:rsidR="00B751A3">
        <w:rPr>
          <w:szCs w:val="22"/>
          <w:lang w:eastAsia="en-US"/>
        </w:rPr>
        <w:t> </w:t>
      </w:r>
      <w:r>
        <w:rPr>
          <w:szCs w:val="22"/>
          <w:lang w:eastAsia="en-US"/>
        </w:rPr>
        <w:t>rámci administratívneho overovania, ak sa v rámci odborného hodnotenia zistí, že RO opomenul v tejto fáze dožiadať kompletné informácie/dokumenty. RO v takomto prípade postupuje pri vypracovaní výzvy na doplnenie požadovaných informácií/dokumentov rovnakým spôsobom ako pri výzve na doplnenie ŽoNFP v rámci administratívneho overenia. RO určí v</w:t>
      </w:r>
      <w:r w:rsidR="00B751A3">
        <w:rPr>
          <w:szCs w:val="22"/>
          <w:lang w:eastAsia="en-US"/>
        </w:rPr>
        <w:t> </w:t>
      </w:r>
      <w:r>
        <w:rPr>
          <w:szCs w:val="22"/>
          <w:lang w:eastAsia="en-US"/>
        </w:rPr>
        <w:t>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 základe čoho nie je možné overiť splnenie niektorej z podmienok poskytnutia príspevku a rozhodnúť o schválení ŽoNFP, bude viesť k zastaveniu konania o</w:t>
      </w:r>
      <w:r w:rsidR="00B751A3">
        <w:rPr>
          <w:szCs w:val="22"/>
          <w:lang w:eastAsia="en-US"/>
        </w:rPr>
        <w:t> </w:t>
      </w:r>
      <w:r>
        <w:rPr>
          <w:szCs w:val="22"/>
          <w:lang w:eastAsia="en-US"/>
        </w:rPr>
        <w:t xml:space="preserve">ŽoNFP. V prípade, ak sa na základe predložených dokumentov v tejto fáze preukáže, že ŽoNFP nespĺňa podmienky poskytnutia príspevku, RO rozhodne o neschválení ŽoNFP. </w:t>
      </w:r>
    </w:p>
    <w:p w14:paraId="458D9849" w14:textId="77777777" w:rsidR="00B650E5" w:rsidRDefault="00B650E5">
      <w:pPr>
        <w:numPr>
          <w:ilvl w:val="0"/>
          <w:numId w:val="90"/>
        </w:numPr>
        <w:spacing w:before="120" w:after="120"/>
        <w:ind w:left="426" w:hanging="426"/>
        <w:jc w:val="both"/>
        <w:rPr>
          <w:szCs w:val="22"/>
          <w:lang w:eastAsia="en-US"/>
        </w:rPr>
      </w:pPr>
      <w:r>
        <w:rPr>
          <w:szCs w:val="22"/>
          <w:lang w:eastAsia="en-US"/>
        </w:rPr>
        <w:t>Ak počas procesu odborného hodnotenia odborní hodnotitelia nedospejú k zhodnému záveru ohľadne vyhodnotenia niektorého z kritérií odborného hodnotenia (</w:t>
      </w:r>
      <w:r w:rsidR="00C93F30">
        <w:rPr>
          <w:szCs w:val="22"/>
          <w:lang w:eastAsia="en-US"/>
        </w:rPr>
        <w:t xml:space="preserve">t. j. </w:t>
      </w:r>
      <w:r>
        <w:rPr>
          <w:szCs w:val="22"/>
          <w:lang w:eastAsia="en-US"/>
        </w:rPr>
        <w:t xml:space="preserve">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pripoja podpisy  odborných hodnotiteľov. Identifikovaný rozpor RO uchováva ako súčasť spisu ŽoNFP. Na základe tohto výstupu RO pridelí ŽoNFP na odborné hodnotenie </w:t>
      </w:r>
      <w:r>
        <w:rPr>
          <w:szCs w:val="22"/>
        </w:rPr>
        <w:t xml:space="preserve">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 ktorých nedospeli k zhodnému záveru by nemalo vplyv na skutočnosť, že ŽoNFP nespĺňa kritériá odborného hodnotenia. </w:t>
      </w:r>
    </w:p>
    <w:p w14:paraId="641814F0" w14:textId="77777777" w:rsidR="00B650E5" w:rsidRDefault="00B650E5">
      <w:pPr>
        <w:numPr>
          <w:ilvl w:val="0"/>
          <w:numId w:val="90"/>
        </w:numPr>
        <w:spacing w:before="120" w:after="120"/>
        <w:ind w:left="426" w:hanging="426"/>
        <w:jc w:val="both"/>
        <w:rPr>
          <w:szCs w:val="22"/>
          <w:lang w:eastAsia="en-US"/>
        </w:rPr>
      </w:pPr>
      <w:r>
        <w:rPr>
          <w:szCs w:val="22"/>
          <w:lang w:eastAsia="en-US"/>
        </w:rPr>
        <w:t>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w:t>
      </w:r>
      <w:r>
        <w:lastRenderedPageBreak/>
        <w:t>monitorovacím výborom alebo upravená príručka pre odborných hodnotiteľov bude aplikovaná na ďalšie vyhlásené výzvy.</w:t>
      </w:r>
    </w:p>
    <w:p w14:paraId="0AE83506" w14:textId="6A4D5B14" w:rsidR="00B650E5" w:rsidRDefault="00B650E5" w:rsidP="00650BA9">
      <w:pPr>
        <w:numPr>
          <w:ilvl w:val="0"/>
          <w:numId w:val="90"/>
        </w:numPr>
        <w:spacing w:before="120" w:after="120"/>
        <w:ind w:left="426" w:hanging="426"/>
        <w:jc w:val="both"/>
        <w:rPr>
          <w:szCs w:val="22"/>
          <w:lang w:eastAsia="en-US"/>
        </w:rPr>
      </w:pPr>
      <w:r w:rsidRPr="00A13E26">
        <w:rPr>
          <w:szCs w:val="22"/>
          <w:lang w:eastAsia="en-US"/>
        </w:rPr>
        <w:t>Konečným výstupom z odborného hodnotenia ŽoNFP je hodnotiaci hárok (vzor</w:t>
      </w:r>
      <w:r w:rsidRPr="00A13E26">
        <w:rPr>
          <w:vertAlign w:val="superscript"/>
        </w:rPr>
        <w:footnoteReference w:id="59"/>
      </w:r>
      <w:r w:rsidRPr="00A13E26">
        <w:rPr>
          <w:szCs w:val="22"/>
          <w:lang w:eastAsia="en-US"/>
        </w:rPr>
        <w:t xml:space="preserve"> vydáva CKO). Hodnotiaci hárok ako výstup z odborného hodnotenia je jeden spoločný hodnotiaci hárok obsahujúci závery, ktoré predstavujú spoločné posúdenie odborných hodnotiteľov. Procesný postup, ktorý predchádza vydaniu spoločného hodnotiaceho hárku (</w:t>
      </w:r>
      <w:r w:rsidR="00C93F30" w:rsidRPr="00A13E26">
        <w:rPr>
          <w:szCs w:val="22"/>
          <w:lang w:eastAsia="en-US"/>
        </w:rPr>
        <w:t xml:space="preserve">t. j. </w:t>
      </w:r>
      <w:r w:rsidRPr="00A13E26">
        <w:rPr>
          <w:szCs w:val="22"/>
          <w:lang w:eastAsia="en-US"/>
        </w:rPr>
        <w:t xml:space="preserve">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Ku každému hodnotiacemu kritériu je zároveň uvedený slovný komentár odborných hodnotiteľov, ktorý musí obsahovať jasné a čo najpresnejšie zdôvodnenie prideleného počtu bodov, </w:t>
      </w:r>
      <w:r w:rsidR="00C93F30" w:rsidRPr="00A13E26">
        <w:rPr>
          <w:szCs w:val="22"/>
          <w:lang w:eastAsia="en-US"/>
        </w:rPr>
        <w:t xml:space="preserve">t. j. </w:t>
      </w:r>
      <w:r w:rsidRPr="00A13E26">
        <w:rPr>
          <w:szCs w:val="22"/>
          <w:lang w:eastAsia="en-US"/>
        </w:rPr>
        <w:t>na základe čoho bol pridelený maximálny počet bodov, resp. na základe čoho došlo k zníženiu počtu bodov pri bodovaní. V</w:t>
      </w:r>
      <w:r w:rsidR="00CE5D37" w:rsidRPr="00A13E26">
        <w:rPr>
          <w:szCs w:val="22"/>
          <w:lang w:eastAsia="en-US"/>
        </w:rPr>
        <w:t> </w:t>
      </w:r>
      <w:r w:rsidRPr="00A13E26">
        <w:rPr>
          <w:szCs w:val="22"/>
          <w:lang w:eastAsia="en-US"/>
        </w:rPr>
        <w:t xml:space="preserve">prípade vylučovacích kritérií musí byť uvedené podrobné zdôvodnenie vyhodnotenia príslušného vylučovacieho kritéria. Taktiež v oboch prípadoch sa uvádza odkaz na konkrétnu časť ŽoNFP, prílohu/prílohy ŽoNFP, resp. inú dokumentáciu, na základe ktorej odborný hodnotiteľ vyhodnotil príslušné hodnotiace, bodové, resp. vylučovacie kritérium. </w:t>
      </w:r>
      <w:r w:rsidR="004A7447" w:rsidRPr="00A13E26">
        <w:rPr>
          <w:szCs w:val="22"/>
          <w:lang w:eastAsia="en-US"/>
        </w:rPr>
        <w:t xml:space="preserve">Vloženie </w:t>
      </w:r>
      <w:r w:rsidRPr="00A13E26">
        <w:rPr>
          <w:szCs w:val="22"/>
          <w:lang w:eastAsia="en-US"/>
        </w:rPr>
        <w:t>hodnotiaceho hárku</w:t>
      </w:r>
      <w:r w:rsidR="00B75B6A" w:rsidRPr="00A13E26">
        <w:rPr>
          <w:szCs w:val="22"/>
          <w:lang w:eastAsia="en-US"/>
        </w:rPr>
        <w:t xml:space="preserve">, resp. aj </w:t>
      </w:r>
      <w:r w:rsidR="00B75B6A" w:rsidRPr="00A13E26">
        <w:t>záverov z hodnotenia každej ŽoNFP</w:t>
      </w:r>
      <w:r w:rsidR="00A949CE">
        <w:t xml:space="preserve"> (ak sa RO rozhodne </w:t>
      </w:r>
      <w:r w:rsidR="00881B16">
        <w:t>závery</w:t>
      </w:r>
      <w:r w:rsidR="00A949CE">
        <w:t xml:space="preserve"> vypracúvať)</w:t>
      </w:r>
      <w:r w:rsidR="00B75B6A" w:rsidRPr="00A13E26">
        <w:t>, minimálne v rozsahu, ktorý uplatňuje EK v rámci programu Horizont 2020</w:t>
      </w:r>
      <w:r w:rsidRPr="00A13E26">
        <w:rPr>
          <w:szCs w:val="22"/>
          <w:lang w:eastAsia="en-US"/>
        </w:rPr>
        <w:t xml:space="preserve"> do</w:t>
      </w:r>
      <w:r w:rsidR="00A949CE">
        <w:rPr>
          <w:szCs w:val="22"/>
          <w:lang w:eastAsia="en-US"/>
        </w:rPr>
        <w:t> </w:t>
      </w:r>
      <w:r w:rsidRPr="00A13E26">
        <w:rPr>
          <w:szCs w:val="22"/>
          <w:lang w:eastAsia="en-US"/>
        </w:rPr>
        <w:t>ITMS 2014+ (vo formáte PDF, v súlade s Výnosom MF SR o informačných systémoch verejnej správy</w:t>
      </w:r>
      <w:r w:rsidR="00C6725F" w:rsidRPr="00A13E26">
        <w:rPr>
          <w:szCs w:val="22"/>
          <w:lang w:eastAsia="en-US"/>
        </w:rPr>
        <w:t>, bez identifikácie odborných hodnotiteľov</w:t>
      </w:r>
      <w:r w:rsidRPr="00A13E26">
        <w:rPr>
          <w:szCs w:val="22"/>
          <w:lang w:eastAsia="en-US"/>
        </w:rPr>
        <w:t>) zabezpečí RO</w:t>
      </w:r>
      <w:r w:rsidRPr="00A13E26">
        <w:rPr>
          <w:rStyle w:val="Odkaznapoznmkupodiarou"/>
          <w:szCs w:val="22"/>
          <w:lang w:eastAsia="en-US"/>
        </w:rPr>
        <w:footnoteReference w:id="60"/>
      </w:r>
      <w:r w:rsidRPr="00A13E26">
        <w:rPr>
          <w:szCs w:val="22"/>
          <w:lang w:eastAsia="en-US"/>
        </w:rPr>
        <w:t>, buď povereným zamestnancom RO alebo jedným z odborných hodnotiteľov, ktorý hodnotenie vykonal. RO je povinný archivovať záznamy práce a závery individuálnych odborných hodnotiteľov (</w:t>
      </w:r>
      <w:r w:rsidR="00C93F30" w:rsidRPr="00A13E26">
        <w:rPr>
          <w:szCs w:val="22"/>
          <w:lang w:eastAsia="en-US"/>
        </w:rPr>
        <w:t xml:space="preserve">t. j. </w:t>
      </w:r>
      <w:r w:rsidRPr="00A13E26">
        <w:rPr>
          <w:szCs w:val="22"/>
          <w:lang w:eastAsia="en-US"/>
        </w:rPr>
        <w:t xml:space="preserve"> </w:t>
      </w:r>
      <w:r w:rsidR="00502A29" w:rsidRPr="00A13E26">
        <w:rPr>
          <w:szCs w:val="22"/>
          <w:lang w:eastAsia="en-US"/>
        </w:rPr>
        <w:t xml:space="preserve">samostatné hodnotiace hárky </w:t>
      </w:r>
      <w:r w:rsidRPr="00A13E26">
        <w:rPr>
          <w:szCs w:val="22"/>
          <w:lang w:eastAsia="en-US"/>
        </w:rPr>
        <w:t>alebo ich čast</w:t>
      </w:r>
      <w:r w:rsidR="00502A29" w:rsidRPr="00A13E26">
        <w:rPr>
          <w:szCs w:val="22"/>
          <w:lang w:eastAsia="en-US"/>
        </w:rPr>
        <w:t>i</w:t>
      </w:r>
      <w:r w:rsidRPr="00A13E26">
        <w:rPr>
          <w:szCs w:val="22"/>
          <w:lang w:eastAsia="en-US"/>
        </w:rPr>
        <w:t xml:space="preserve"> ako formalizované proces</w:t>
      </w:r>
      <w:r w:rsidR="00502A29" w:rsidRPr="00A13E26">
        <w:rPr>
          <w:szCs w:val="22"/>
          <w:lang w:eastAsia="en-US"/>
        </w:rPr>
        <w:t>y</w:t>
      </w:r>
      <w:r w:rsidRPr="00A13E26">
        <w:rPr>
          <w:szCs w:val="22"/>
          <w:lang w:eastAsia="en-US"/>
        </w:rPr>
        <w:t xml:space="preserve"> pred vyplnením a odovzdaním spoločného hodnotiaceho hárku), ktoré predchádzajú vydaniu spoločného hodnotiaceho hárku. Ak ŽoNFP nesplnila podmienky odborného hodnotenia, RO rozhodne o neschválení ŽoNFP. V odôvodnení RO uvedie dôvody nesplnenia kritérií odborného hodnotenia na základe výstupov z hodnotiaceho hárku. RO je oprávnený vyzvať odborných hodnotiteľov na dopracovanie alebo bližší popis dôvodov nesplnenia kritérií odborného hodnotenia v prípade, ak odovzdaný hodnotiaci hárok neumožňuje</w:t>
      </w:r>
      <w:r>
        <w:rPr>
          <w:szCs w:val="22"/>
          <w:lang w:eastAsia="en-US"/>
        </w:rPr>
        <w:t xml:space="preserve"> RO vypracovať dostatočne jasné a presné odôvodnenie v rozhodnutí o neschválení ŽoNFP.</w:t>
      </w:r>
    </w:p>
    <w:p w14:paraId="0946E7FF" w14:textId="77777777" w:rsidR="00B650E5" w:rsidRDefault="00B650E5">
      <w:pPr>
        <w:numPr>
          <w:ilvl w:val="0"/>
          <w:numId w:val="90"/>
        </w:numPr>
        <w:spacing w:before="120" w:after="120"/>
        <w:ind w:left="426" w:hanging="426"/>
        <w:jc w:val="both"/>
        <w:rPr>
          <w:szCs w:val="22"/>
          <w:lang w:eastAsia="en-US"/>
        </w:rPr>
      </w:pPr>
      <w:r>
        <w:rPr>
          <w:szCs w:val="22"/>
          <w:lang w:eastAsia="en-US"/>
        </w:rPr>
        <w:t>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ITMS 2014+. Na základe takto vytvoreného poradia RO rozhodne o schválení ŽoNFP len do výšky finančných prostriedkov vyčlenených na</w:t>
      </w:r>
      <w:r w:rsidR="00A13E26">
        <w:rPr>
          <w:szCs w:val="22"/>
          <w:lang w:eastAsia="en-US"/>
        </w:rPr>
        <w:t> </w:t>
      </w:r>
      <w:r>
        <w:rPr>
          <w:szCs w:val="22"/>
          <w:lang w:eastAsia="en-US"/>
        </w:rPr>
        <w:t xml:space="preserve">výzvu, ak nedochádza k aplikácii výberových kritérií. </w:t>
      </w:r>
    </w:p>
    <w:p w14:paraId="003ED9B0" w14:textId="77777777" w:rsidR="00B650E5" w:rsidRDefault="00B650E5">
      <w:pPr>
        <w:numPr>
          <w:ilvl w:val="0"/>
          <w:numId w:val="90"/>
        </w:numPr>
        <w:spacing w:before="120" w:after="120"/>
        <w:ind w:left="425" w:hanging="425"/>
        <w:jc w:val="both"/>
        <w:rPr>
          <w:szCs w:val="22"/>
          <w:lang w:eastAsia="en-US"/>
        </w:rPr>
      </w:pPr>
      <w:r>
        <w:rPr>
          <w:szCs w:val="22"/>
          <w:lang w:eastAsia="en-US"/>
        </w:rPr>
        <w:t xml:space="preserve">RO spolu s kritériami odborného hodnotenia aplikuje aj rozlišovacie kritériá schválené pre prípady, ak sa na základe poradia vytvoreného zoradením ŽoNFP podľa počtu dosiahnutých bodov nachádza na hranici vytvorenej výškou alokácie viacero ŽoNFP s rovnakým počtom bodov. </w:t>
      </w:r>
    </w:p>
    <w:p w14:paraId="0631E352"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Ak RO v rámci implementácie OP aplikuje aj výberové kritériá, RO ich aplikáciou vytvorí poradie ŽoNFP, na základe ktorého rozhodne o schválení a neschválení ŽoNFP podľa výšky </w:t>
      </w:r>
      <w:r>
        <w:rPr>
          <w:szCs w:val="22"/>
          <w:lang w:eastAsia="en-US"/>
        </w:rPr>
        <w:lastRenderedPageBreak/>
        <w:t>disponibilnej alokácie vo výzve. RO zaznamená proces aplikácie výberových kritérií v písomnej podobe.</w:t>
      </w:r>
    </w:p>
    <w:p w14:paraId="42EA84FA" w14:textId="77777777" w:rsidR="00B650E5" w:rsidRDefault="0053588C">
      <w:pPr>
        <w:spacing w:before="120" w:after="120"/>
        <w:jc w:val="both"/>
        <w:rPr>
          <w:bCs/>
          <w:iCs/>
          <w:color w:val="4F81BD"/>
          <w:sz w:val="18"/>
          <w:szCs w:val="18"/>
          <w:lang w:eastAsia="en-US"/>
        </w:rPr>
      </w:pPr>
      <w:r>
        <w:rPr>
          <w:noProof/>
          <w:sz w:val="18"/>
          <w:szCs w:val="18"/>
        </w:rPr>
        <w:drawing>
          <wp:inline distT="0" distB="0" distL="0" distR="0" wp14:anchorId="1590338C" wp14:editId="581644C5">
            <wp:extent cx="5486400" cy="3185160"/>
            <wp:effectExtent l="0" t="57150" r="0" b="0"/>
            <wp:docPr id="5" name="Diagram 106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5" r:lo="rId96" r:qs="rId97" r:cs="rId98"/>
              </a:graphicData>
            </a:graphic>
          </wp:inline>
        </w:drawing>
      </w:r>
    </w:p>
    <w:p w14:paraId="39FC37E8" w14:textId="77777777" w:rsidR="00B650E5" w:rsidRDefault="00B650E5">
      <w:pPr>
        <w:spacing w:before="120" w:after="120"/>
        <w:jc w:val="center"/>
        <w:rPr>
          <w:bCs/>
          <w:iCs/>
          <w:sz w:val="18"/>
          <w:szCs w:val="18"/>
          <w:lang w:eastAsia="en-US"/>
        </w:rPr>
      </w:pPr>
      <w:r>
        <w:rPr>
          <w:bCs/>
          <w:iCs/>
          <w:sz w:val="18"/>
          <w:szCs w:val="18"/>
          <w:lang w:eastAsia="en-US"/>
        </w:rPr>
        <w:t>Model odborného hodnotenia ŽoNFP</w:t>
      </w:r>
    </w:p>
    <w:p w14:paraId="1BF9A51C" w14:textId="413D4FCC" w:rsidR="00B650E5" w:rsidRDefault="00B650E5" w:rsidP="00556762">
      <w:pPr>
        <w:numPr>
          <w:ilvl w:val="0"/>
          <w:numId w:val="90"/>
        </w:numPr>
        <w:spacing w:before="120" w:after="120"/>
        <w:ind w:left="426" w:hanging="426"/>
        <w:jc w:val="both"/>
        <w:rPr>
          <w:szCs w:val="22"/>
          <w:lang w:eastAsia="en-US"/>
        </w:rPr>
      </w:pPr>
      <w:bookmarkStart w:id="219" w:name="kapitola_3212_ods_15"/>
      <w:bookmarkStart w:id="220" w:name="kapitola_3212_ods_14"/>
      <w:r>
        <w:rPr>
          <w:szCs w:val="22"/>
          <w:lang w:eastAsia="en-US"/>
        </w:rPr>
        <w:t xml:space="preserve">V prípade, ak RO využil možnosť nahradiť niektoré dokumenty preukazujúce splnenie podmienok poskytnutia príspevku čestným vyhlásením, RO vyzve </w:t>
      </w:r>
      <w:r w:rsidR="0076109B">
        <w:rPr>
          <w:szCs w:val="22"/>
          <w:lang w:eastAsia="en-US"/>
        </w:rPr>
        <w:t xml:space="preserve">štandardne </w:t>
      </w:r>
      <w:r>
        <w:rPr>
          <w:szCs w:val="22"/>
          <w:lang w:eastAsia="en-US"/>
        </w:rPr>
        <w:t xml:space="preserve">pred vydaním rozhodnutia o ŽoNFP </w:t>
      </w:r>
      <w:r w:rsidR="0076109B">
        <w:rPr>
          <w:szCs w:val="22"/>
          <w:lang w:eastAsia="en-US"/>
        </w:rPr>
        <w:t xml:space="preserve">(vo výnimočných prípadoch pred uzatvorením zmluvy, viď kapitola 3.2.1.3 ods. 8) </w:t>
      </w:r>
      <w:r>
        <w:rPr>
          <w:szCs w:val="22"/>
          <w:lang w:eastAsia="en-US"/>
        </w:rPr>
        <w:t>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w:t>
      </w:r>
      <w:r w:rsidR="00A13E26">
        <w:rPr>
          <w:szCs w:val="22"/>
          <w:lang w:eastAsia="en-US"/>
        </w:rPr>
        <w:t> </w:t>
      </w:r>
      <w:r>
        <w:rPr>
          <w:szCs w:val="22"/>
          <w:lang w:eastAsia="en-US"/>
        </w:rPr>
        <w:t>všetkých žiadateľoch, ktorí sú dožadovaní na predloženie rovnakého typu dokumentu a nesmie byť kratšia ako 5 pracovných dní.</w:t>
      </w:r>
      <w:r w:rsidR="005241B8">
        <w:rPr>
          <w:szCs w:val="22"/>
          <w:lang w:eastAsia="en-US"/>
        </w:rPr>
        <w:t xml:space="preserve"> </w:t>
      </w:r>
      <w:r w:rsidR="005241B8" w:rsidRPr="005241B8">
        <w:rPr>
          <w:szCs w:val="22"/>
          <w:lang w:eastAsia="en-US"/>
        </w:rPr>
        <w:t xml:space="preserve">V prípade, ak ten istý subjekt preukazuje splnenie podmienok poskytnutia príspevku pre viacero ŽoNFP v rámci jednej výzvy, </w:t>
      </w:r>
      <w:r w:rsidR="005241B8">
        <w:rPr>
          <w:szCs w:val="22"/>
          <w:lang w:eastAsia="en-US"/>
        </w:rPr>
        <w:t xml:space="preserve">RO môže stanoviť, že </w:t>
      </w:r>
      <w:r w:rsidR="005241B8" w:rsidRPr="005241B8">
        <w:rPr>
          <w:szCs w:val="22"/>
          <w:lang w:eastAsia="en-US"/>
        </w:rPr>
        <w:t>predkladá relevantné dokumenty iba raz</w:t>
      </w:r>
      <w:r w:rsidR="005241B8">
        <w:rPr>
          <w:szCs w:val="22"/>
          <w:lang w:eastAsia="en-US"/>
        </w:rPr>
        <w:t>.</w:t>
      </w:r>
    </w:p>
    <w:p w14:paraId="533FF73E" w14:textId="77777777" w:rsidR="00B650E5" w:rsidRDefault="00B650E5">
      <w:pPr>
        <w:numPr>
          <w:ilvl w:val="0"/>
          <w:numId w:val="90"/>
        </w:numPr>
        <w:spacing w:before="120" w:after="120"/>
        <w:ind w:left="426" w:hanging="426"/>
        <w:jc w:val="both"/>
        <w:rPr>
          <w:szCs w:val="22"/>
          <w:lang w:eastAsia="en-US"/>
        </w:rPr>
      </w:pPr>
      <w:bookmarkStart w:id="221" w:name="kapitola_3212_ods_16"/>
      <w:bookmarkEnd w:id="219"/>
      <w:bookmarkEnd w:id="220"/>
      <w:r>
        <w:rPr>
          <w:szCs w:val="22"/>
          <w:lang w:eastAsia="en-US"/>
        </w:rPr>
        <w:t>Ak vo výzve, kde bola umožnená náhrada niektorých povinných príloh čestným vyhlásením, nie je dostatočná alokácia na podporu všetkých ŽoNFP, RO aplikuje výzvu na náhradu čestných vyhlásení:</w:t>
      </w:r>
    </w:p>
    <w:bookmarkEnd w:id="221"/>
    <w:p w14:paraId="57FCD7B8"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všetky ŽoNFP, ktoré splnili podmienky odborného hodnotenia, alebo</w:t>
      </w:r>
    </w:p>
    <w:p w14:paraId="19EC91A7" w14:textId="77777777" w:rsidR="00B650E5" w:rsidRDefault="00B650E5">
      <w:pPr>
        <w:pStyle w:val="Odsekzoznamu"/>
        <w:numPr>
          <w:ilvl w:val="0"/>
          <w:numId w:val="299"/>
        </w:numPr>
        <w:spacing w:before="120" w:after="120"/>
        <w:ind w:left="850" w:hanging="425"/>
        <w:contextualSpacing w:val="0"/>
        <w:jc w:val="both"/>
        <w:rPr>
          <w:szCs w:val="22"/>
          <w:lang w:eastAsia="en-US"/>
        </w:rPr>
      </w:pPr>
      <w:r>
        <w:rPr>
          <w:szCs w:val="22"/>
          <w:lang w:eastAsia="en-US"/>
        </w:rPr>
        <w:t>na ich pomernú časť. RO určí pomernú časť na základe poradia vytvoreného dosiahnutým počtom bodov odborného hodnotenia alebo aplikáciou výberových kritérií</w:t>
      </w:r>
      <w:r w:rsidR="006F3B93">
        <w:rPr>
          <w:szCs w:val="22"/>
          <w:lang w:eastAsia="en-US"/>
        </w:rPr>
        <w:t>,</w:t>
      </w:r>
      <w:r>
        <w:rPr>
          <w:szCs w:val="22"/>
          <w:lang w:eastAsia="en-US"/>
        </w:rPr>
        <w:t xml:space="preserve"> a to na základe kvalifikovaného odhadu pri zohľadnení výšky alokácie určenej na výzvu a skúseností z</w:t>
      </w:r>
      <w:r w:rsidR="00A13E26">
        <w:rPr>
          <w:szCs w:val="22"/>
          <w:lang w:eastAsia="en-US"/>
        </w:rPr>
        <w:t> </w:t>
      </w:r>
      <w:r>
        <w:rPr>
          <w:szCs w:val="22"/>
          <w:lang w:eastAsia="en-US"/>
        </w:rPr>
        <w:t>predchádzajúcich výziev vo vzťahu k preukazovaniu splnenia príslušných podmienok poskytnutia príspevku zo strany žiadateľov.</w:t>
      </w:r>
    </w:p>
    <w:p w14:paraId="239C650C" w14:textId="77777777" w:rsidR="00B650E5" w:rsidRDefault="00B650E5">
      <w:pPr>
        <w:numPr>
          <w:ilvl w:val="0"/>
          <w:numId w:val="90"/>
        </w:numPr>
        <w:tabs>
          <w:tab w:val="left" w:pos="426"/>
        </w:tabs>
        <w:spacing w:before="120" w:after="120"/>
        <w:ind w:left="426" w:hanging="426"/>
        <w:jc w:val="both"/>
        <w:rPr>
          <w:szCs w:val="22"/>
          <w:lang w:eastAsia="en-US"/>
        </w:rPr>
      </w:pPr>
      <w:r>
        <w:rPr>
          <w:szCs w:val="22"/>
          <w:lang w:eastAsia="en-US"/>
        </w:rPr>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p>
    <w:p w14:paraId="41DD4BBC" w14:textId="77777777" w:rsidR="00B650E5" w:rsidRDefault="00B650E5">
      <w:pPr>
        <w:numPr>
          <w:ilvl w:val="0"/>
          <w:numId w:val="90"/>
        </w:numPr>
        <w:spacing w:before="120" w:after="120"/>
        <w:ind w:left="426" w:hanging="426"/>
        <w:jc w:val="both"/>
        <w:rPr>
          <w:szCs w:val="22"/>
          <w:lang w:eastAsia="en-US"/>
        </w:rPr>
      </w:pPr>
      <w:r>
        <w:rPr>
          <w:szCs w:val="22"/>
          <w:lang w:eastAsia="en-US"/>
        </w:rPr>
        <w:lastRenderedPageBreak/>
        <w:t>Ak žiadateľ nedoplní žiadne náležitosti, doručí požadované náležitosti po stanovenom termíne alebo v prípade, ak aj po doplnení chýbajúcich náležitostí naďalej pretrvávajú pochybnosti o</w:t>
      </w:r>
      <w:r w:rsidR="00A13E26">
        <w:rPr>
          <w:szCs w:val="22"/>
          <w:lang w:eastAsia="en-US"/>
        </w:rPr>
        <w:t> </w:t>
      </w:r>
      <w:r>
        <w:rPr>
          <w:szCs w:val="22"/>
          <w:lang w:eastAsia="en-US"/>
        </w:rPr>
        <w:t>pravdivosti alebo úplnosti žiadosti, na základe čoho nie je možné overiť splnenie niektorej z</w:t>
      </w:r>
      <w:r w:rsidR="00A13E26">
        <w:rPr>
          <w:szCs w:val="22"/>
          <w:lang w:eastAsia="en-US"/>
        </w:rPr>
        <w:t> </w:t>
      </w:r>
      <w:r>
        <w:rPr>
          <w:szCs w:val="22"/>
          <w:lang w:eastAsia="en-US"/>
        </w:rPr>
        <w:t>podmienok poskytnutia príspevku a rozhodnúť o schválení ŽoNFP, RO rozhodne o zastavení konania.</w:t>
      </w:r>
    </w:p>
    <w:p w14:paraId="61AF44FC" w14:textId="77777777" w:rsidR="00B650E5" w:rsidRDefault="00B650E5">
      <w:pPr>
        <w:numPr>
          <w:ilvl w:val="0"/>
          <w:numId w:val="90"/>
        </w:numPr>
        <w:spacing w:before="120" w:after="120"/>
        <w:ind w:left="426" w:hanging="426"/>
        <w:jc w:val="both"/>
        <w:rPr>
          <w:szCs w:val="22"/>
          <w:lang w:eastAsia="en-US"/>
        </w:rPr>
      </w:pPr>
      <w:r>
        <w:rPr>
          <w:szCs w:val="22"/>
          <w:lang w:eastAsia="en-US"/>
        </w:rPr>
        <w:t xml:space="preserve">V prípade preukázania splnenia podmienok poskytnutia príspevku po predložení dokumentov podľa </w:t>
      </w:r>
      <w:hyperlink w:anchor="kapitola_3212_ods_16" w:tooltip="ods. 15 tejto kapitoly" w:history="1">
        <w:r>
          <w:rPr>
            <w:rStyle w:val="Hypertextovprepojenie"/>
            <w:szCs w:val="22"/>
            <w:lang w:eastAsia="en-US"/>
          </w:rPr>
          <w:t xml:space="preserve">ods. </w:t>
        </w:r>
        <w:r>
          <w:rPr>
            <w:rStyle w:val="Hypertextovprepojenie"/>
          </w:rPr>
          <w:t>1</w:t>
        </w:r>
        <w:r>
          <w:rPr>
            <w:rStyle w:val="Hypertextovprepojenie"/>
            <w:szCs w:val="22"/>
            <w:lang w:eastAsia="en-US"/>
          </w:rPr>
          <w:t>5 tejto kapitoly</w:t>
        </w:r>
      </w:hyperlink>
      <w:r>
        <w:rPr>
          <w:szCs w:val="22"/>
          <w:lang w:eastAsia="en-US"/>
        </w:rPr>
        <w:t>, RO rozhodne o schválení ŽoNFP. Súčasne RO rozhodne o neschválení tých ŽoNFP, na ktoré nepostačovala alokácia určená na výzvu.</w:t>
      </w:r>
    </w:p>
    <w:p w14:paraId="1BF661A6" w14:textId="4316786B" w:rsidR="00B650E5" w:rsidRDefault="0053588C">
      <w:pPr>
        <w:spacing w:before="120" w:after="120"/>
        <w:jc w:val="both"/>
        <w:rPr>
          <w:szCs w:val="22"/>
          <w:lang w:eastAsia="en-US"/>
        </w:rPr>
      </w:pPr>
      <w:r>
        <w:rPr>
          <w:noProof/>
        </w:rPr>
        <mc:AlternateContent>
          <mc:Choice Requires="wps">
            <w:drawing>
              <wp:anchor distT="0" distB="0" distL="114300" distR="114300" simplePos="0" relativeHeight="251649024" behindDoc="0" locked="0" layoutInCell="1" allowOverlap="1" wp14:anchorId="69591B45" wp14:editId="1A7820E0">
                <wp:simplePos x="0" y="0"/>
                <wp:positionH relativeFrom="column">
                  <wp:posOffset>-175260</wp:posOffset>
                </wp:positionH>
                <wp:positionV relativeFrom="paragraph">
                  <wp:posOffset>1911985</wp:posOffset>
                </wp:positionV>
                <wp:extent cx="1914525" cy="895350"/>
                <wp:effectExtent l="72390" t="35560" r="70485" b="21590"/>
                <wp:wrapNone/>
                <wp:docPr id="72"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914525" cy="895350"/>
                        </a:xfrm>
                        <a:prstGeom prst="upArrow">
                          <a:avLst>
                            <a:gd name="adj1" fmla="val 50000"/>
                            <a:gd name="adj2" fmla="val 50000"/>
                          </a:avLst>
                        </a:prstGeom>
                        <a:solidFill>
                          <a:srgbClr val="4F81BD"/>
                        </a:solidFill>
                        <a:ln w="25400">
                          <a:solidFill>
                            <a:srgbClr val="243F60"/>
                          </a:solidFill>
                          <a:miter lim="800000"/>
                          <a:headEnd/>
                          <a:tailEnd/>
                        </a:ln>
                      </wps:spPr>
                      <wps:txbx>
                        <w:txbxContent>
                          <w:p w14:paraId="2E51ACDE" w14:textId="77777777" w:rsidR="00A84C26" w:rsidRDefault="00A84C26">
                            <w:pPr>
                              <w:jc w:val="center"/>
                            </w:pPr>
                            <w:r>
                              <w:rPr>
                                <w:sz w:val="18"/>
                                <w:szCs w:val="18"/>
                              </w:rPr>
                              <w:t>Nedochádza k vydaniu rozhodnutí o ŽoNFP</w:t>
                            </w:r>
                          </w:p>
                          <w:p w14:paraId="0E618CB4" w14:textId="77777777" w:rsidR="00A84C26" w:rsidRDefault="00A84C26">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Šípka nahor 1134" o:spid="_x0000_s1039" type="#_x0000_t68" style="position:absolute;left:0;text-align:left;margin-left:-13.8pt;margin-top:150.55pt;width:150.75pt;height:70.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6rTwIAAJcEAAAOAAAAZHJzL2Uyb0RvYy54bWysVF1uEzEQfkfiDpbf6WY3u20adVOVliCk&#10;ApUKB3Bsb9bUf4ydbNrTcAFOgbgXs95NSQHxgMiD5dkZfzPffDM5O98ZTbYSgnK2pvnRhBJpuRPK&#10;rmv68cPyxYySEJkVTDsra3ovAz1fPH921vm5LFzrtJBAEMSGeedr2sbo51kWeCsNC0fOS4vOxoFh&#10;EU1YZwJYh+hGZ8Vkcpx1DoQHx2UI+PVqcNJFwm8ayeP7pgkyEl1TrC2mE9K56s9sccbma2C+VXws&#10;g/1DFYYpi0kfoa5YZGQD6jcoozi44Jp4xJ3JXNMoLhMHZJNPfmFz2zIvExdsTvCPbQr/D5a/294A&#10;UaKmJwUllhnU6PuXb1/9HUOrdUDyfFr2bep8mGP0rb+Bnmjw147fBXRkTzy9ETCGrLq3TiAa20SX&#10;WrNrwPQvkTTZJQXuHxWQu0g4fsxP87IqKko4+man1bRKEmVsvn/tIcTX0hnSX2q68RcArksJ2PY6&#10;xCSCGJkw8SmnpDEaNd0yTaoJ/kbND2KQ+R9iMOmIiLd92kTdaSWWSutkwHp1qYEgfE3L5Sx/edUn&#10;wCfhMExb0tW0qErM/3eMopwuj/esn2AYFXFXtDLYmp7IyKSVTLyyIk1yZEoPdyxA21GcXo9BwLhb&#10;7ZLa+XSv6cqJe5QL3LAbuMt4QeEfKOlwL2oaPm8YSEr0G4uDhwKV/SIlo6xOCjTg0LM69DDLEaqm&#10;PAIlg3EZh/XbeFDrFnPlqSHWXeCgNCruJ2qoa2SA0596Om5qv16Hdor6+X+y+AEAAP//AwBQSwME&#10;FAAGAAgAAAAhAAoVR8bdAAAACwEAAA8AAABkcnMvZG93bnJldi54bWxMj01OwzAQhfdI3MEaJHat&#10;nTRqIWRSURAHSMkBnHhIIvwTxU7r3h6zguXofXrvm+oYjWYXWvzkLEK2FcDI9k5NdkBoPz82T8B8&#10;kFZJ7Swh3MjDsb6/q2Sp3NU2dDmHgaUS60uJMIYwl5z7fiQj/dbNZFP25RYjQzqXgatFXlO50TwX&#10;Ys+NnGxaGOVMbyP13+fVIDSnW9d4Qa0phvi+nhrdqpghPj7E1xdggWL4g+FXP6lDnZw6t1rlmUbY&#10;5Id9QhF2IsuAJSI/7J6BdQhFkWfA64r//6H+AQAA//8DAFBLAQItABQABgAIAAAAIQC2gziS/gAA&#10;AOEBAAATAAAAAAAAAAAAAAAAAAAAAABbQ29udGVudF9UeXBlc10ueG1sUEsBAi0AFAAGAAgAAAAh&#10;ADj9If/WAAAAlAEAAAsAAAAAAAAAAAAAAAAALwEAAF9yZWxzLy5yZWxzUEsBAi0AFAAGAAgAAAAh&#10;ALj6jqtPAgAAlwQAAA4AAAAAAAAAAAAAAAAALgIAAGRycy9lMm9Eb2MueG1sUEsBAi0AFAAGAAgA&#10;AAAhAAoVR8bdAAAACwEAAA8AAAAAAAAAAAAAAAAAqQQAAGRycy9kb3ducmV2LnhtbFBLBQYAAAAA&#10;BAAEAPMAAACzBQAAAAA=&#10;" adj="10800" fillcolor="#4f81bd" strokecolor="#243f60" strokeweight="2pt">
                <v:path arrowok="t"/>
                <v:textbox>
                  <w:txbxContent>
                    <w:p w14:paraId="2E51ACDE" w14:textId="77777777" w:rsidR="00A84C26" w:rsidRDefault="00A84C26">
                      <w:pPr>
                        <w:jc w:val="center"/>
                      </w:pPr>
                      <w:r>
                        <w:rPr>
                          <w:sz w:val="18"/>
                          <w:szCs w:val="18"/>
                        </w:rPr>
                        <w:t>Nedochádza k vydaniu rozhodnutí o ŽoNFP</w:t>
                      </w:r>
                    </w:p>
                    <w:p w14:paraId="0E618CB4" w14:textId="77777777" w:rsidR="00A84C26" w:rsidRDefault="00A84C26">
                      <w:pPr>
                        <w:jc w:val="center"/>
                      </w:pPr>
                    </w:p>
                  </w:txbxContent>
                </v:textbox>
              </v:shape>
            </w:pict>
          </mc:Fallback>
        </mc:AlternateContent>
      </w:r>
      <w:r>
        <w:rPr>
          <w:noProof/>
        </w:rPr>
        <w:drawing>
          <wp:inline distT="0" distB="0" distL="0" distR="0" wp14:anchorId="0D92000E" wp14:editId="3518C1EC">
            <wp:extent cx="5483225" cy="3209290"/>
            <wp:effectExtent l="76200" t="0" r="136525" b="0"/>
            <wp:docPr id="6" name="Diagram 113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0" r:lo="rId101" r:qs="rId102" r:cs="rId103"/>
              </a:graphicData>
            </a:graphic>
          </wp:inline>
        </w:drawing>
      </w:r>
    </w:p>
    <w:p w14:paraId="560CD892" w14:textId="50168008" w:rsidR="00B650E5" w:rsidRDefault="00B650E5">
      <w:pPr>
        <w:spacing w:before="120" w:after="120"/>
        <w:jc w:val="center"/>
        <w:rPr>
          <w:sz w:val="18"/>
          <w:szCs w:val="18"/>
          <w:lang w:eastAsia="en-US"/>
        </w:rPr>
      </w:pPr>
      <w:r>
        <w:rPr>
          <w:sz w:val="18"/>
          <w:szCs w:val="18"/>
          <w:lang w:eastAsia="en-US"/>
        </w:rPr>
        <w:t>Postup pri náhrade čestných vyhlásení pred vydaním rozhodnutí o</w:t>
      </w:r>
      <w:r w:rsidR="00A16605">
        <w:rPr>
          <w:sz w:val="18"/>
          <w:szCs w:val="18"/>
          <w:lang w:eastAsia="en-US"/>
        </w:rPr>
        <w:t> </w:t>
      </w:r>
      <w:r>
        <w:rPr>
          <w:sz w:val="18"/>
          <w:szCs w:val="18"/>
          <w:lang w:eastAsia="en-US"/>
        </w:rPr>
        <w:t>ŽoNFP</w:t>
      </w:r>
    </w:p>
    <w:p w14:paraId="45DD4CE1" w14:textId="0711B2B6" w:rsidR="00A16605" w:rsidRDefault="00A16605" w:rsidP="00A16605">
      <w:pPr>
        <w:pStyle w:val="SRK5"/>
      </w:pPr>
      <w:bookmarkStart w:id="222" w:name="_Toc501630049"/>
      <w:r>
        <w:t xml:space="preserve">3.2.1.2.1 Osobitné postupy pri odbornom hodnotení </w:t>
      </w:r>
      <w:r w:rsidRPr="00A62283">
        <w:t>vedecko-výskumných projekto</w:t>
      </w:r>
      <w:r>
        <w:t>v</w:t>
      </w:r>
      <w:r w:rsidRPr="00A62283">
        <w:t xml:space="preserve"> </w:t>
      </w:r>
      <w:r w:rsidR="008D24EF">
        <w:t xml:space="preserve">(výskumno-vývojových projektov) </w:t>
      </w:r>
      <w:r w:rsidRPr="00A62283">
        <w:t>a</w:t>
      </w:r>
      <w:r>
        <w:t> </w:t>
      </w:r>
      <w:r w:rsidRPr="00A62283">
        <w:t>projekto</w:t>
      </w:r>
      <w:r>
        <w:t>v,</w:t>
      </w:r>
      <w:r w:rsidRPr="00A62283">
        <w:t xml:space="preserve"> zavádzajúcich inovácie s výškou NFP nad 10 miliónov </w:t>
      </w:r>
      <w:r>
        <w:t>EUR</w:t>
      </w:r>
      <w:bookmarkEnd w:id="222"/>
    </w:p>
    <w:p w14:paraId="55DB2688" w14:textId="0164A203" w:rsidR="00A16605" w:rsidRPr="002F3613" w:rsidRDefault="00220432" w:rsidP="00CA3BAA">
      <w:pPr>
        <w:numPr>
          <w:ilvl w:val="0"/>
          <w:numId w:val="91"/>
        </w:numPr>
        <w:spacing w:before="120" w:after="120"/>
        <w:ind w:left="426" w:hanging="426"/>
        <w:jc w:val="both"/>
        <w:rPr>
          <w:szCs w:val="22"/>
          <w:lang w:eastAsia="en-US"/>
        </w:rPr>
      </w:pPr>
      <w:r>
        <w:rPr>
          <w:szCs w:val="22"/>
          <w:lang w:eastAsia="en-US"/>
        </w:rPr>
        <w:t xml:space="preserve">Pri </w:t>
      </w:r>
      <w:r w:rsidR="008D24EF">
        <w:t xml:space="preserve">výskumno-vývojových </w:t>
      </w:r>
      <w:r w:rsidRPr="00A62283">
        <w:t>projekto</w:t>
      </w:r>
      <w:r>
        <w:t>ch</w:t>
      </w:r>
      <w:r w:rsidRPr="00A62283">
        <w:t xml:space="preserve"> a</w:t>
      </w:r>
      <w:r>
        <w:t> </w:t>
      </w:r>
      <w:r w:rsidRPr="00A62283">
        <w:t>projekto</w:t>
      </w:r>
      <w:r>
        <w:t>ch</w:t>
      </w:r>
      <w:r w:rsidRPr="00A62283">
        <w:t xml:space="preserve"> zavádzajúcich inovácie s výškou NFP nad 10 miliónov </w:t>
      </w:r>
      <w:r>
        <w:t>EUR</w:t>
      </w:r>
      <w:r w:rsidR="00D7136A" w:rsidRPr="00A62283">
        <w:rPr>
          <w:rStyle w:val="Odkaznapoznmkupodiarou"/>
        </w:rPr>
        <w:footnoteReference w:id="61"/>
      </w:r>
      <w:r>
        <w:t xml:space="preserve"> zabezpečí RO posúdenie ŽoNFP </w:t>
      </w:r>
      <w:r w:rsidRPr="00A62283">
        <w:t>skupinou expertov</w:t>
      </w:r>
      <w:r>
        <w:t>, ktorá sa skladá minimálne z troch odborných hodnotiteľov.</w:t>
      </w:r>
    </w:p>
    <w:p w14:paraId="53622498" w14:textId="2669727C" w:rsidR="00220432" w:rsidRPr="00CA3BAA" w:rsidRDefault="00220432" w:rsidP="002F3613">
      <w:pPr>
        <w:numPr>
          <w:ilvl w:val="0"/>
          <w:numId w:val="91"/>
        </w:numPr>
        <w:spacing w:before="120" w:after="120"/>
        <w:ind w:left="426" w:hanging="426"/>
        <w:jc w:val="both"/>
        <w:rPr>
          <w:szCs w:val="22"/>
          <w:lang w:eastAsia="en-US"/>
        </w:rPr>
      </w:pPr>
      <w:r w:rsidRPr="002F3613">
        <w:rPr>
          <w:szCs w:val="22"/>
          <w:lang w:eastAsia="en-US"/>
        </w:rPr>
        <w:t xml:space="preserve">Za </w:t>
      </w:r>
      <w:r w:rsidR="00B0297B">
        <w:t>výskumno-vývojové</w:t>
      </w:r>
      <w:r w:rsidRPr="002F3613">
        <w:rPr>
          <w:szCs w:val="22"/>
          <w:lang w:eastAsia="en-US"/>
        </w:rPr>
        <w:t xml:space="preserve"> projekty v zmysle odseku 1 sa považujú </w:t>
      </w:r>
      <w:r>
        <w:rPr>
          <w:szCs w:val="22"/>
          <w:lang w:eastAsia="en-US"/>
        </w:rPr>
        <w:t>ŽoNFP</w:t>
      </w:r>
      <w:r w:rsidRPr="002F3613">
        <w:rPr>
          <w:szCs w:val="22"/>
          <w:lang w:eastAsia="en-US"/>
        </w:rPr>
        <w:t>,</w:t>
      </w:r>
      <w:r>
        <w:rPr>
          <w:szCs w:val="22"/>
          <w:lang w:eastAsia="en-US"/>
        </w:rPr>
        <w:t xml:space="preserve"> zamerané na </w:t>
      </w:r>
      <w:r w:rsidR="00B0297B">
        <w:rPr>
          <w:szCs w:val="22"/>
          <w:lang w:eastAsia="en-US"/>
        </w:rPr>
        <w:t>excelent</w:t>
      </w:r>
      <w:r>
        <w:rPr>
          <w:szCs w:val="22"/>
          <w:lang w:eastAsia="en-US"/>
        </w:rPr>
        <w:t>ný výskum</w:t>
      </w:r>
      <w:r w:rsidR="00B0297B">
        <w:rPr>
          <w:szCs w:val="22"/>
          <w:lang w:eastAsia="en-US"/>
        </w:rPr>
        <w:t xml:space="preserve"> a na spoluprácu s hospodárskou praxou</w:t>
      </w:r>
      <w:r>
        <w:rPr>
          <w:szCs w:val="22"/>
          <w:lang w:eastAsia="en-US"/>
        </w:rPr>
        <w:t>.</w:t>
      </w:r>
      <w:r w:rsidRPr="002F3613">
        <w:rPr>
          <w:szCs w:val="22"/>
          <w:lang w:eastAsia="en-US"/>
        </w:rPr>
        <w:t xml:space="preserve"> </w:t>
      </w:r>
    </w:p>
    <w:p w14:paraId="7722B85A" w14:textId="3659D15B" w:rsidR="00220432" w:rsidRPr="00CA3BAA" w:rsidRDefault="00220432" w:rsidP="002F3613">
      <w:pPr>
        <w:spacing w:before="120" w:after="120"/>
        <w:ind w:left="426"/>
        <w:jc w:val="both"/>
        <w:rPr>
          <w:szCs w:val="22"/>
          <w:lang w:eastAsia="en-US"/>
        </w:rPr>
      </w:pPr>
      <w:r w:rsidRPr="00CA3BAA">
        <w:rPr>
          <w:szCs w:val="22"/>
          <w:lang w:eastAsia="en-US"/>
        </w:rPr>
        <w:t>Za projekty zavádzajúce inovácie sa v zmysle odseku 1 považujú ŽoNFP, ktorých cieľom, výstupom resp. výsledkom je zavádzanie nových alebo vylepšených produktov, služieb, procesov alebo technológií do praxe.</w:t>
      </w:r>
      <w:r w:rsidR="001E10D4">
        <w:rPr>
          <w:szCs w:val="22"/>
          <w:lang w:eastAsia="en-US"/>
        </w:rPr>
        <w:t xml:space="preserve"> Rozhodnutie o zatriedení ŽoNFP medzi projekty, zavádzajúce inovácie je v rozsahu vyššie uvedenej definície v kompetencii RO.</w:t>
      </w:r>
    </w:p>
    <w:p w14:paraId="0A074C6F" w14:textId="094F071D" w:rsidR="00220432" w:rsidRDefault="00220432" w:rsidP="00220432">
      <w:pPr>
        <w:numPr>
          <w:ilvl w:val="0"/>
          <w:numId w:val="91"/>
        </w:numPr>
        <w:spacing w:before="120" w:after="120"/>
        <w:ind w:left="426" w:hanging="426"/>
        <w:jc w:val="both"/>
      </w:pPr>
      <w:r>
        <w:t xml:space="preserve">RO zriadi za účelom odborného hodnotenia </w:t>
      </w:r>
      <w:r w:rsidR="00B0297B">
        <w:t>výskumno-vývojových</w:t>
      </w:r>
      <w:r w:rsidRPr="00A62283">
        <w:t xml:space="preserve"> projekto</w:t>
      </w:r>
      <w:r>
        <w:t>v</w:t>
      </w:r>
      <w:r w:rsidRPr="00A62283">
        <w:t xml:space="preserve"> a</w:t>
      </w:r>
      <w:r>
        <w:t> </w:t>
      </w:r>
      <w:r w:rsidRPr="00A62283">
        <w:t>projekto</w:t>
      </w:r>
      <w:r>
        <w:t>v</w:t>
      </w:r>
      <w:r w:rsidRPr="00A62283">
        <w:t xml:space="preserve"> zavádzajúcich inovácie s výškou NFP nad 10 miliónov </w:t>
      </w:r>
      <w:r>
        <w:t xml:space="preserve">EUR </w:t>
      </w:r>
      <w:r w:rsidR="005241B8">
        <w:t xml:space="preserve">pre každý takýto projekt </w:t>
      </w:r>
      <w:r>
        <w:t xml:space="preserve">hodnotiacu komisiu, ktorá je administratívne vedená zamestnancom RO. </w:t>
      </w:r>
      <w:r w:rsidR="000C73E0">
        <w:t xml:space="preserve">Zamestnanec RO nie je vyberaný prostredníctvom ITMS 2014+. </w:t>
      </w:r>
      <w:r>
        <w:t>Zamestnanec RO nezasahuje do</w:t>
      </w:r>
      <w:r w:rsidR="003F69FF">
        <w:t> </w:t>
      </w:r>
      <w:r>
        <w:t>procesu odborného hodnotenia</w:t>
      </w:r>
      <w:r w:rsidR="00E01D89">
        <w:t xml:space="preserve"> (zamestnanec </w:t>
      </w:r>
      <w:r w:rsidR="00F23E57">
        <w:t xml:space="preserve">RO môže formálne kontrolovať hodnotiaci hárok ŽoNFP, ak je to uvedené </w:t>
      </w:r>
      <w:r w:rsidR="00F23E57">
        <w:lastRenderedPageBreak/>
        <w:t>v príručke pre odborných hodnotiteľov)</w:t>
      </w:r>
      <w:r>
        <w:t xml:space="preserve">. </w:t>
      </w:r>
      <w:r w:rsidR="00776C3A">
        <w:t xml:space="preserve">Každý odborný hodnotiteľ vypracuje po vyhodnotení ŽoNFP individuálny hodnotiaci hárok. </w:t>
      </w:r>
      <w:r w:rsidR="00776C3A" w:rsidRPr="00556762">
        <w:t xml:space="preserve">Na zasadnutí hodnotiacej komisie musia </w:t>
      </w:r>
      <w:r w:rsidR="00776C3A">
        <w:t xml:space="preserve">odborní </w:t>
      </w:r>
      <w:r w:rsidR="00776C3A" w:rsidRPr="00556762">
        <w:t>hodnotitelia dospieť ku konsenzu a stanoviť počet bodov pre každú žiadosť, resp. pri projektoch kde sa neuplatňujú bodované kritériá, ale vylučovacie kritériá určiť</w:t>
      </w:r>
      <w:r w:rsidR="00776C3A">
        <w:t>,</w:t>
      </w:r>
      <w:r w:rsidR="00776C3A" w:rsidRPr="00556762">
        <w:t xml:space="preserve"> či projekt kritérium spĺňa. Konsenzus môže vychádzať z priemeru bodov udelených v rámci individuálnych hodnotiacich hárkov, </w:t>
      </w:r>
      <w:r w:rsidR="00776C3A">
        <w:t xml:space="preserve">odborní </w:t>
      </w:r>
      <w:r w:rsidR="00776C3A" w:rsidRPr="00556762">
        <w:t>hodnotitelia však v rámci diskusie môžu dospieť aj k inému celkovému skóre</w:t>
      </w:r>
      <w:r w:rsidR="00776C3A">
        <w:t xml:space="preserve">. </w:t>
      </w:r>
      <w:r>
        <w:t>Zamestnanec RO pripraví zo</w:t>
      </w:r>
      <w:r w:rsidR="003F69FF">
        <w:t> </w:t>
      </w:r>
      <w:r>
        <w:t xml:space="preserve">zasadnutia hodnotiacej komisie </w:t>
      </w:r>
      <w:r w:rsidR="001E5F6D">
        <w:t xml:space="preserve">písomný </w:t>
      </w:r>
      <w:r>
        <w:t>záznam, ktorý obsahuje popis priebehu zasadnutia hodnotiacej komisie. Na základe rozhodnutia RO</w:t>
      </w:r>
      <w:r w:rsidRPr="00FC6301">
        <w:t xml:space="preserve"> </w:t>
      </w:r>
      <w:r>
        <w:t xml:space="preserve">sa </w:t>
      </w:r>
      <w:r w:rsidRPr="00FC6301">
        <w:t xml:space="preserve">rokovanie hodnotiacej komisie </w:t>
      </w:r>
      <w:r>
        <w:t xml:space="preserve">môže </w:t>
      </w:r>
      <w:r w:rsidRPr="00FC6301">
        <w:t xml:space="preserve">uskutočniť </w:t>
      </w:r>
      <w:r w:rsidR="00776C3A">
        <w:t xml:space="preserve">v špecifických prípadoch aj </w:t>
      </w:r>
      <w:r w:rsidRPr="00FC6301">
        <w:t>za účasti verejnosti</w:t>
      </w:r>
      <w:r>
        <w:t>. Podrobnosti zasadnutia hodnotiacej komisie (ak je to relevantné) popíše RO v príručke pre</w:t>
      </w:r>
      <w:r w:rsidR="00776C3A">
        <w:t> </w:t>
      </w:r>
      <w:r>
        <w:t>odborných hodnotiteľov.</w:t>
      </w:r>
    </w:p>
    <w:p w14:paraId="42DB78CC" w14:textId="37D08AF3" w:rsidR="004362E6" w:rsidRDefault="00220432" w:rsidP="00220432">
      <w:pPr>
        <w:numPr>
          <w:ilvl w:val="0"/>
          <w:numId w:val="91"/>
        </w:numPr>
        <w:spacing w:before="120" w:after="120"/>
        <w:ind w:left="426" w:hanging="426"/>
        <w:jc w:val="both"/>
      </w:pPr>
      <w:r>
        <w:t xml:space="preserve">RO je oprávnený </w:t>
      </w:r>
      <w:r w:rsidR="007C3326">
        <w:t>vyberať</w:t>
      </w:r>
      <w:r>
        <w:t xml:space="preserve"> odborných hodnotiteľov z </w:t>
      </w:r>
      <w:r w:rsidRPr="00FC6301">
        <w:t>intern</w:t>
      </w:r>
      <w:r>
        <w:t>ých</w:t>
      </w:r>
      <w:r w:rsidRPr="00FC6301">
        <w:t xml:space="preserve"> zamestnanc</w:t>
      </w:r>
      <w:r>
        <w:t>ov</w:t>
      </w:r>
      <w:r w:rsidRPr="00FC6301">
        <w:t xml:space="preserve"> inštitúcie</w:t>
      </w:r>
      <w:r>
        <w:t>,</w:t>
      </w:r>
      <w:r w:rsidRPr="00FC6301">
        <w:t xml:space="preserve"> vecne zodpovednej (najmä v zmysle kompetenčného zákona) za oblasť, ktorá je </w:t>
      </w:r>
      <w:r>
        <w:t>podporo</w:t>
      </w:r>
      <w:r w:rsidRPr="00FC6301">
        <w:t>vaná vo</w:t>
      </w:r>
      <w:r>
        <w:t> </w:t>
      </w:r>
      <w:r w:rsidRPr="00FC6301">
        <w:t>výzve (pri zabezpečení oddeliteľnosti funkcií)</w:t>
      </w:r>
      <w:r>
        <w:t xml:space="preserve">. </w:t>
      </w:r>
    </w:p>
    <w:p w14:paraId="63F6DB41" w14:textId="38EA2371" w:rsidR="004362E6" w:rsidRDefault="004362E6" w:rsidP="00556762">
      <w:pPr>
        <w:spacing w:before="120" w:after="120"/>
        <w:ind w:left="426"/>
        <w:jc w:val="both"/>
      </w:pPr>
      <w:r>
        <w:t>RO je oprávnený pri odbornom hodnotení ŽoNFP zaradiť do hodnotiacej komisie buď iba odborných hodnotiteľov,</w:t>
      </w:r>
      <w:r w:rsidRPr="004362E6">
        <w:t xml:space="preserve"> </w:t>
      </w:r>
      <w:r>
        <w:t xml:space="preserve">vybraných z </w:t>
      </w:r>
      <w:r w:rsidRPr="00FC6301">
        <w:t>intern</w:t>
      </w:r>
      <w:r>
        <w:t>ých</w:t>
      </w:r>
      <w:r w:rsidRPr="00FC6301">
        <w:t xml:space="preserve"> zamestnanc</w:t>
      </w:r>
      <w:r>
        <w:t>ov</w:t>
      </w:r>
      <w:r w:rsidRPr="00FC6301">
        <w:t xml:space="preserve"> vecne zodpovednej inštitúcie</w:t>
      </w:r>
      <w:r>
        <w:t xml:space="preserve"> za oblasť, ktorá je podporovaná vo výzve, alebo iba odborných hodnotiteľov, vybraných v zmysle MP CKO č. 29 k výberu odborných hodnotiteľov, alebo kombináciu týchto 2 skupín odborných hodnotiteľov.</w:t>
      </w:r>
    </w:p>
    <w:p w14:paraId="4690CE91" w14:textId="662C4F97" w:rsidR="004362E6" w:rsidRDefault="004362E6" w:rsidP="00556762">
      <w:pPr>
        <w:spacing w:before="120" w:after="120"/>
        <w:ind w:left="426"/>
        <w:jc w:val="both"/>
      </w:pPr>
      <w:r>
        <w:t xml:space="preserve">V prípade kombinácie </w:t>
      </w:r>
      <w:r w:rsidR="00220432">
        <w:t xml:space="preserve">je </w:t>
      </w:r>
      <w:r>
        <w:t xml:space="preserve">RO </w:t>
      </w:r>
      <w:r w:rsidR="00220432">
        <w:t>povinný vyberať odborných hodnotiteľov podľa vopred stanoveného pomeru</w:t>
      </w:r>
      <w:r>
        <w:t>.</w:t>
      </w:r>
    </w:p>
    <w:p w14:paraId="550BFBFD" w14:textId="1D186242" w:rsidR="00220432" w:rsidRDefault="00220432" w:rsidP="00556762">
      <w:pPr>
        <w:spacing w:before="120" w:after="120"/>
        <w:ind w:left="426"/>
        <w:jc w:val="both"/>
      </w:pPr>
      <w:r>
        <w:t>V prípade výberu odborných hodnotiteľov z interných zamestnancov vecne zodpovednej inštitúcie, RO podrobne popíše v záverečnej správe výzvy</w:t>
      </w:r>
      <w:r>
        <w:rPr>
          <w:rStyle w:val="Odkaznapoznmkupodiarou"/>
        </w:rPr>
        <w:footnoteReference w:id="62"/>
      </w:r>
      <w:r>
        <w:t xml:space="preserve"> dôvody </w:t>
      </w:r>
      <w:r w:rsidR="004362E6">
        <w:t xml:space="preserve">ich </w:t>
      </w:r>
      <w:r>
        <w:t>využitia.</w:t>
      </w:r>
    </w:p>
    <w:p w14:paraId="68316177" w14:textId="4B7E43CF" w:rsidR="000C73E0" w:rsidRDefault="000C73E0" w:rsidP="00556762">
      <w:pPr>
        <w:spacing w:before="120" w:after="120"/>
        <w:ind w:left="426"/>
        <w:jc w:val="both"/>
      </w:pPr>
      <w:r>
        <w:t>Odborn</w:t>
      </w:r>
      <w:r w:rsidR="006C07BB">
        <w:t>í</w:t>
      </w:r>
      <w:r>
        <w:t xml:space="preserve"> hodnotitelia sú vyberaní prostredníctvom ITMS 2014+.</w:t>
      </w:r>
    </w:p>
    <w:p w14:paraId="6C1500F5" w14:textId="604EF2A7" w:rsidR="00A16605" w:rsidRPr="002F3613" w:rsidRDefault="00220432" w:rsidP="00220432">
      <w:pPr>
        <w:numPr>
          <w:ilvl w:val="0"/>
          <w:numId w:val="91"/>
        </w:numPr>
        <w:spacing w:before="120" w:after="120"/>
        <w:ind w:left="426" w:hanging="426"/>
        <w:jc w:val="both"/>
      </w:pPr>
      <w:r>
        <w:t>RO postupuje pri procesoch, neupravených v tejto kapitole</w:t>
      </w:r>
      <w:r w:rsidR="007B4EC6">
        <w:t>,</w:t>
      </w:r>
      <w:r>
        <w:t xml:space="preserve"> v zmysle príslušných ustanovení Systému riadenia EŠIF.</w:t>
      </w:r>
      <w:r w:rsidR="00E433A7">
        <w:t xml:space="preserve"> </w:t>
      </w:r>
    </w:p>
    <w:p w14:paraId="7CD2B82D" w14:textId="77777777" w:rsidR="00B650E5" w:rsidRDefault="00B650E5" w:rsidP="0045286B">
      <w:pPr>
        <w:pStyle w:val="SRK4"/>
      </w:pPr>
      <w:bookmarkStart w:id="223" w:name="_Toc453233997"/>
      <w:bookmarkStart w:id="224" w:name="_Toc501630050"/>
      <w:r>
        <w:t>3.2.1.3 Postup pri vydávaní rozhodnutí a náležitosti rozhodnutia</w:t>
      </w:r>
      <w:bookmarkEnd w:id="223"/>
      <w:bookmarkEnd w:id="224"/>
      <w:r>
        <w:t xml:space="preserve"> </w:t>
      </w:r>
    </w:p>
    <w:p w14:paraId="3AF09C3F"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Na základe skutočností zistených v rámci konania o ŽoNFP vydá RO o ŽoNFP:</w:t>
      </w:r>
    </w:p>
    <w:p w14:paraId="3BA6E724"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schválení </w:t>
      </w:r>
    </w:p>
    <w:p w14:paraId="0CFE2A25"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 xml:space="preserve">Rozhodnutie o neschválení </w:t>
      </w:r>
    </w:p>
    <w:p w14:paraId="0DA38DA9" w14:textId="77777777" w:rsidR="00B650E5" w:rsidRDefault="00B650E5">
      <w:pPr>
        <w:numPr>
          <w:ilvl w:val="0"/>
          <w:numId w:val="92"/>
        </w:numPr>
        <w:spacing w:before="120" w:after="120"/>
        <w:ind w:left="850" w:hanging="425"/>
        <w:jc w:val="both"/>
        <w:rPr>
          <w:bCs/>
          <w:iCs/>
          <w:szCs w:val="22"/>
          <w:lang w:eastAsia="en-US"/>
        </w:rPr>
      </w:pPr>
      <w:r>
        <w:rPr>
          <w:bCs/>
          <w:iCs/>
          <w:szCs w:val="22"/>
          <w:lang w:eastAsia="en-US"/>
        </w:rPr>
        <w:t>Rozhodnutie o zastavení konania</w:t>
      </w:r>
    </w:p>
    <w:p w14:paraId="567E330E"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 xml:space="preserve">RO na základe posúdenia splnenia podmienok poskytnutia príspevku určených vo výzve rozhodne o schválení alebo neschválení ŽoNFP. </w:t>
      </w:r>
    </w:p>
    <w:p w14:paraId="427995CC"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schválení ŽoNFP RO konštatuje splnenie všetkých podmienok poskytnutia príspevku stanovených vo výzve a zároveň deklaruje dostatok finančných prostriedkov na</w:t>
      </w:r>
      <w:r w:rsidR="00A13E26">
        <w:rPr>
          <w:szCs w:val="22"/>
          <w:lang w:eastAsia="en-US"/>
        </w:rPr>
        <w:t> </w:t>
      </w:r>
      <w:r>
        <w:rPr>
          <w:szCs w:val="22"/>
          <w:lang w:eastAsia="en-US"/>
        </w:rPr>
        <w:t xml:space="preserve">financovanie schváleného projektu na základe alokácie určenej vo výzve. </w:t>
      </w:r>
    </w:p>
    <w:p w14:paraId="4D749AA9"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 xml:space="preserve">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w:t>
      </w:r>
      <w:r>
        <w:rPr>
          <w:szCs w:val="22"/>
          <w:lang w:eastAsia="en-US"/>
        </w:rPr>
        <w:lastRenderedPageBreak/>
        <w:t>určených vo výzve. Rozhodnutie o neschválení pri ŽoNFP, ktorá bola predmetom odborného hodnotenia vždy obsahuje aj identifikáciu dôvodov, na základe ktorých boli znížené body získané v rámci odborného hodnotenia, resp. boli zaradené do skupiny neschválených ŽoNFP z dôvodu aplikácie výberových kritérií</w:t>
      </w:r>
      <w:r w:rsidR="007324D5">
        <w:rPr>
          <w:szCs w:val="22"/>
          <w:lang w:eastAsia="en-US"/>
        </w:rPr>
        <w:t>,</w:t>
      </w:r>
      <w:r>
        <w:rPr>
          <w:szCs w:val="22"/>
          <w:lang w:eastAsia="en-US"/>
        </w:rPr>
        <w:t xml:space="preserve"> a to bez ohľadu na to, v akej fáze došlo k vydaniu rozhodnutia o neschválení ŽoNFP.</w:t>
      </w:r>
    </w:p>
    <w:p w14:paraId="0D5E2049"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Rozhodnutím o zastavení konania RO konštatuje, že v konaní o ŽoNFP nastala niektorá zo</w:t>
      </w:r>
      <w:r w:rsidR="00913468">
        <w:rPr>
          <w:szCs w:val="22"/>
          <w:lang w:eastAsia="en-US"/>
        </w:rPr>
        <w:t> </w:t>
      </w:r>
      <w:r>
        <w:rPr>
          <w:szCs w:val="22"/>
          <w:lang w:eastAsia="en-US"/>
        </w:rPr>
        <w:t>skutočností stanovených v  § 20 zákona o príspevku z EŠIF. Rozhodnutím o zastavení konania RO konštatuje neúplnosť podania, resp. nemožnosť posúdenia splnenia/nesplnenia podmienok poskytnutia príspevku bez priameho výroku o splnení/nesplnení podmienok poskytnutia 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p>
    <w:p w14:paraId="6F0950A8"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Jedným z dôvodov zastavenia konania je skutočnosť, že žiadateľ vzal svoju ŽoNFP späť. Žiadateľ je oprávnený kedykoľvek počas konania o  ŽoNFP vziať svoju ŽoNFP späť. Za</w:t>
      </w:r>
      <w:r w:rsidR="00913468">
        <w:rPr>
          <w:szCs w:val="22"/>
          <w:lang w:eastAsia="en-US"/>
        </w:rPr>
        <w:t> </w:t>
      </w:r>
      <w:r>
        <w:rPr>
          <w:szCs w:val="22"/>
          <w:lang w:eastAsia="en-US"/>
        </w:rPr>
        <w:t>späťvzatie ŽoNFP je možné považovať akékoľvek podanie žiadateľa adresované RO v písomnej podobe, z ktorého je možné jednoznačne identifikovať vôľu žiadateľa vziať ŽoNFP späť. V prípade späťvzatia RO konanie o ŽoNFP rozhodnutím zastaví. RO zastaví konanie ku</w:t>
      </w:r>
      <w:r w:rsidR="00913468">
        <w:rPr>
          <w:szCs w:val="22"/>
          <w:lang w:eastAsia="en-US"/>
        </w:rPr>
        <w:t> </w:t>
      </w:r>
      <w:r>
        <w:rPr>
          <w:szCs w:val="22"/>
          <w:lang w:eastAsia="en-US"/>
        </w:rPr>
        <w:t xml:space="preserve">dňu doručenia späťvzatia, </w:t>
      </w:r>
      <w:r w:rsidR="00C93F30">
        <w:rPr>
          <w:szCs w:val="22"/>
          <w:lang w:eastAsia="en-US"/>
        </w:rPr>
        <w:t xml:space="preserve">t. j. </w:t>
      </w:r>
      <w:r>
        <w:rPr>
          <w:szCs w:val="22"/>
          <w:lang w:eastAsia="en-US"/>
        </w:rPr>
        <w:t>okamihom, kedy sa prejav vôle žiadateľa dostal do sféry dispozície RO (</w:t>
      </w:r>
      <w:r w:rsidR="00C93F30">
        <w:rPr>
          <w:szCs w:val="22"/>
          <w:lang w:eastAsia="en-US"/>
        </w:rPr>
        <w:t xml:space="preserve">t. j. </w:t>
      </w:r>
      <w:r>
        <w:rPr>
          <w:szCs w:val="22"/>
          <w:lang w:eastAsia="en-US"/>
        </w:rPr>
        <w:t>doručenie na podateľňu RO, prevzatie podania zamestnancom RO oprávneným na príjem  písomností a pod.)</w:t>
      </w:r>
      <w:r w:rsidR="00913468">
        <w:rPr>
          <w:szCs w:val="22"/>
          <w:lang w:eastAsia="en-US"/>
        </w:rPr>
        <w:t>.</w:t>
      </w:r>
    </w:p>
    <w:p w14:paraId="53682974" w14:textId="67C0FD69" w:rsidR="00B650E5" w:rsidRDefault="0053588C">
      <w:pPr>
        <w:spacing w:before="120" w:after="120"/>
        <w:jc w:val="both"/>
        <w:rPr>
          <w:bCs/>
          <w:iCs/>
          <w:noProof/>
          <w:szCs w:val="22"/>
          <w:lang w:eastAsia="en-US"/>
        </w:rPr>
      </w:pPr>
      <w:r>
        <w:rPr>
          <w:noProof/>
        </w:rPr>
        <mc:AlternateContent>
          <mc:Choice Requires="wps">
            <w:drawing>
              <wp:anchor distT="0" distB="0" distL="114300" distR="114300" simplePos="0" relativeHeight="251650048" behindDoc="0" locked="0" layoutInCell="1" allowOverlap="1" wp14:anchorId="11D4545A" wp14:editId="19B4BD77">
                <wp:simplePos x="0" y="0"/>
                <wp:positionH relativeFrom="column">
                  <wp:posOffset>1252855</wp:posOffset>
                </wp:positionH>
                <wp:positionV relativeFrom="paragraph">
                  <wp:posOffset>32385</wp:posOffset>
                </wp:positionV>
                <wp:extent cx="3514725" cy="790575"/>
                <wp:effectExtent l="0" t="0" r="9525" b="66675"/>
                <wp:wrapNone/>
                <wp:docPr id="71"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Zahnutá šípka hore 62" o:spid="_x0000_s1026" type="#_x0000_t104" style="position:absolute;margin-left:98.65pt;margin-top:2.55pt;width:276.75pt;height:62.25pt;flip:y;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jP5NAMAAOcGAAAOAAAAZHJzL2Uyb0RvYy54bWysVUtu2zAQ3RfoHQjuG1n+yTYiB6nTFAX6&#10;CZCmBbqjRcpiQ5EsSVt2b5MD9BRB79UhqShqkkVQVAtBHHLevDczHB2f7GuBdsxYrmSO06MBRkwW&#10;inK5yfHV5/NXM4ysI5ISoSTL8YFZfLJ8+eK40Qs2VJUSlBkEINIuGp3jyjm9SBJbVKwm9khpJmGz&#10;VKYmDpZmk1BDGkCvRTIcDKZJowzVRhXMWrCexU28DPhlyQr3qSwtc0jkGLi58DbhvfbvZHlMFhtD&#10;dMWLlgb5BxY14RKCdlBnxBG0NfwRVM0Lo6wq3VGh6kSVJS9Y0ABq0sEDNZcV0SxogeRY3aXJ/j/Y&#10;4uPuwiBOc5ylGElSQ42+kUpu3e0N+n1z+0tfE1Qpw9B06JPVaLsAn0t9Ybxcq9+r4toiqVYVkRt2&#10;aoxqKkYoUEz9+eQvB7+w4IrWzQdFIRTZOhXyti9NjUrB9Rfv6KEhN2gfCnXoCsX2DhVgHE3ScTac&#10;YFTAXjYfTLJJCEYWHsd7a2PdW6Zq5D9yXGzNjtErHfgFeLJ7b12oGG1lE/odUlDWAhpgRwSazebp&#10;tG2Q3plh/0yaZbNREAql7x0a9Q+N/NPya8Mm9wwDB0PoORcCGeW+cleFwnvVYdPeMbVIK0hsNNuD&#10;XQmDgGmO4UJQ1WAkiHVgzPF5eIK72NaQ63guHfgnagI7XI1oDybgFDGhaqDGxtgxZOvoTdZs1l3g&#10;8evT1Wr6KM746TDTO7MPFWG6WCFkK1RwiaCbcjwJQHBvbUEEgyaNPRWuWUiYJyQkamBnmIGyQFAJ&#10;3m0+h21HC7B6SelEPGBr+/g1dzC/BK9zPPPq2uT6K/BG0jBdHOEifgOQkJ4iC5OpVau2AHFZ0QZR&#10;7nt1OBvNYWpSDnUczQbTwTzDiIgNzNfCGfxkjzxH5uSeXl9my5gIXZHYDd3BB8I7oqFoPQ3hkvt7&#10;HefDWtED3HHoZd+r/u8AHzBDfmLUwKTNsf2xJYZBu76T0M7zdDz2ozksxpNsCAvT31n3d4gsACrH&#10;DnISPlcOVuCy1YZvKogUx4dUpzBbSu7uhlBk1U4kmKax8+Lk9+O6vw6n7v9Pyz8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CvvjP5NAMAAOcGAAAOAAAAAAAAAAAAAAAAAC4CAABkcnMvZTJvRG9jLnhtbFBLAQItABQABgAI&#10;AAAAIQBTmCyC3QAAAAkBAAAPAAAAAAAAAAAAAAAAAI4FAABkcnMvZG93bnJldi54bWxQSwUGAAAA&#10;AAQABADzAAAAmAYAAAAA&#10;" strokecolor="#93cddd" strokeweight="1pt">
                <v:fill color2="#b7dee8" focus="100%" type="gradient"/>
                <v:shadow on="t" color="#215968" opacity=".5" offset="1pt"/>
              </v:shape>
            </w:pict>
          </mc:Fallback>
        </mc:AlternateContent>
      </w:r>
      <w:r w:rsidR="00B650E5">
        <w:rPr>
          <w:bCs/>
          <w:iCs/>
          <w:noProof/>
          <w:szCs w:val="22"/>
          <w:lang w:eastAsia="en-US"/>
        </w:rPr>
        <w:t xml:space="preserve">                        </w:t>
      </w:r>
      <w:r>
        <w:rPr>
          <w:noProof/>
          <w:szCs w:val="22"/>
        </w:rPr>
        <w:drawing>
          <wp:inline distT="0" distB="0" distL="0" distR="0" wp14:anchorId="45D53D9F" wp14:editId="20A9C9DD">
            <wp:extent cx="4046855" cy="2339975"/>
            <wp:effectExtent l="76200" t="57150" r="106045" b="41275"/>
            <wp:docPr id="7" name="Diagram 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5" r:lo="rId106" r:qs="rId107" r:cs="rId108"/>
              </a:graphicData>
            </a:graphic>
          </wp:inline>
        </w:drawing>
      </w:r>
    </w:p>
    <w:p w14:paraId="5E0B1AAF" w14:textId="77777777" w:rsidR="00B650E5" w:rsidRDefault="00B650E5">
      <w:pPr>
        <w:spacing w:before="120" w:after="120"/>
        <w:jc w:val="center"/>
        <w:rPr>
          <w:bCs/>
          <w:iCs/>
          <w:color w:val="4F81BD"/>
          <w:sz w:val="18"/>
          <w:szCs w:val="18"/>
          <w:lang w:eastAsia="en-US"/>
        </w:rPr>
      </w:pPr>
      <w:r>
        <w:rPr>
          <w:bCs/>
          <w:iCs/>
          <w:noProof/>
          <w:sz w:val="18"/>
          <w:szCs w:val="18"/>
          <w:lang w:eastAsia="en-US"/>
        </w:rPr>
        <w:t>Grafické znázornenie postupu pri späťvzatí ŽoNFP</w:t>
      </w:r>
    </w:p>
    <w:p w14:paraId="6B0B99B7"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Vzor</w:t>
      </w:r>
      <w:r>
        <w:rPr>
          <w:rStyle w:val="Odkaznapoznmkupodiarou"/>
          <w:szCs w:val="22"/>
          <w:lang w:eastAsia="en-US"/>
        </w:rPr>
        <w:footnoteReference w:id="63"/>
      </w:r>
      <w:r>
        <w:rPr>
          <w:szCs w:val="22"/>
          <w:lang w:eastAsia="en-US"/>
        </w:rPr>
        <w:t xml:space="preserve"> rozhodnutia o schválení ŽoNFP, neschválení ŽoNFP a o zastavení konania vydáva CKO.</w:t>
      </w:r>
    </w:p>
    <w:p w14:paraId="37150222"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14:paraId="3BFFA78C"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lastRenderedPageBreak/>
        <w:t>Na právoplatnosť rozhodnutia sa vzťahuje § 52 správneho poriadku, t. j. rozhodnutie, voči ktorému nie je možné sa odvolať, je právoplatné.</w:t>
      </w:r>
    </w:p>
    <w:p w14:paraId="59CB6D7D" w14:textId="77777777" w:rsidR="00B650E5" w:rsidRDefault="00B650E5" w:rsidP="00556762">
      <w:pPr>
        <w:numPr>
          <w:ilvl w:val="0"/>
          <w:numId w:val="413"/>
        </w:numPr>
        <w:spacing w:before="120" w:after="120"/>
        <w:ind w:left="426" w:hanging="426"/>
        <w:jc w:val="both"/>
        <w:rPr>
          <w:szCs w:val="22"/>
          <w:lang w:eastAsia="en-US"/>
        </w:rPr>
      </w:pPr>
      <w:r>
        <w:rPr>
          <w:szCs w:val="22"/>
          <w:lang w:eastAsia="en-US"/>
        </w:rPr>
        <w:t>RO zabezpečí vydanie rozhodnutia pri všetkých ŽoNFP, ktoré bolo predmetom schvaľovacieho procesu najneskôr v termíne:</w:t>
      </w:r>
    </w:p>
    <w:p w14:paraId="6C34471F" w14:textId="77777777" w:rsidR="00B650E5" w:rsidRDefault="00B650E5" w:rsidP="00556762">
      <w:pPr>
        <w:numPr>
          <w:ilvl w:val="1"/>
          <w:numId w:val="413"/>
        </w:numPr>
        <w:spacing w:before="120" w:after="120"/>
        <w:ind w:left="851" w:hanging="425"/>
        <w:jc w:val="both"/>
        <w:rPr>
          <w:szCs w:val="22"/>
          <w:lang w:eastAsia="en-US"/>
        </w:rPr>
      </w:pPr>
      <w:r>
        <w:rPr>
          <w:szCs w:val="22"/>
          <w:lang w:eastAsia="en-US"/>
        </w:rPr>
        <w:t>35 pracovných dní od konečného termínu na predkladanie ŽoNFP uvedeného vo výzve v prípade uzavretej výzvy</w:t>
      </w:r>
      <w:r w:rsidR="000A6768">
        <w:rPr>
          <w:szCs w:val="22"/>
          <w:lang w:eastAsia="en-US"/>
        </w:rPr>
        <w:t>;</w:t>
      </w:r>
    </w:p>
    <w:p w14:paraId="2C9973FD" w14:textId="77777777" w:rsidR="00B650E5" w:rsidRDefault="00B650E5" w:rsidP="00556762">
      <w:pPr>
        <w:numPr>
          <w:ilvl w:val="1"/>
          <w:numId w:val="413"/>
        </w:numPr>
        <w:spacing w:before="120" w:after="120"/>
        <w:ind w:left="851" w:hanging="425"/>
        <w:jc w:val="both"/>
        <w:rPr>
          <w:szCs w:val="22"/>
          <w:lang w:eastAsia="en-US"/>
        </w:rPr>
      </w:pPr>
      <w:r>
        <w:rPr>
          <w:szCs w:val="22"/>
          <w:lang w:eastAsia="en-US"/>
        </w:rPr>
        <w:t>35 pracovných dní od konečného termínu príslušného posudzovaného časového obdobia výzvy v prípade otvorenej výzvy.</w:t>
      </w:r>
    </w:p>
    <w:p w14:paraId="160370FA" w14:textId="77777777" w:rsidR="00B650E5" w:rsidRDefault="00B650E5">
      <w:pPr>
        <w:spacing w:before="120" w:after="120"/>
        <w:jc w:val="both"/>
        <w:rPr>
          <w:szCs w:val="22"/>
          <w:lang w:eastAsia="en-US"/>
        </w:rPr>
      </w:pPr>
      <w:r>
        <w:rPr>
          <w:szCs w:val="22"/>
          <w:lang w:eastAsia="en-US"/>
        </w:rPr>
        <w:t>Do lehoty na vydanie rozhodnutia sa nezapočítava doba potrebná na predloženie náležitostí zo strany žiadateľa na základe výzvy zaslanej RO (</w:t>
      </w:r>
      <w:r w:rsidR="00C93F30">
        <w:rPr>
          <w:szCs w:val="22"/>
          <w:lang w:eastAsia="en-US"/>
        </w:rPr>
        <w:t xml:space="preserve">t. j. </w:t>
      </w:r>
      <w:r>
        <w:rPr>
          <w:szCs w:val="22"/>
          <w:lang w:eastAsia="en-US"/>
        </w:rPr>
        <w:t>prerušuje sa v momente zaslania výzvy na doplnenie chýbajúcich náležitostí a začína plynúť momentom doručenia náležitostí na RO).</w:t>
      </w:r>
    </w:p>
    <w:p w14:paraId="1D11E5EA" w14:textId="71C687AC" w:rsidR="00B650E5" w:rsidRDefault="0053588C">
      <w:pPr>
        <w:spacing w:before="120" w:after="120"/>
        <w:jc w:val="center"/>
        <w:rPr>
          <w:bCs/>
          <w:iCs/>
          <w:color w:val="4F81BD"/>
          <w:szCs w:val="22"/>
          <w:lang w:eastAsia="en-US"/>
        </w:rPr>
      </w:pPr>
      <w:r>
        <w:rPr>
          <w:noProof/>
          <w:color w:val="4F81BD"/>
          <w:szCs w:val="22"/>
        </w:rPr>
        <w:drawing>
          <wp:inline distT="0" distB="0" distL="0" distR="0" wp14:anchorId="2CB1F99B" wp14:editId="42C16C60">
            <wp:extent cx="4174490" cy="2113280"/>
            <wp:effectExtent l="76200" t="0" r="73660" b="0"/>
            <wp:docPr id="8" name="Diagram 106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0" r:lo="rId111" r:qs="rId112" r:cs="rId113"/>
              </a:graphicData>
            </a:graphic>
          </wp:inline>
        </w:drawing>
      </w:r>
      <w:r w:rsidR="00B650E5">
        <w:rPr>
          <w:b/>
          <w:bCs/>
          <w:i/>
          <w:iCs/>
          <w:color w:val="4F81BD"/>
          <w:szCs w:val="22"/>
          <w:lang w:eastAsia="en-US"/>
        </w:rPr>
        <w:t xml:space="preserve"> </w:t>
      </w:r>
    </w:p>
    <w:p w14:paraId="52ADF33C" w14:textId="77777777" w:rsidR="00B650E5" w:rsidRDefault="00B650E5">
      <w:pPr>
        <w:spacing w:before="120" w:after="120"/>
        <w:jc w:val="center"/>
        <w:rPr>
          <w:bCs/>
          <w:iCs/>
          <w:sz w:val="18"/>
          <w:szCs w:val="18"/>
          <w:lang w:eastAsia="en-US"/>
        </w:rPr>
      </w:pPr>
      <w:r>
        <w:rPr>
          <w:bCs/>
          <w:iCs/>
          <w:sz w:val="18"/>
          <w:szCs w:val="18"/>
          <w:lang w:eastAsia="en-US"/>
        </w:rPr>
        <w:t>Postup pri vydávaní meritórnych rozhodnutí o ŽoNFP</w:t>
      </w:r>
    </w:p>
    <w:p w14:paraId="76592B98" w14:textId="77777777" w:rsidR="00B650E5" w:rsidRDefault="00B650E5">
      <w:pPr>
        <w:spacing w:before="120" w:after="120"/>
        <w:ind w:left="709"/>
        <w:jc w:val="both"/>
        <w:rPr>
          <w:smallCaps/>
          <w:color w:val="548DD4"/>
          <w:szCs w:val="22"/>
          <w:u w:val="single"/>
          <w:lang w:eastAsia="en-US"/>
        </w:rPr>
      </w:pPr>
    </w:p>
    <w:p w14:paraId="55EA6E83" w14:textId="77777777" w:rsidR="00B650E5" w:rsidRDefault="0053588C">
      <w:pPr>
        <w:spacing w:before="120" w:after="120"/>
        <w:ind w:left="709"/>
        <w:jc w:val="both"/>
        <w:rPr>
          <w:smallCaps/>
          <w:color w:val="548DD4"/>
          <w:szCs w:val="22"/>
          <w:u w:val="single"/>
          <w:lang w:eastAsia="en-US"/>
        </w:rPr>
      </w:pPr>
      <w:r>
        <w:rPr>
          <w:smallCaps/>
          <w:noProof/>
          <w:color w:val="548DD4"/>
          <w:szCs w:val="22"/>
        </w:rPr>
        <w:drawing>
          <wp:inline distT="0" distB="0" distL="0" distR="0" wp14:anchorId="11677A24" wp14:editId="49C573B2">
            <wp:extent cx="5572760" cy="3214370"/>
            <wp:effectExtent l="0" t="57150" r="0" b="119380"/>
            <wp:docPr id="9" name="Diagram 106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5" r:lo="rId116" r:qs="rId117" r:cs="rId118"/>
              </a:graphicData>
            </a:graphic>
          </wp:inline>
        </w:drawing>
      </w:r>
    </w:p>
    <w:p w14:paraId="1D9E8104" w14:textId="77777777" w:rsidR="00B650E5" w:rsidRDefault="00B650E5">
      <w:pPr>
        <w:spacing w:before="120" w:after="120"/>
        <w:ind w:left="567" w:firstLine="1"/>
        <w:jc w:val="center"/>
        <w:rPr>
          <w:b/>
          <w:i/>
          <w:smallCaps/>
          <w:szCs w:val="22"/>
          <w:u w:val="single"/>
          <w:lang w:eastAsia="en-US"/>
        </w:rPr>
      </w:pPr>
      <w:r>
        <w:rPr>
          <w:bCs/>
          <w:iCs/>
          <w:sz w:val="18"/>
          <w:szCs w:val="18"/>
          <w:lang w:eastAsia="en-US"/>
        </w:rPr>
        <w:t>Postup pri vydávaní rozhodnutí o zastavení konania o ŽoNFP</w:t>
      </w:r>
    </w:p>
    <w:p w14:paraId="64C83FBB" w14:textId="77777777" w:rsidR="00B650E5" w:rsidRDefault="00B650E5" w:rsidP="0045286B">
      <w:pPr>
        <w:pStyle w:val="SRK4"/>
      </w:pPr>
      <w:bookmarkStart w:id="225" w:name="_Toc453233998"/>
      <w:bookmarkStart w:id="226" w:name="_Toc501630051"/>
      <w:bookmarkStart w:id="227" w:name="kapitola_3214"/>
      <w:r>
        <w:lastRenderedPageBreak/>
        <w:t>3.2.1.4 Záverečná správa výzvy</w:t>
      </w:r>
      <w:bookmarkEnd w:id="225"/>
      <w:bookmarkEnd w:id="226"/>
      <w:r>
        <w:t xml:space="preserve"> </w:t>
      </w:r>
    </w:p>
    <w:p w14:paraId="7141DB7F" w14:textId="62ABBDFE" w:rsidR="00B650E5" w:rsidRDefault="00B650E5" w:rsidP="00556762">
      <w:pPr>
        <w:numPr>
          <w:ilvl w:val="0"/>
          <w:numId w:val="94"/>
        </w:numPr>
        <w:spacing w:before="120" w:after="120"/>
        <w:ind w:left="426" w:hanging="426"/>
        <w:jc w:val="both"/>
        <w:rPr>
          <w:szCs w:val="22"/>
          <w:lang w:eastAsia="en-US"/>
        </w:rPr>
      </w:pPr>
      <w:bookmarkStart w:id="228" w:name="_Toc378954334"/>
      <w:bookmarkEnd w:id="227"/>
      <w:r>
        <w:rPr>
          <w:szCs w:val="22"/>
          <w:lang w:eastAsia="en-US"/>
        </w:rPr>
        <w:t>Po ukončení schvaľovacieho procesu ŽoNFP (</w:t>
      </w:r>
      <w:r w:rsidR="00C93F30">
        <w:rPr>
          <w:szCs w:val="22"/>
          <w:lang w:eastAsia="en-US"/>
        </w:rPr>
        <w:t xml:space="preserve">t. j. </w:t>
      </w:r>
      <w:r>
        <w:rPr>
          <w:szCs w:val="22"/>
          <w:lang w:eastAsia="en-US"/>
        </w:rPr>
        <w:t>po vydaní prvostupňového rozhodnutia za</w:t>
      </w:r>
      <w:r w:rsidR="00913468">
        <w:rPr>
          <w:szCs w:val="22"/>
          <w:lang w:eastAsia="en-US"/>
        </w:rPr>
        <w:t> </w:t>
      </w:r>
      <w:r>
        <w:rPr>
          <w:szCs w:val="22"/>
          <w:lang w:eastAsia="en-US"/>
        </w:rPr>
        <w:t>všetky ŽoNFP predložené v rámci výzvy alebo za vymedzené časové obdobie pri otvorených výzvach) RO vypracuje záverečnú správu z výzvy na predkladanie ŽoNFP, pričom na jej vypracovanie RO môže použiť ITMS 2014+</w:t>
      </w:r>
      <w:r w:rsidR="00F12AC5">
        <w:rPr>
          <w:szCs w:val="22"/>
          <w:lang w:eastAsia="en-US"/>
        </w:rPr>
        <w:t xml:space="preserve"> (záverečná správa výzvy sa nevypracúva v prípade</w:t>
      </w:r>
      <w:r w:rsidR="00F12AC5" w:rsidRPr="00F12AC5">
        <w:rPr>
          <w:szCs w:val="22"/>
          <w:lang w:eastAsia="en-US"/>
        </w:rPr>
        <w:t xml:space="preserve"> </w:t>
      </w:r>
      <w:r w:rsidR="00F12AC5">
        <w:rPr>
          <w:szCs w:val="22"/>
          <w:lang w:eastAsia="en-US"/>
        </w:rPr>
        <w:t xml:space="preserve">schvaľovacieho procesu </w:t>
      </w:r>
      <w:r w:rsidR="00F12AC5" w:rsidRPr="00F12AC5">
        <w:rPr>
          <w:szCs w:val="22"/>
          <w:lang w:eastAsia="en-US"/>
        </w:rPr>
        <w:t>národných projektov a projektov technickej pomoci</w:t>
      </w:r>
      <w:r w:rsidR="00F12AC5">
        <w:rPr>
          <w:szCs w:val="22"/>
          <w:lang w:eastAsia="en-US"/>
        </w:rPr>
        <w:t>)</w:t>
      </w:r>
      <w:r>
        <w:rPr>
          <w:szCs w:val="22"/>
          <w:lang w:eastAsia="en-US"/>
        </w:rPr>
        <w:t xml:space="preserve">.  </w:t>
      </w:r>
    </w:p>
    <w:p w14:paraId="068E8CEE" w14:textId="1A90ADC9" w:rsidR="00B650E5" w:rsidRDefault="00B650E5">
      <w:pPr>
        <w:numPr>
          <w:ilvl w:val="0"/>
          <w:numId w:val="94"/>
        </w:numPr>
        <w:spacing w:before="120" w:after="120"/>
        <w:ind w:left="426" w:hanging="426"/>
        <w:jc w:val="both"/>
        <w:rPr>
          <w:szCs w:val="22"/>
          <w:lang w:eastAsia="en-US"/>
        </w:rPr>
      </w:pPr>
      <w:r>
        <w:rPr>
          <w:szCs w:val="22"/>
          <w:lang w:eastAsia="en-US"/>
        </w:rPr>
        <w:t>Minimálne požiadavky na obsah záverečnej správy sú uvedené vo vzore</w:t>
      </w:r>
      <w:r>
        <w:rPr>
          <w:rStyle w:val="Odkaznapoznmkupodiarou"/>
          <w:szCs w:val="22"/>
          <w:lang w:eastAsia="en-US"/>
        </w:rPr>
        <w:footnoteReference w:id="64"/>
      </w:r>
      <w:r>
        <w:rPr>
          <w:szCs w:val="22"/>
          <w:lang w:eastAsia="en-US"/>
        </w:rPr>
        <w:t xml:space="preserve"> vydanom CKO. Všetky dokumenty, ktoré sú súčasťou a dokumentujú schvaľovací proces RO (kontrolné zoznamy z administratívneho overenia, hodnotiace hárky ŽoNFP) uchováva v spisoch jednotlivých ŽoNFP alebo ako prílohu </w:t>
      </w:r>
      <w:r w:rsidR="00B125D3">
        <w:rPr>
          <w:szCs w:val="22"/>
          <w:lang w:eastAsia="en-US"/>
        </w:rPr>
        <w:t>z</w:t>
      </w:r>
      <w:r>
        <w:rPr>
          <w:szCs w:val="22"/>
          <w:lang w:eastAsia="en-US"/>
        </w:rPr>
        <w:t xml:space="preserve">áverečnej správy. Prílohou </w:t>
      </w:r>
      <w:r w:rsidR="00B125D3">
        <w:rPr>
          <w:szCs w:val="22"/>
          <w:lang w:eastAsia="en-US"/>
        </w:rPr>
        <w:t>z</w:t>
      </w:r>
      <w:r>
        <w:rPr>
          <w:szCs w:val="22"/>
          <w:lang w:eastAsia="en-US"/>
        </w:rPr>
        <w:t>áverečnej správy z výzvy na</w:t>
      </w:r>
      <w:r w:rsidR="00913468">
        <w:rPr>
          <w:szCs w:val="22"/>
          <w:lang w:eastAsia="en-US"/>
        </w:rPr>
        <w:t> </w:t>
      </w:r>
      <w:r>
        <w:rPr>
          <w:szCs w:val="22"/>
          <w:lang w:eastAsia="en-US"/>
        </w:rPr>
        <w:t xml:space="preserve">predkladanie ŽoNFP je aj záznam z aplikácie výberových kritérií (ak pre danú výzvu boli aplikované). </w:t>
      </w:r>
    </w:p>
    <w:p w14:paraId="25C12841" w14:textId="77777777" w:rsidR="00B650E5" w:rsidRDefault="00B650E5">
      <w:pPr>
        <w:numPr>
          <w:ilvl w:val="0"/>
          <w:numId w:val="94"/>
        </w:numPr>
        <w:spacing w:before="120" w:after="120"/>
        <w:ind w:left="426" w:hanging="426"/>
        <w:jc w:val="both"/>
        <w:rPr>
          <w:szCs w:val="22"/>
          <w:lang w:eastAsia="en-US"/>
        </w:rPr>
      </w:pPr>
      <w:r>
        <w:rPr>
          <w:szCs w:val="22"/>
          <w:lang w:eastAsia="en-US"/>
        </w:rPr>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14:paraId="7E321C60" w14:textId="77777777" w:rsidR="00B650E5" w:rsidRDefault="00B650E5">
      <w:pPr>
        <w:numPr>
          <w:ilvl w:val="0"/>
          <w:numId w:val="94"/>
        </w:numPr>
        <w:spacing w:before="120" w:after="120"/>
        <w:ind w:left="426" w:hanging="426"/>
        <w:jc w:val="both"/>
        <w:rPr>
          <w:szCs w:val="22"/>
          <w:lang w:eastAsia="en-US"/>
        </w:rPr>
      </w:pPr>
      <w:r>
        <w:rPr>
          <w:szCs w:val="22"/>
          <w:lang w:eastAsia="en-US"/>
        </w:rPr>
        <w:t>RO zasiela záverečnú správu z výzvy (bez potreby zasielania kontrolných zoznamov a hodnotiacich hárkov ŽoNFP), vrátane záznamu z aplikácie výberových kritérií CO najneskôr do</w:t>
      </w:r>
      <w:r w:rsidR="00913468">
        <w:rPr>
          <w:szCs w:val="22"/>
          <w:lang w:eastAsia="en-US"/>
        </w:rPr>
        <w:t> </w:t>
      </w:r>
      <w:r>
        <w:rPr>
          <w:szCs w:val="22"/>
          <w:lang w:eastAsia="en-US"/>
        </w:rPr>
        <w:t xml:space="preserve">5 pracovných dní od jej schválenia. </w:t>
      </w:r>
    </w:p>
    <w:p w14:paraId="63779C1D" w14:textId="77777777" w:rsidR="00B650E5" w:rsidRDefault="00B650E5" w:rsidP="0045286B">
      <w:pPr>
        <w:pStyle w:val="SRK4"/>
      </w:pPr>
      <w:bookmarkStart w:id="229" w:name="_Toc453233999"/>
      <w:bookmarkStart w:id="230" w:name="_Toc501630052"/>
      <w:r>
        <w:t>3.2.1.5 Overovanie splnenia podmienok poskytnutia príspevku na mieste</w:t>
      </w:r>
      <w:bookmarkEnd w:id="229"/>
      <w:bookmarkEnd w:id="230"/>
    </w:p>
    <w:p w14:paraId="7EACED82" w14:textId="77777777" w:rsidR="00B650E5" w:rsidRDefault="00B650E5">
      <w:pPr>
        <w:numPr>
          <w:ilvl w:val="0"/>
          <w:numId w:val="301"/>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14:paraId="4B20806C" w14:textId="77777777" w:rsidR="00B650E5" w:rsidRDefault="00B650E5">
      <w:pPr>
        <w:numPr>
          <w:ilvl w:val="0"/>
          <w:numId w:val="301"/>
        </w:numPr>
        <w:spacing w:before="120" w:after="120"/>
        <w:ind w:left="426" w:hanging="426"/>
        <w:jc w:val="both"/>
      </w:pPr>
      <w:r>
        <w:t xml:space="preserve">RO nie je oprávnený na základe možnosti upravenej vo výzve vstupovať bez súhlasu do objektov žiadateľa, ani iným spôsobom jednostranne zasahovať do majetku žiadateľa. </w:t>
      </w:r>
    </w:p>
    <w:p w14:paraId="38EB942A" w14:textId="77777777" w:rsidR="00B650E5" w:rsidRDefault="00B650E5">
      <w:pPr>
        <w:numPr>
          <w:ilvl w:val="0"/>
          <w:numId w:val="301"/>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w:t>
      </w:r>
      <w:r w:rsidR="00913468">
        <w:t> </w:t>
      </w:r>
      <w:r>
        <w:t>§</w:t>
      </w:r>
      <w:r w:rsidR="00913468">
        <w:t> </w:t>
      </w:r>
      <w:r>
        <w:t>20 ods. 1, písm. d) zákona o príspevku z EŠIF.</w:t>
      </w:r>
    </w:p>
    <w:p w14:paraId="409FDC6F" w14:textId="77777777" w:rsidR="00B650E5" w:rsidRDefault="00B650E5">
      <w:pPr>
        <w:numPr>
          <w:ilvl w:val="0"/>
          <w:numId w:val="301"/>
        </w:numPr>
        <w:spacing w:before="120" w:after="120"/>
        <w:ind w:left="426" w:hanging="426"/>
        <w:jc w:val="both"/>
      </w:pPr>
      <w:r>
        <w:t>V prípade, ak na základe možnosti upravenej vo výzve RO zistí nesplnenie niektorej z podmienok poskytnutia príspevku, RO rozhodne o neschválení žiadosti.</w:t>
      </w:r>
    </w:p>
    <w:p w14:paraId="4FD86B9C" w14:textId="77777777" w:rsidR="00B650E5" w:rsidRDefault="00B650E5">
      <w:pPr>
        <w:numPr>
          <w:ilvl w:val="0"/>
          <w:numId w:val="301"/>
        </w:numPr>
        <w:spacing w:before="120" w:after="120"/>
        <w:ind w:left="426" w:hanging="426"/>
        <w:jc w:val="both"/>
      </w:pPr>
      <w:r>
        <w:t>RO je povinný upraviť spôsob overenia podmienok poskytnutia príspevku počas konania na</w:t>
      </w:r>
      <w:r w:rsidR="00913468">
        <w:t> </w:t>
      </w:r>
      <w:r>
        <w:t xml:space="preserve">mieste vo svojej riadiacej dokumentácii. Ostatné ustanovenia o postupe konania o ŽoNFP podľa </w:t>
      </w:r>
      <w:hyperlink w:anchor="kapitola_32" w:history="1">
        <w:r w:rsidRPr="00913468">
          <w:rPr>
            <w:rStyle w:val="Hypertextovprepojenie"/>
          </w:rPr>
          <w:t xml:space="preserve">kapitoly </w:t>
        </w:r>
        <w:r w:rsidR="00913468" w:rsidRPr="00913468">
          <w:rPr>
            <w:rStyle w:val="Hypertextovprepojenie"/>
          </w:rPr>
          <w:t>3.</w:t>
        </w:r>
        <w:r w:rsidRPr="00913468">
          <w:rPr>
            <w:rStyle w:val="Hypertextovprepojenie"/>
          </w:rPr>
          <w:t>2</w:t>
        </w:r>
      </w:hyperlink>
      <w:r>
        <w:t xml:space="preserve"> sa použijú rovnako.</w:t>
      </w:r>
    </w:p>
    <w:p w14:paraId="3CA51EFB" w14:textId="77777777" w:rsidR="00B650E5" w:rsidRDefault="00B650E5" w:rsidP="0045286B">
      <w:pPr>
        <w:pStyle w:val="SRK4"/>
      </w:pPr>
      <w:bookmarkStart w:id="231" w:name="_Toc453234000"/>
      <w:bookmarkStart w:id="232" w:name="_Toc501630053"/>
      <w:r>
        <w:t>3.2.1.6 Zverejňovanie</w:t>
      </w:r>
      <w:bookmarkEnd w:id="231"/>
      <w:bookmarkEnd w:id="232"/>
      <w:r>
        <w:t xml:space="preserve"> </w:t>
      </w:r>
    </w:p>
    <w:p w14:paraId="25A25ED3" w14:textId="77777777" w:rsidR="00B650E5" w:rsidRDefault="00B650E5">
      <w:pPr>
        <w:pStyle w:val="Odsekzoznamu"/>
        <w:numPr>
          <w:ilvl w:val="0"/>
          <w:numId w:val="300"/>
        </w:numPr>
        <w:spacing w:before="120" w:after="120"/>
        <w:ind w:left="426" w:hanging="426"/>
        <w:contextualSpacing w:val="0"/>
        <w:jc w:val="both"/>
      </w:pPr>
      <w:r>
        <w:t>RO zverejní na svojom webovom sídle do 60 pracovných dní od skončenia rozhodovania o</w:t>
      </w:r>
      <w:r w:rsidR="000A6768">
        <w:t> </w:t>
      </w:r>
      <w:r>
        <w:t>ŽoNFP pre každú výzvu zoznam schválených ŽoNFP v poradí určenom na základe aplikácie kritérií pre výber projektov, ktorý obsahuje:</w:t>
      </w:r>
    </w:p>
    <w:p w14:paraId="611C7DBF"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1D10F1F7" w14:textId="77777777" w:rsidR="00B650E5" w:rsidRDefault="00B650E5">
      <w:pPr>
        <w:pStyle w:val="Odsekzoznamu"/>
        <w:numPr>
          <w:ilvl w:val="1"/>
          <w:numId w:val="300"/>
        </w:numPr>
        <w:spacing w:before="120" w:after="120"/>
        <w:ind w:left="851" w:hanging="425"/>
        <w:contextualSpacing w:val="0"/>
        <w:jc w:val="both"/>
      </w:pPr>
      <w:r>
        <w:lastRenderedPageBreak/>
        <w:t>názov projektu,</w:t>
      </w:r>
    </w:p>
    <w:p w14:paraId="2E1F4196" w14:textId="77777777" w:rsidR="00B650E5" w:rsidRDefault="00B650E5">
      <w:pPr>
        <w:pStyle w:val="Odsekzoznamu"/>
        <w:numPr>
          <w:ilvl w:val="1"/>
          <w:numId w:val="300"/>
        </w:numPr>
        <w:spacing w:before="120" w:after="120"/>
        <w:ind w:left="851" w:hanging="425"/>
        <w:contextualSpacing w:val="0"/>
        <w:jc w:val="both"/>
      </w:pPr>
      <w:r>
        <w:t>výšku schváleného príspevku,</w:t>
      </w:r>
    </w:p>
    <w:p w14:paraId="0023DB75"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7AA6C150" w14:textId="77777777" w:rsidR="00B650E5" w:rsidRDefault="00B650E5">
      <w:pPr>
        <w:pStyle w:val="Odsekzoznamu"/>
        <w:numPr>
          <w:ilvl w:val="0"/>
          <w:numId w:val="300"/>
        </w:numPr>
        <w:spacing w:before="120" w:after="120"/>
        <w:ind w:left="425" w:hanging="425"/>
        <w:contextualSpacing w:val="0"/>
        <w:jc w:val="both"/>
      </w:pPr>
      <w:r>
        <w:t>RO zverejní na svojom webovom sídle do 60 pracovných dní od skončenia rozhodovania o</w:t>
      </w:r>
      <w:r w:rsidR="000A6768">
        <w:t> </w:t>
      </w:r>
      <w:r>
        <w:t>ŽoNFP pre každú výzvu zoznam neschválených ŽoNFP v poradí určenom na základe aplikácie kritérií pre výber projektov, ktorý obsahuje:</w:t>
      </w:r>
    </w:p>
    <w:p w14:paraId="6A53018A" w14:textId="77777777" w:rsidR="00B650E5" w:rsidRDefault="00B650E5">
      <w:pPr>
        <w:pStyle w:val="Odsekzoznamu"/>
        <w:numPr>
          <w:ilvl w:val="1"/>
          <w:numId w:val="300"/>
        </w:numPr>
        <w:spacing w:before="120" w:after="120"/>
        <w:ind w:left="851" w:hanging="425"/>
        <w:contextualSpacing w:val="0"/>
        <w:jc w:val="both"/>
      </w:pPr>
      <w:r>
        <w:t>meno a priezvisko fyzickej osoby alebo obchodné meno a identifikačné číslo právnickej osoby, ktorá požiadala o poskytnutie príspevku,</w:t>
      </w:r>
    </w:p>
    <w:p w14:paraId="0D6EED84" w14:textId="77777777" w:rsidR="00B650E5" w:rsidRDefault="00B650E5">
      <w:pPr>
        <w:pStyle w:val="Odsekzoznamu"/>
        <w:numPr>
          <w:ilvl w:val="1"/>
          <w:numId w:val="300"/>
        </w:numPr>
        <w:spacing w:before="120" w:after="120"/>
        <w:ind w:left="851" w:hanging="425"/>
        <w:contextualSpacing w:val="0"/>
        <w:jc w:val="both"/>
      </w:pPr>
      <w:r>
        <w:t>názov projektu,</w:t>
      </w:r>
    </w:p>
    <w:p w14:paraId="739AA762" w14:textId="77777777" w:rsidR="00B650E5" w:rsidRDefault="00B650E5">
      <w:pPr>
        <w:pStyle w:val="Odsekzoznamu"/>
        <w:numPr>
          <w:ilvl w:val="1"/>
          <w:numId w:val="300"/>
        </w:numPr>
        <w:spacing w:before="120" w:after="120"/>
        <w:ind w:left="851" w:hanging="425"/>
        <w:contextualSpacing w:val="0"/>
        <w:jc w:val="both"/>
      </w:pPr>
      <w:r>
        <w:t>dôvody neschválenia žiadosti,</w:t>
      </w:r>
    </w:p>
    <w:p w14:paraId="0F1450EB" w14:textId="77777777" w:rsidR="00B650E5" w:rsidRDefault="00B650E5">
      <w:pPr>
        <w:pStyle w:val="Odsekzoznamu"/>
        <w:numPr>
          <w:ilvl w:val="1"/>
          <w:numId w:val="300"/>
        </w:numPr>
        <w:spacing w:before="120" w:after="120"/>
        <w:ind w:left="851" w:hanging="425"/>
        <w:contextualSpacing w:val="0"/>
        <w:jc w:val="both"/>
      </w:pPr>
      <w:r>
        <w:t>zoznam odborných hodnotiteľov, v rozsahu titul, meno, priezvisko.</w:t>
      </w:r>
    </w:p>
    <w:p w14:paraId="1970F3A8" w14:textId="77777777" w:rsidR="00B650E5" w:rsidRDefault="00B650E5">
      <w:pPr>
        <w:pStyle w:val="Odsekzoznamu"/>
        <w:numPr>
          <w:ilvl w:val="0"/>
          <w:numId w:val="300"/>
        </w:numPr>
        <w:tabs>
          <w:tab w:val="left" w:pos="426"/>
        </w:tabs>
        <w:spacing w:before="120" w:after="120"/>
        <w:ind w:left="426" w:hanging="426"/>
        <w:contextualSpacing w:val="0"/>
        <w:jc w:val="both"/>
      </w:pPr>
      <w:r>
        <w:t xml:space="preserve">RO je povinný vložiť do ITMS 2014+ ku každej </w:t>
      </w:r>
      <w:r w:rsidR="00301105">
        <w:t>výzve zoznam</w:t>
      </w:r>
      <w:r>
        <w:t xml:space="preserve"> odborných hodnotiteľov</w:t>
      </w:r>
      <w:r w:rsidR="00301105">
        <w:t xml:space="preserve"> výzvy</w:t>
      </w:r>
      <w:r>
        <w:t xml:space="preserve">, ktorí ŽoNFP hodnotili </w:t>
      </w:r>
      <w:r w:rsidR="00301105">
        <w:t>(</w:t>
      </w:r>
      <w:r w:rsidR="00301105">
        <w:rPr>
          <w:szCs w:val="22"/>
          <w:lang w:eastAsia="en-US"/>
        </w:rPr>
        <w:t>vo formáte PDF, v súlade s Výnosom MF SR o informačných systémoch verejnej správy, bez identifikácie ŽoNFP, ktoré hodnotili jednotliví odborní hodnotitelia)</w:t>
      </w:r>
      <w:r w:rsidR="00301105">
        <w:t xml:space="preserve"> </w:t>
      </w:r>
      <w:r>
        <w:t>v rozsahu titul, meno, priezvisko</w:t>
      </w:r>
      <w:r w:rsidR="008919A8">
        <w:t xml:space="preserve"> a prax</w:t>
      </w:r>
      <w:r>
        <w:rPr>
          <w:rStyle w:val="Odkaznapoznmkupodiarou"/>
        </w:rPr>
        <w:footnoteReference w:id="65"/>
      </w:r>
      <w:r>
        <w:t xml:space="preserve">. </w:t>
      </w:r>
    </w:p>
    <w:p w14:paraId="1D4034EC" w14:textId="77777777" w:rsidR="00B650E5" w:rsidRDefault="00B650E5">
      <w:pPr>
        <w:pStyle w:val="Odsekzoznamu"/>
        <w:numPr>
          <w:ilvl w:val="0"/>
          <w:numId w:val="300"/>
        </w:numPr>
        <w:tabs>
          <w:tab w:val="left" w:pos="426"/>
        </w:tabs>
        <w:spacing w:before="120" w:after="120"/>
        <w:ind w:left="426" w:hanging="426"/>
        <w:contextualSpacing w:val="0"/>
        <w:jc w:val="both"/>
      </w:pPr>
      <w:r>
        <w:t xml:space="preserve">CKO na základe údajov získaných z ITMS 2014+ alebo v nevyhnutných prípadoch na základe žiadosti CKO poskytnutých od RO zverejňuje na webovom sídle </w:t>
      </w:r>
      <w:hyperlink r:id="rId120" w:history="1">
        <w:r w:rsidR="00766DB4" w:rsidRPr="00766DB4">
          <w:rPr>
            <w:rStyle w:val="Hypertextovprepojenie"/>
          </w:rPr>
          <w:t>www.partnerskadohoda.gov</w:t>
        </w:r>
        <w:r w:rsidR="00766DB4" w:rsidRPr="00F90694">
          <w:rPr>
            <w:rStyle w:val="Hypertextovprepojenie"/>
          </w:rPr>
          <w:t>.sk</w:t>
        </w:r>
      </w:hyperlink>
      <w:r w:rsidR="00766DB4">
        <w:t xml:space="preserve"> </w:t>
      </w:r>
      <w:r>
        <w:t xml:space="preserve">údaje o zmluvách, ktoré nadobudli účinnosť a o právoplatných rozhodnutiach o schválení vydaných v prípadoch totožnosti RO a prijímateľa informácie podľa čl. 115 ods. 2 a ods. 1 prílohy XII všeobecného nariadenia. </w:t>
      </w:r>
      <w:r w:rsidR="00DA5FB9">
        <w:t>RO zverej</w:t>
      </w:r>
      <w:r w:rsidR="00301105">
        <w:t>ňuje</w:t>
      </w:r>
      <w:r w:rsidR="00DA5FB9">
        <w:t xml:space="preserve"> prostredníctvom funkcionality ITMS</w:t>
      </w:r>
      <w:r w:rsidR="0023261D">
        <w:t xml:space="preserve"> </w:t>
      </w:r>
      <w:r w:rsidR="00DA5FB9">
        <w:t xml:space="preserve">2014+ </w:t>
      </w:r>
      <w:r w:rsidR="00301105">
        <w:t xml:space="preserve">spoločné </w:t>
      </w:r>
      <w:r w:rsidR="00DA5FB9">
        <w:t xml:space="preserve">hodnotiace hárky odborného hodnotenia ŽoNFP na webovom sídle </w:t>
      </w:r>
      <w:hyperlink r:id="rId121" w:history="1">
        <w:r w:rsidR="00DA5FB9" w:rsidRPr="00DA5FB9">
          <w:rPr>
            <w:rStyle w:val="Hypertextovprepojenie"/>
          </w:rPr>
          <w:t>www.itms2014.sk</w:t>
        </w:r>
      </w:hyperlink>
      <w:r>
        <w:t>.</w:t>
      </w:r>
      <w:r w:rsidR="00B75B6A">
        <w:t xml:space="preserve"> </w:t>
      </w:r>
      <w:r w:rsidR="00B75B6A" w:rsidRPr="0018116E">
        <w:t>V prípade, ak RO pripravuje v zmysle svojej riadiacej dokumentácie závery z hodnotenia každej ŽoNFP (minimálne v rozsahu, ktorý uplatňuje EK v rámci programu Horizont 2020), je RO oprávnený zverejniť namiesto spoločného hodnotiaceho hárku tieto závery.</w:t>
      </w:r>
    </w:p>
    <w:p w14:paraId="433B00C0" w14:textId="77777777" w:rsidR="00B650E5" w:rsidRDefault="00B650E5">
      <w:pPr>
        <w:pStyle w:val="SRK3"/>
      </w:pPr>
      <w:bookmarkStart w:id="233" w:name="_Toc453234001"/>
      <w:bookmarkStart w:id="234" w:name="_Toc501630054"/>
      <w:bookmarkStart w:id="235" w:name="kapitola_322"/>
      <w:r>
        <w:t>3.2.2 Schvaľovací proces pr</w:t>
      </w:r>
      <w:bookmarkEnd w:id="228"/>
      <w:r>
        <w:t>i využití dvojkolového procesu výberu</w:t>
      </w:r>
      <w:bookmarkEnd w:id="233"/>
      <w:bookmarkEnd w:id="234"/>
    </w:p>
    <w:bookmarkEnd w:id="235"/>
    <w:p w14:paraId="4998965F" w14:textId="77777777" w:rsidR="00B650E5" w:rsidRDefault="00B650E5">
      <w:pPr>
        <w:numPr>
          <w:ilvl w:val="0"/>
          <w:numId w:val="95"/>
        </w:numPr>
        <w:spacing w:before="120" w:after="120"/>
        <w:ind w:left="426" w:hanging="426"/>
        <w:jc w:val="both"/>
        <w:rPr>
          <w:szCs w:val="22"/>
          <w:lang w:eastAsia="en-US"/>
        </w:rPr>
      </w:pPr>
      <w:r>
        <w:rPr>
          <w:szCs w:val="22"/>
          <w:lang w:eastAsia="en-US"/>
        </w:rPr>
        <w:t>Ak RO pred vyhlásením výzvy vyhlásil výzvu na predkladanie projektových zámerov, RO v schvaľovacom procese aplikuje postupy uvedené v tejto podkapitole.</w:t>
      </w:r>
    </w:p>
    <w:p w14:paraId="7DCDA56E" w14:textId="77777777" w:rsidR="00B650E5" w:rsidRDefault="00B650E5" w:rsidP="0045286B">
      <w:pPr>
        <w:pStyle w:val="SRK4"/>
      </w:pPr>
      <w:bookmarkStart w:id="236" w:name="_Toc453234002"/>
      <w:bookmarkStart w:id="237" w:name="_Toc501630055"/>
      <w:r>
        <w:t>3.2.2.1 Posudzovanie projektových zámerov</w:t>
      </w:r>
      <w:bookmarkEnd w:id="236"/>
      <w:bookmarkEnd w:id="237"/>
    </w:p>
    <w:p w14:paraId="555074E1"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príjem projektových zámerov odo dňa vyhlásenia výzvy na predkladanie projektových zámerov do jej uzavretia. Na postup pri predkladaní projektových zámerov sa uplatnia ustanovenia platné na predkladanie ŽoNFP.</w:t>
      </w:r>
    </w:p>
    <w:p w14:paraId="0AA0C8C3" w14:textId="77777777" w:rsidR="00B650E5" w:rsidRDefault="00B650E5">
      <w:pPr>
        <w:numPr>
          <w:ilvl w:val="0"/>
          <w:numId w:val="96"/>
        </w:numPr>
        <w:spacing w:before="120" w:after="120"/>
        <w:ind w:left="426" w:hanging="426"/>
        <w:jc w:val="both"/>
        <w:rPr>
          <w:szCs w:val="22"/>
          <w:lang w:eastAsia="en-US"/>
        </w:rPr>
      </w:pPr>
      <w:r>
        <w:rPr>
          <w:szCs w:val="22"/>
          <w:lang w:eastAsia="en-US"/>
        </w:rPr>
        <w:t>Pri predloženom projektovom zámere RO posudzuje splnenie podmienok určených vo výzve, pričom výsledkom zhodnotenia projektového zámeru je hodnotiaca správa (vzor</w:t>
      </w:r>
      <w:r>
        <w:rPr>
          <w:rStyle w:val="Odkaznapoznmkupodiarou"/>
          <w:szCs w:val="22"/>
          <w:lang w:eastAsia="en-US"/>
        </w:rPr>
        <w:footnoteReference w:id="66"/>
      </w:r>
      <w:r>
        <w:rPr>
          <w:szCs w:val="22"/>
          <w:lang w:eastAsia="en-US"/>
        </w:rPr>
        <w:t xml:space="preserve"> vydáva CKO), ktorá sa doručuje žiadateľovi.</w:t>
      </w:r>
    </w:p>
    <w:p w14:paraId="55429F54" w14:textId="77777777" w:rsidR="00B650E5" w:rsidRDefault="00B650E5">
      <w:pPr>
        <w:numPr>
          <w:ilvl w:val="0"/>
          <w:numId w:val="96"/>
        </w:numPr>
        <w:spacing w:before="120" w:after="120"/>
        <w:ind w:left="426" w:hanging="426"/>
        <w:jc w:val="both"/>
        <w:rPr>
          <w:szCs w:val="22"/>
          <w:lang w:eastAsia="en-US"/>
        </w:rPr>
      </w:pPr>
      <w:r>
        <w:rPr>
          <w:szCs w:val="22"/>
          <w:lang w:eastAsia="en-US"/>
        </w:rPr>
        <w:t xml:space="preserve">RO pri hodnotení projektových zámerov postupuje primerane podľa ustanovení o konaní o ŽoNFP, pričom procesy primerane upraví s ohľadom na charakter posudzovania projektového </w:t>
      </w:r>
      <w:r>
        <w:rPr>
          <w:szCs w:val="22"/>
          <w:lang w:eastAsia="en-US"/>
        </w:rPr>
        <w:lastRenderedPageBreak/>
        <w:t>zámeru. Za týmto účelom nie je RO povinný pri posudzovaní projektových zámerov vykonať odborné hodnoteni</w:t>
      </w:r>
      <w:r w:rsidR="000A6768">
        <w:rPr>
          <w:szCs w:val="22"/>
          <w:lang w:eastAsia="en-US"/>
        </w:rPr>
        <w:t>e</w:t>
      </w:r>
      <w:r>
        <w:rPr>
          <w:szCs w:val="22"/>
          <w:lang w:eastAsia="en-US"/>
        </w:rPr>
        <w:t>, ak podmienky stanovené vo výzve na predkladanie projektových zámerov sú objektívne overiteľné v rámci administratívneho overenia.</w:t>
      </w:r>
    </w:p>
    <w:p w14:paraId="77E74615" w14:textId="77777777" w:rsidR="00B650E5" w:rsidRDefault="00B650E5">
      <w:pPr>
        <w:numPr>
          <w:ilvl w:val="0"/>
          <w:numId w:val="96"/>
        </w:numPr>
        <w:spacing w:before="120" w:after="120"/>
        <w:ind w:left="426" w:hanging="426"/>
        <w:jc w:val="both"/>
        <w:rPr>
          <w:szCs w:val="22"/>
          <w:lang w:eastAsia="en-US"/>
        </w:rPr>
      </w:pPr>
      <w:r>
        <w:rPr>
          <w:szCs w:val="22"/>
          <w:lang w:eastAsia="en-US"/>
        </w:rPr>
        <w:t>RO v rámci posúdenia projektového zámeru nevydáva rozhodnutie, ale posúdenie splnenia podmienok stanovených vo výzve na predkladanie projektových zámerov je súčasťou hodnotiacej správy.</w:t>
      </w:r>
    </w:p>
    <w:p w14:paraId="7E789B65" w14:textId="77777777" w:rsidR="00B650E5" w:rsidRPr="00EA316A" w:rsidRDefault="00B650E5">
      <w:pPr>
        <w:numPr>
          <w:ilvl w:val="0"/>
          <w:numId w:val="96"/>
        </w:numPr>
        <w:spacing w:before="120" w:after="120"/>
        <w:ind w:left="426" w:hanging="426"/>
        <w:jc w:val="both"/>
        <w:rPr>
          <w:szCs w:val="22"/>
          <w:lang w:eastAsia="en-US"/>
        </w:rPr>
      </w:pPr>
      <w:r>
        <w:rPr>
          <w:szCs w:val="22"/>
          <w:lang w:eastAsia="en-US"/>
        </w:rPr>
        <w:t>RO je v rámci posúdenia projektového zámeru povinný umožniť žiadateľov</w:t>
      </w:r>
      <w:r w:rsidR="00742DC5">
        <w:rPr>
          <w:szCs w:val="22"/>
          <w:lang w:eastAsia="en-US"/>
        </w:rPr>
        <w:t>i</w:t>
      </w:r>
      <w:r>
        <w:rPr>
          <w:szCs w:val="22"/>
          <w:lang w:eastAsia="en-US"/>
        </w:rPr>
        <w:t xml:space="preserve"> doplniť neúplný projektový zámer alebo vysvetliť skutočnosti, v dôsledku ktorých došlo k pochybnosti o pravdivosti projektového zámeru. RO v rámci výzvy na doplnenie projektového zámeru postupuje rovnako</w:t>
      </w:r>
      <w:r w:rsidR="000A6768">
        <w:rPr>
          <w:szCs w:val="22"/>
          <w:lang w:eastAsia="en-US"/>
        </w:rPr>
        <w:t>, ako</w:t>
      </w:r>
      <w:r>
        <w:rPr>
          <w:szCs w:val="22"/>
          <w:lang w:eastAsia="en-US"/>
        </w:rPr>
        <w:t xml:space="preserve"> pri vypracovaní výzvy na doplnenie ŽoNFP, pričom minimálna lehota na</w:t>
      </w:r>
      <w:r w:rsidR="000A6768">
        <w:rPr>
          <w:szCs w:val="22"/>
          <w:lang w:eastAsia="en-US"/>
        </w:rPr>
        <w:t> </w:t>
      </w:r>
      <w:r>
        <w:rPr>
          <w:szCs w:val="22"/>
          <w:lang w:eastAsia="en-US"/>
        </w:rPr>
        <w:t>doplnenie chýbajúcich náležitostí zo strany žiadateľa je 5 pracovných dní.</w:t>
      </w:r>
      <w:r w:rsidRPr="00DD1F29">
        <w:t xml:space="preserve"> </w:t>
      </w:r>
      <w:r w:rsidRPr="00AD420A">
        <w:t xml:space="preserve">Ak sa žiadateľ </w:t>
      </w:r>
      <w:r w:rsidRPr="00EA316A">
        <w:t>nevyjadrí v uvedenej lehote alebo existujú iné dôvody</w:t>
      </w:r>
      <w:r w:rsidR="008E01DC">
        <w:t>,</w:t>
      </w:r>
      <w:r w:rsidRPr="00EA316A">
        <w:t xml:space="preserve"> uvedené v § 20 zákona o príspevku z</w:t>
      </w:r>
      <w:r w:rsidR="008E01DC">
        <w:t> </w:t>
      </w:r>
      <w:r w:rsidRPr="00EA316A">
        <w:t>EŠIF</w:t>
      </w:r>
      <w:r w:rsidR="008E01DC">
        <w:t>, ktoré sa aplikujú</w:t>
      </w:r>
      <w:r w:rsidRPr="00EA316A">
        <w:t xml:space="preserve"> na zastavenie konania, </w:t>
      </w:r>
      <w:r w:rsidR="00FC3B41">
        <w:t>RO</w:t>
      </w:r>
      <w:r w:rsidRPr="00EA316A">
        <w:t xml:space="preserve"> postupuje primerane podľa § 20 zákona o príspevku z EŠIF a</w:t>
      </w:r>
      <w:r w:rsidRPr="001B709E">
        <w:t> </w:t>
      </w:r>
      <w:r w:rsidRPr="00EA316A">
        <w:t>posudzovanie projektového zámeru zastaví.</w:t>
      </w:r>
    </w:p>
    <w:p w14:paraId="73EE76FC" w14:textId="77777777" w:rsidR="00B650E5" w:rsidRDefault="00B650E5">
      <w:pPr>
        <w:numPr>
          <w:ilvl w:val="0"/>
          <w:numId w:val="96"/>
        </w:numPr>
        <w:spacing w:before="120" w:after="120"/>
        <w:ind w:left="426" w:hanging="426"/>
        <w:jc w:val="both"/>
        <w:rPr>
          <w:szCs w:val="22"/>
          <w:lang w:eastAsia="en-US"/>
        </w:rPr>
      </w:pPr>
      <w:r>
        <w:rPr>
          <w:szCs w:val="22"/>
          <w:lang w:eastAsia="en-US"/>
        </w:rPr>
        <w:t>RO po posúdení projektového zámeru vo vzťahu k podmienkam stanoveným vo výzve na</w:t>
      </w:r>
      <w:r w:rsidR="000A6768">
        <w:rPr>
          <w:szCs w:val="22"/>
          <w:lang w:eastAsia="en-US"/>
        </w:rPr>
        <w:t> </w:t>
      </w:r>
      <w:r>
        <w:rPr>
          <w:szCs w:val="22"/>
          <w:lang w:eastAsia="en-US"/>
        </w:rPr>
        <w:t>predkladanie projektových zámerov vydá žiadateľovi hodnotiacu správu, v ktorej uvedie, či boli splnené podmienky stanovené vo výzve na predkladanie projektových zámerov alebo niektorá/niektoré z podmienok splnené neboli.</w:t>
      </w:r>
    </w:p>
    <w:p w14:paraId="1E57A725" w14:textId="77777777" w:rsidR="00B650E5" w:rsidRDefault="00B650E5">
      <w:pPr>
        <w:numPr>
          <w:ilvl w:val="0"/>
          <w:numId w:val="96"/>
        </w:numPr>
        <w:spacing w:before="120" w:after="120"/>
        <w:ind w:left="426" w:hanging="426"/>
        <w:jc w:val="both"/>
        <w:rPr>
          <w:szCs w:val="22"/>
          <w:lang w:eastAsia="en-US"/>
        </w:rPr>
      </w:pPr>
      <w:r>
        <w:rPr>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14:paraId="23B40B30" w14:textId="77777777" w:rsidR="00B650E5" w:rsidRDefault="00B650E5">
      <w:pPr>
        <w:numPr>
          <w:ilvl w:val="0"/>
          <w:numId w:val="96"/>
        </w:numPr>
        <w:spacing w:before="120" w:after="120"/>
        <w:ind w:left="426" w:hanging="426"/>
        <w:jc w:val="both"/>
        <w:rPr>
          <w:szCs w:val="22"/>
          <w:lang w:eastAsia="en-US"/>
        </w:rPr>
      </w:pPr>
      <w:r>
        <w:rPr>
          <w:szCs w:val="22"/>
          <w:lang w:eastAsia="en-US"/>
        </w:rPr>
        <w:t>RO zabezpečí vydanie hodnotiacej správy pri všetkých projektových zámeroch, ktoré boli predmetom schvaľovacieho procesu najneskôr v termíne:</w:t>
      </w:r>
    </w:p>
    <w:p w14:paraId="4D1DF49F" w14:textId="54CD6C3B"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na predkladanie projektových zámer</w:t>
      </w:r>
      <w:r w:rsidR="007151C9">
        <w:rPr>
          <w:szCs w:val="22"/>
          <w:lang w:eastAsia="en-US"/>
        </w:rPr>
        <w:t>ov</w:t>
      </w:r>
      <w:r>
        <w:rPr>
          <w:szCs w:val="22"/>
          <w:lang w:eastAsia="en-US"/>
        </w:rPr>
        <w:t xml:space="preserve"> uvedeného vo</w:t>
      </w:r>
      <w:r w:rsidR="000A6768">
        <w:rPr>
          <w:szCs w:val="22"/>
          <w:lang w:eastAsia="en-US"/>
        </w:rPr>
        <w:t> </w:t>
      </w:r>
      <w:r>
        <w:rPr>
          <w:szCs w:val="22"/>
          <w:lang w:eastAsia="en-US"/>
        </w:rPr>
        <w:t>výzve v prípade uzavretej výzvy</w:t>
      </w:r>
      <w:r w:rsidR="000A6768">
        <w:rPr>
          <w:szCs w:val="22"/>
          <w:lang w:eastAsia="en-US"/>
        </w:rPr>
        <w:t>;</w:t>
      </w:r>
    </w:p>
    <w:p w14:paraId="113E5CD8" w14:textId="77777777" w:rsidR="00B650E5" w:rsidRDefault="00B650E5" w:rsidP="007A00B7">
      <w:pPr>
        <w:numPr>
          <w:ilvl w:val="1"/>
          <w:numId w:val="96"/>
        </w:numPr>
        <w:spacing w:before="120" w:after="120"/>
        <w:ind w:left="851" w:hanging="425"/>
        <w:jc w:val="both"/>
        <w:rPr>
          <w:szCs w:val="22"/>
          <w:lang w:eastAsia="en-US"/>
        </w:rPr>
      </w:pPr>
      <w:r>
        <w:rPr>
          <w:szCs w:val="22"/>
          <w:lang w:eastAsia="en-US"/>
        </w:rPr>
        <w:t>25 pracovných dní od konečného termínu príslušného posudzovaného časového obdobia výzvy v prípade otvorenej výzvy.</w:t>
      </w:r>
    </w:p>
    <w:p w14:paraId="207C7F38" w14:textId="77777777" w:rsidR="00B650E5" w:rsidRDefault="00B650E5">
      <w:pPr>
        <w:spacing w:before="120" w:after="120"/>
        <w:jc w:val="both"/>
        <w:rPr>
          <w:szCs w:val="22"/>
          <w:lang w:eastAsia="en-US"/>
        </w:rPr>
      </w:pPr>
      <w:r>
        <w:rPr>
          <w:szCs w:val="22"/>
          <w:lang w:eastAsia="en-US"/>
        </w:rPr>
        <w:t>Do lehoty na vydanie hodnotiacej správy sa nezapočítava doba potrebná na predloženie náležitostí zo</w:t>
      </w:r>
      <w:r w:rsidR="000A6768">
        <w:rPr>
          <w:szCs w:val="22"/>
          <w:lang w:eastAsia="en-US"/>
        </w:rPr>
        <w:t> </w:t>
      </w:r>
      <w:r>
        <w:rPr>
          <w:szCs w:val="22"/>
          <w:lang w:eastAsia="en-US"/>
        </w:rPr>
        <w:t>strany žiadateľa na základe výzvy zaslanej RO (</w:t>
      </w:r>
      <w:r w:rsidR="00C93F30">
        <w:rPr>
          <w:szCs w:val="22"/>
          <w:lang w:eastAsia="en-US"/>
        </w:rPr>
        <w:t xml:space="preserve">t. j. </w:t>
      </w:r>
      <w:r>
        <w:rPr>
          <w:szCs w:val="22"/>
          <w:lang w:eastAsia="en-US"/>
        </w:rPr>
        <w:t>prerušuje sa v momente zaslania výzvy na</w:t>
      </w:r>
      <w:r w:rsidR="000A6768">
        <w:rPr>
          <w:szCs w:val="22"/>
          <w:lang w:eastAsia="en-US"/>
        </w:rPr>
        <w:t> </w:t>
      </w:r>
      <w:r>
        <w:rPr>
          <w:szCs w:val="22"/>
          <w:lang w:eastAsia="en-US"/>
        </w:rPr>
        <w:t>doplnenie chýbajúcich náležitostí a začína plynúť momentom doručenia náležitostí na RO).</w:t>
      </w:r>
    </w:p>
    <w:p w14:paraId="63295C63" w14:textId="77777777" w:rsidR="00B650E5" w:rsidRDefault="00B650E5">
      <w:pPr>
        <w:spacing w:before="120" w:after="120"/>
        <w:ind w:left="426"/>
        <w:jc w:val="both"/>
        <w:rPr>
          <w:szCs w:val="22"/>
          <w:lang w:eastAsia="en-US"/>
        </w:rPr>
      </w:pPr>
    </w:p>
    <w:p w14:paraId="44CA2206" w14:textId="77777777" w:rsidR="00B650E5" w:rsidRDefault="0053588C">
      <w:pPr>
        <w:spacing w:before="120" w:after="120"/>
        <w:jc w:val="both"/>
      </w:pPr>
      <w:r>
        <w:rPr>
          <w:noProof/>
        </w:rPr>
        <w:lastRenderedPageBreak/>
        <w:drawing>
          <wp:inline distT="0" distB="0" distL="0" distR="0" wp14:anchorId="36F44B7B" wp14:editId="55008307">
            <wp:extent cx="5486400" cy="3214370"/>
            <wp:effectExtent l="0" t="38100" r="0" b="119380"/>
            <wp:docPr id="10" name="Diagram 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2" r:lo="rId123" r:qs="rId124" r:cs="rId125"/>
              </a:graphicData>
            </a:graphic>
          </wp:inline>
        </w:drawing>
      </w:r>
    </w:p>
    <w:p w14:paraId="198814C7" w14:textId="77777777" w:rsidR="00B650E5" w:rsidRDefault="00B650E5">
      <w:pPr>
        <w:spacing w:before="120" w:after="120"/>
        <w:jc w:val="center"/>
        <w:rPr>
          <w:sz w:val="18"/>
          <w:szCs w:val="16"/>
          <w:lang w:eastAsia="en-US"/>
        </w:rPr>
      </w:pPr>
      <w:r>
        <w:rPr>
          <w:sz w:val="18"/>
          <w:szCs w:val="16"/>
          <w:lang w:eastAsia="en-US"/>
        </w:rPr>
        <w:t>Posúdenie projektového zámeru</w:t>
      </w:r>
    </w:p>
    <w:p w14:paraId="1491CC8B" w14:textId="77777777" w:rsidR="00B650E5" w:rsidRDefault="00B650E5" w:rsidP="0045286B">
      <w:pPr>
        <w:pStyle w:val="SRK4"/>
      </w:pPr>
      <w:bookmarkStart w:id="238" w:name="_Toc453234003"/>
      <w:bookmarkStart w:id="239" w:name="_Toc501630056"/>
      <w:bookmarkStart w:id="240" w:name="kapitola_3222"/>
      <w:r>
        <w:t>3.2.2.2 Zohľadnenie výsledkov posúdenia projektových zámerov pri vyhlásení výzvy a konaní o žiadostiach o poskytnutí nenávratného finančného príspevk</w:t>
      </w:r>
      <w:bookmarkEnd w:id="238"/>
      <w:r>
        <w:t>u</w:t>
      </w:r>
      <w:bookmarkEnd w:id="239"/>
    </w:p>
    <w:bookmarkEnd w:id="240"/>
    <w:p w14:paraId="3860B774" w14:textId="77777777" w:rsidR="00B650E5" w:rsidRDefault="00B650E5">
      <w:pPr>
        <w:numPr>
          <w:ilvl w:val="0"/>
          <w:numId w:val="98"/>
        </w:numPr>
        <w:spacing w:before="120" w:after="120"/>
        <w:ind w:left="426" w:hanging="426"/>
        <w:jc w:val="both"/>
        <w:rPr>
          <w:szCs w:val="22"/>
          <w:lang w:eastAsia="en-US"/>
        </w:rPr>
      </w:pPr>
      <w:r>
        <w:rPr>
          <w:szCs w:val="22"/>
          <w:lang w:eastAsia="en-US"/>
        </w:rPr>
        <w:t>Ak vyhláseniu výzvy predchádzalo posudzovanie projektových zámerov, RO je oprávnený vo</w:t>
      </w:r>
      <w:r w:rsidR="000A6768">
        <w:rPr>
          <w:szCs w:val="22"/>
          <w:lang w:eastAsia="en-US"/>
        </w:rPr>
        <w:t> </w:t>
      </w:r>
      <w:r>
        <w:rPr>
          <w:szCs w:val="22"/>
          <w:lang w:eastAsia="en-US"/>
        </w:rPr>
        <w:t xml:space="preserve">výzve stanoviť ako povinnú podmienku poskytnutia príspevku </w:t>
      </w:r>
      <w:r w:rsidR="000A6768">
        <w:rPr>
          <w:szCs w:val="22"/>
          <w:lang w:eastAsia="en-US"/>
        </w:rPr>
        <w:t xml:space="preserve">mať </w:t>
      </w:r>
      <w:r>
        <w:rPr>
          <w:szCs w:val="22"/>
          <w:lang w:eastAsia="en-US"/>
        </w:rPr>
        <w:t>hodnotiacu správu ako povinnú prílohu ŽoNFP.</w:t>
      </w:r>
    </w:p>
    <w:p w14:paraId="716AB780" w14:textId="77777777" w:rsidR="00B650E5" w:rsidRDefault="0053588C">
      <w:pPr>
        <w:spacing w:before="120" w:after="120"/>
        <w:jc w:val="both"/>
      </w:pPr>
      <w:r>
        <w:rPr>
          <w:noProof/>
        </w:rPr>
        <w:drawing>
          <wp:inline distT="0" distB="0" distL="0" distR="0" wp14:anchorId="0FAF791D" wp14:editId="67BDE7F3">
            <wp:extent cx="5468620" cy="3191510"/>
            <wp:effectExtent l="57150" t="0" r="93980" b="0"/>
            <wp:docPr id="11" name="Diagram 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7" r:lo="rId128" r:qs="rId129" r:cs="rId130"/>
              </a:graphicData>
            </a:graphic>
          </wp:inline>
        </w:drawing>
      </w:r>
    </w:p>
    <w:p w14:paraId="260EABF4" w14:textId="77777777" w:rsidR="00B650E5" w:rsidRDefault="00B650E5">
      <w:pPr>
        <w:spacing w:before="120" w:after="120"/>
        <w:jc w:val="center"/>
        <w:rPr>
          <w:sz w:val="18"/>
          <w:szCs w:val="18"/>
        </w:rPr>
      </w:pPr>
      <w:r>
        <w:rPr>
          <w:sz w:val="18"/>
          <w:szCs w:val="18"/>
        </w:rPr>
        <w:t>Zohľadnenie prvého kola výberu v rámci prípravy výzvy a schvaľovania ŽoNFP</w:t>
      </w:r>
    </w:p>
    <w:p w14:paraId="1BE76C43" w14:textId="77777777" w:rsidR="00B650E5" w:rsidRDefault="00B650E5">
      <w:pPr>
        <w:numPr>
          <w:ilvl w:val="0"/>
          <w:numId w:val="98"/>
        </w:numPr>
        <w:spacing w:before="120" w:after="120"/>
        <w:ind w:left="426" w:hanging="426"/>
        <w:jc w:val="both"/>
        <w:rPr>
          <w:szCs w:val="22"/>
          <w:lang w:eastAsia="en-US"/>
        </w:rPr>
      </w:pPr>
      <w:r>
        <w:rPr>
          <w:szCs w:val="22"/>
          <w:lang w:eastAsia="en-US"/>
        </w:rPr>
        <w:t xml:space="preserve">RO je v rámci podmienok výzvy oprávnený zadefinovať rozsah údajov, ktoré nie je možné v porovnaní s posudzovaným projektovým zámerom zmeniť, resp. prípustnú toleranciu zmien (napr. pri hodnotách merateľných ukazovateľov, výške oprávnených výdavkov a pod.). Splnenie </w:t>
      </w:r>
      <w:r>
        <w:rPr>
          <w:szCs w:val="22"/>
          <w:lang w:eastAsia="en-US"/>
        </w:rPr>
        <w:lastRenderedPageBreak/>
        <w:t>týchto podmienok RO overuje v rámci ďalších podmienok poskytnutia príspevku vo vzťahu k predloženým ŽoNFP.</w:t>
      </w:r>
    </w:p>
    <w:p w14:paraId="1830F7CC" w14:textId="77777777" w:rsidR="00B650E5" w:rsidRDefault="00B650E5">
      <w:pPr>
        <w:numPr>
          <w:ilvl w:val="0"/>
          <w:numId w:val="98"/>
        </w:numPr>
        <w:spacing w:before="120" w:after="120"/>
        <w:ind w:left="426" w:hanging="426"/>
        <w:jc w:val="both"/>
        <w:rPr>
          <w:szCs w:val="22"/>
          <w:lang w:eastAsia="en-US"/>
        </w:rPr>
      </w:pPr>
      <w:r>
        <w:rPr>
          <w:szCs w:val="22"/>
          <w:lang w:eastAsia="en-US"/>
        </w:rPr>
        <w:t xml:space="preserve">V konaní o ŽoNFP RO prihliada na výsledky uvedené v hodnotiacej správe vo fáze výberu ŽoNFP, ak pri ŽoNFP, ktoré splnili všetky podmienky poskytnutia príspevku nie je dostatočná alokácia určená vo výzve na podporu všetkých ŽoNFP. V takom prípade RO zoradí ŽoNFP, ktoré splnili podmienky poskytnutia príspevku na základe výsledkov odborného hodnotenia tak, že vytvorí dve skupiny. </w:t>
      </w:r>
    </w:p>
    <w:p w14:paraId="299EFC17" w14:textId="77777777" w:rsidR="00B650E5" w:rsidRDefault="00B650E5">
      <w:pPr>
        <w:numPr>
          <w:ilvl w:val="0"/>
          <w:numId w:val="99"/>
        </w:numPr>
        <w:spacing w:before="120" w:after="120"/>
        <w:ind w:left="850" w:hanging="425"/>
        <w:jc w:val="both"/>
        <w:rPr>
          <w:bCs/>
          <w:iCs/>
          <w:szCs w:val="22"/>
          <w:lang w:eastAsia="en-US"/>
        </w:rPr>
      </w:pPr>
      <w:r>
        <w:rPr>
          <w:b/>
          <w:bCs/>
          <w:iCs/>
          <w:szCs w:val="22"/>
          <w:lang w:eastAsia="en-US"/>
        </w:rPr>
        <w:t>Prvá skupina ŽoNFP</w:t>
      </w:r>
      <w:r>
        <w:rPr>
          <w:bCs/>
          <w:iCs/>
          <w:szCs w:val="22"/>
          <w:lang w:eastAsia="en-US"/>
        </w:rPr>
        <w:t xml:space="preserve"> je vytvorená zo ŽoNFP, ktoré splnili podmienky poskytnutia príspevku a ktoré zároveň obsahovali pozitívnu hodnotiacu správu. Z takto vytvorenej skupiny ŽoNFP RO podľa poradia schváli ŽoNFP do výšky finančných prostriedkov určených na výzvu. </w:t>
      </w:r>
    </w:p>
    <w:p w14:paraId="5339D3EC" w14:textId="77777777" w:rsidR="00B650E5" w:rsidRDefault="00B650E5">
      <w:pPr>
        <w:numPr>
          <w:ilvl w:val="0"/>
          <w:numId w:val="99"/>
        </w:numPr>
        <w:spacing w:before="120" w:after="120"/>
        <w:ind w:left="850" w:hanging="425"/>
        <w:jc w:val="both"/>
        <w:rPr>
          <w:bCs/>
          <w:iCs/>
          <w:szCs w:val="22"/>
          <w:lang w:eastAsia="en-US"/>
        </w:rPr>
      </w:pPr>
      <w:r>
        <w:rPr>
          <w:b/>
          <w:bCs/>
          <w:iCs/>
          <w:szCs w:val="22"/>
          <w:lang w:eastAsia="en-US"/>
        </w:rPr>
        <w:t>Druhá skupina ŽoNFP</w:t>
      </w:r>
      <w:r>
        <w:rPr>
          <w:bCs/>
          <w:iCs/>
          <w:szCs w:val="22"/>
          <w:lang w:eastAsia="en-US"/>
        </w:rPr>
        <w:t xml:space="preserve"> je vytvorená zo ŽoNFP, ktoré splnili podmienky poskytnutia príspevku a ktoré obsahovali negatívnu hodnotiacu správu. V rámci tejto skupiny ŽoNFP RO schváli ŽoNFP podľa určeného poradia za podmienky, že schválením ŽoNFP v prvej skupine neboli vyčerpané finančné prostriedky určené vo výzve.</w:t>
      </w:r>
    </w:p>
    <w:p w14:paraId="6C83EF35" w14:textId="77777777" w:rsidR="00B650E5" w:rsidRDefault="00B650E5">
      <w:pPr>
        <w:spacing w:before="120" w:after="120"/>
        <w:ind w:left="426"/>
        <w:jc w:val="both"/>
      </w:pPr>
      <w:r>
        <w:t xml:space="preserve">Ak RO pri výbere projektov aplikuje okrem počtu dosiahnutých bodov aj výberové kritériá, RO rovnako aplikuje dané kritériá v rámci vytvárania prvej a druhej skupiny </w:t>
      </w:r>
      <w:r>
        <w:rPr>
          <w:bCs/>
          <w:iCs/>
          <w:szCs w:val="22"/>
          <w:lang w:eastAsia="en-US"/>
        </w:rPr>
        <w:t>ŽoNFP</w:t>
      </w:r>
      <w:r>
        <w:t xml:space="preserve"> podľa tohto odseku.</w:t>
      </w:r>
    </w:p>
    <w:p w14:paraId="1C7CA25E" w14:textId="77777777" w:rsidR="00B650E5" w:rsidRDefault="0053588C">
      <w:pPr>
        <w:spacing w:before="120" w:after="120"/>
      </w:pPr>
      <w:r>
        <w:rPr>
          <w:noProof/>
        </w:rPr>
        <w:drawing>
          <wp:inline distT="0" distB="0" distL="0" distR="0" wp14:anchorId="1E9FC50E" wp14:editId="725762F4">
            <wp:extent cx="5805805" cy="2775585"/>
            <wp:effectExtent l="0" t="38100" r="0" b="120015"/>
            <wp:docPr id="12" name="Diagram 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2" r:lo="rId133" r:qs="rId134" r:cs="rId135"/>
              </a:graphicData>
            </a:graphic>
          </wp:inline>
        </w:drawing>
      </w:r>
    </w:p>
    <w:p w14:paraId="746DA904" w14:textId="77777777" w:rsidR="00B650E5" w:rsidRDefault="00B650E5">
      <w:pPr>
        <w:spacing w:before="120" w:after="120"/>
        <w:jc w:val="center"/>
        <w:rPr>
          <w:sz w:val="18"/>
          <w:szCs w:val="18"/>
        </w:rPr>
      </w:pPr>
      <w:r>
        <w:rPr>
          <w:sz w:val="18"/>
          <w:szCs w:val="18"/>
        </w:rPr>
        <w:t>Zohľadnenie hodnotiacej správy v procese výberu ŽoNFP</w:t>
      </w:r>
    </w:p>
    <w:p w14:paraId="2DF9F97D" w14:textId="77777777" w:rsidR="00B650E5" w:rsidRDefault="00B650E5" w:rsidP="0045286B">
      <w:pPr>
        <w:pStyle w:val="SRK4"/>
      </w:pPr>
      <w:bookmarkStart w:id="241" w:name="_Toc453234004"/>
      <w:bookmarkStart w:id="242" w:name="_Toc501630057"/>
      <w:r>
        <w:t>3.2.2.3 Záverečná správa z výzvy na predkladanie projektových zámerov</w:t>
      </w:r>
      <w:bookmarkEnd w:id="241"/>
      <w:bookmarkEnd w:id="242"/>
    </w:p>
    <w:p w14:paraId="69E4EDC6" w14:textId="77777777" w:rsidR="00B650E5" w:rsidRDefault="00B650E5">
      <w:pPr>
        <w:numPr>
          <w:ilvl w:val="0"/>
          <w:numId w:val="100"/>
        </w:numPr>
        <w:spacing w:before="120" w:after="120"/>
        <w:ind w:left="426" w:hanging="426"/>
        <w:jc w:val="both"/>
        <w:rPr>
          <w:szCs w:val="22"/>
          <w:lang w:eastAsia="en-US"/>
        </w:rPr>
      </w:pPr>
      <w:r>
        <w:rPr>
          <w:szCs w:val="22"/>
          <w:lang w:eastAsia="en-US"/>
        </w:rPr>
        <w:t>Po ukončení posudzovania všetkých projektových zámerov predložených na základe výzvy na</w:t>
      </w:r>
      <w:r w:rsidR="00117B54">
        <w:rPr>
          <w:szCs w:val="22"/>
          <w:lang w:eastAsia="en-US"/>
        </w:rPr>
        <w:t> </w:t>
      </w:r>
      <w:r>
        <w:rPr>
          <w:szCs w:val="22"/>
          <w:lang w:eastAsia="en-US"/>
        </w:rPr>
        <w:t>predkladanie projektových zámerov (</w:t>
      </w:r>
      <w:r w:rsidR="00C93F30">
        <w:rPr>
          <w:szCs w:val="22"/>
          <w:lang w:eastAsia="en-US"/>
        </w:rPr>
        <w:t xml:space="preserve">t. j. </w:t>
      </w:r>
      <w:r>
        <w:rPr>
          <w:szCs w:val="22"/>
          <w:lang w:eastAsia="en-US"/>
        </w:rPr>
        <w:t>po vydaní hodnotiacej správy za všetky projektové zámery predložené v rámci výzvy na predkladanie projektových zámerov, alebo za vymedzené časové obdobie pri otvorených výzvach) RO vypracuje záverečnú správu z výzvy na</w:t>
      </w:r>
      <w:r w:rsidR="00117B54">
        <w:rPr>
          <w:szCs w:val="22"/>
          <w:lang w:eastAsia="en-US"/>
        </w:rPr>
        <w:t> </w:t>
      </w:r>
      <w:r>
        <w:rPr>
          <w:szCs w:val="22"/>
          <w:lang w:eastAsia="en-US"/>
        </w:rPr>
        <w:t>predkladanie projektových zámerov. Záverečná správa z výzvy na predkladanie projektových zámerov sumarizuje priebeh a výsledky posudzovania projektových zámerov.</w:t>
      </w:r>
    </w:p>
    <w:p w14:paraId="0E82BC12" w14:textId="77777777" w:rsidR="00B650E5" w:rsidRDefault="00B650E5">
      <w:pPr>
        <w:numPr>
          <w:ilvl w:val="0"/>
          <w:numId w:val="100"/>
        </w:numPr>
        <w:spacing w:before="120" w:after="120"/>
        <w:ind w:left="426" w:hanging="426"/>
        <w:jc w:val="both"/>
        <w:rPr>
          <w:szCs w:val="22"/>
          <w:lang w:eastAsia="en-US"/>
        </w:rPr>
      </w:pPr>
      <w:r>
        <w:rPr>
          <w:szCs w:val="22"/>
          <w:lang w:eastAsia="en-US"/>
        </w:rPr>
        <w:lastRenderedPageBreak/>
        <w:t>Minimálne požiadavky na obsah záverečnej správy sú uvedené vo vzore</w:t>
      </w:r>
      <w:r>
        <w:rPr>
          <w:rStyle w:val="Odkaznapoznmkupodiarou"/>
          <w:szCs w:val="22"/>
          <w:lang w:eastAsia="en-US"/>
        </w:rPr>
        <w:footnoteReference w:id="67"/>
      </w:r>
      <w:r>
        <w:rPr>
          <w:szCs w:val="22"/>
          <w:lang w:eastAsia="en-US"/>
        </w:rPr>
        <w:t xml:space="preserve"> vydanom CKO. Všetky dokumenty, ktoré sú súčasťou a dokumentujú proces posudzovania projektových zámerov RO uchováva v spisoch jednotlivých projektových zámerov alebo ako prílohu záverečnej správy. </w:t>
      </w:r>
    </w:p>
    <w:p w14:paraId="4875AAAC" w14:textId="77777777" w:rsidR="00B650E5" w:rsidRDefault="00B650E5">
      <w:pPr>
        <w:numPr>
          <w:ilvl w:val="0"/>
          <w:numId w:val="100"/>
        </w:numPr>
        <w:spacing w:before="120" w:after="120"/>
        <w:ind w:left="426" w:hanging="426"/>
        <w:jc w:val="both"/>
        <w:rPr>
          <w:szCs w:val="22"/>
          <w:lang w:eastAsia="en-US"/>
        </w:rPr>
      </w:pPr>
      <w:r>
        <w:rPr>
          <w:szCs w:val="22"/>
          <w:lang w:eastAsia="en-US"/>
        </w:rPr>
        <w:t>Prílohou záverečnej správy z výzvy na predkladanie projektových zámerov je zoznam projektových zámerov, ktorý obsahuje zoznam projektových zámerov, ktoré splnili podmienky určené vo výzve na predkladanie projektových zámerov (</w:t>
      </w:r>
      <w:r w:rsidR="00C93F30">
        <w:rPr>
          <w:szCs w:val="22"/>
          <w:lang w:eastAsia="en-US"/>
        </w:rPr>
        <w:t xml:space="preserve">t. j. </w:t>
      </w:r>
      <w:r>
        <w:rPr>
          <w:szCs w:val="22"/>
          <w:lang w:eastAsia="en-US"/>
        </w:rPr>
        <w:t>majú pozitívnu hodnotiacu správ</w:t>
      </w:r>
      <w:r w:rsidR="00117B54">
        <w:rPr>
          <w:szCs w:val="22"/>
          <w:lang w:eastAsia="en-US"/>
        </w:rPr>
        <w:t>u</w:t>
      </w:r>
      <w:r>
        <w:rPr>
          <w:szCs w:val="22"/>
          <w:lang w:eastAsia="en-US"/>
        </w:rPr>
        <w:t>) a zoznam projektových zámerov, ktoré nesplnili podmienky určené vo výzve na predkladanie projektových zámerov (</w:t>
      </w:r>
      <w:r w:rsidR="00C93F30">
        <w:rPr>
          <w:szCs w:val="22"/>
          <w:lang w:eastAsia="en-US"/>
        </w:rPr>
        <w:t xml:space="preserve">t. j. </w:t>
      </w:r>
      <w:r>
        <w:rPr>
          <w:szCs w:val="22"/>
          <w:lang w:eastAsia="en-US"/>
        </w:rPr>
        <w:t>majú negatívnu hodnotiacu správu).</w:t>
      </w:r>
    </w:p>
    <w:p w14:paraId="652161CC" w14:textId="77777777" w:rsidR="00B650E5" w:rsidRDefault="00B650E5">
      <w:pPr>
        <w:numPr>
          <w:ilvl w:val="0"/>
          <w:numId w:val="100"/>
        </w:numPr>
        <w:spacing w:before="120" w:after="120"/>
        <w:ind w:left="426" w:hanging="426"/>
        <w:jc w:val="both"/>
        <w:rPr>
          <w:szCs w:val="22"/>
          <w:lang w:eastAsia="en-US"/>
        </w:rPr>
      </w:pPr>
      <w:r>
        <w:rPr>
          <w:szCs w:val="22"/>
          <w:lang w:eastAsia="en-US"/>
        </w:rPr>
        <w:t xml:space="preserve">RO zasiela záverečnú správu z výzvy na predkladanie projektových zámerov CO najneskôr do 5 pracovných dní od jej schválenia. </w:t>
      </w:r>
    </w:p>
    <w:p w14:paraId="4CB1BCBB" w14:textId="77777777" w:rsidR="00B650E5" w:rsidRDefault="00B650E5">
      <w:pPr>
        <w:pStyle w:val="SRK3"/>
      </w:pPr>
      <w:bookmarkStart w:id="243" w:name="_Toc453234005"/>
      <w:bookmarkStart w:id="244" w:name="_Toc501630058"/>
      <w:bookmarkStart w:id="245" w:name="kapitola_323"/>
      <w:r>
        <w:t>3.2.3 Zásobník projektov</w:t>
      </w:r>
      <w:bookmarkEnd w:id="243"/>
      <w:bookmarkEnd w:id="244"/>
    </w:p>
    <w:p w14:paraId="59A221CE" w14:textId="77777777" w:rsidR="00B650E5" w:rsidRDefault="00B650E5">
      <w:pPr>
        <w:numPr>
          <w:ilvl w:val="0"/>
          <w:numId w:val="101"/>
        </w:numPr>
        <w:spacing w:before="120" w:after="120"/>
        <w:ind w:left="426" w:hanging="426"/>
        <w:jc w:val="both"/>
        <w:rPr>
          <w:szCs w:val="22"/>
          <w:lang w:eastAsia="en-US"/>
        </w:rPr>
      </w:pPr>
      <w:bookmarkStart w:id="246" w:name="_Toc378954336"/>
      <w:bookmarkStart w:id="247" w:name="_Toc378947501"/>
      <w:bookmarkEnd w:id="245"/>
      <w:r>
        <w:rPr>
          <w:szCs w:val="22"/>
          <w:lang w:eastAsia="en-US"/>
        </w:rPr>
        <w:t>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v prípade, ak RO vytvoril zásobník projektov a dodatočne získa finančné prostriedky na financovanie takýchto projektov je RO oprávnený nevyužiť inštitút zásobníka projektov a vyhlásiť novú výzvu.</w:t>
      </w:r>
    </w:p>
    <w:p w14:paraId="3BF7CDCD" w14:textId="77777777" w:rsidR="00B650E5" w:rsidRDefault="00B650E5">
      <w:pPr>
        <w:numPr>
          <w:ilvl w:val="0"/>
          <w:numId w:val="101"/>
        </w:numPr>
        <w:spacing w:before="120" w:after="120"/>
        <w:ind w:left="426" w:hanging="426"/>
        <w:jc w:val="both"/>
        <w:rPr>
          <w:szCs w:val="22"/>
          <w:lang w:eastAsia="en-US"/>
        </w:rPr>
      </w:pPr>
      <w:r>
        <w:rPr>
          <w:szCs w:val="22"/>
          <w:lang w:eastAsia="en-US"/>
        </w:rPr>
        <w:t>RO je oprávnený využiť zásobník projektov za predpokladu, že:</w:t>
      </w:r>
    </w:p>
    <w:p w14:paraId="2C9F15E1"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rozhodnutie o neschválení bolo vydané len z dôvodu vyčerpania finančných prostriedkov určených na výzvu a informácia o možnosti zmeny rozhodnutia bola uvedená v rozhodnutí o neschválení, ktoré je podľa tohto ustanovenia menené</w:t>
      </w:r>
      <w:r>
        <w:rPr>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14:paraId="6E171B7F"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poskytovateľ disponuje dostatočnými finančnými prostriedkami určenými na zabezpečenie financovania projektu, ktorý je predmetom ŽoNFP</w:t>
      </w:r>
      <w:r>
        <w:rPr>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14:paraId="0786D146"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preukázateľne spĺňa podmienky poskytnutia príspevku</w:t>
      </w:r>
      <w:r>
        <w:rPr>
          <w:bCs/>
          <w:iCs/>
          <w:szCs w:val="22"/>
          <w:lang w:eastAsia="en-US"/>
        </w:rPr>
        <w:t xml:space="preserve"> – overenie podmienok poskytnutia príspevku je predpokladom zmeny rozhodnutia podľa tejto časti,</w:t>
      </w:r>
    </w:p>
    <w:p w14:paraId="5A1720E7" w14:textId="77777777" w:rsidR="00B650E5" w:rsidRDefault="00B650E5">
      <w:pPr>
        <w:numPr>
          <w:ilvl w:val="0"/>
          <w:numId w:val="102"/>
        </w:numPr>
        <w:spacing w:before="120" w:after="120"/>
        <w:ind w:left="851" w:hanging="425"/>
        <w:jc w:val="both"/>
        <w:rPr>
          <w:bCs/>
          <w:iCs/>
          <w:szCs w:val="22"/>
          <w:lang w:eastAsia="en-US"/>
        </w:rPr>
      </w:pPr>
      <w:r>
        <w:rPr>
          <w:bCs/>
          <w:i/>
          <w:iCs/>
          <w:szCs w:val="22"/>
          <w:lang w:eastAsia="en-US"/>
        </w:rPr>
        <w:t>žiadateľ so zmenou rozhodnutia súhlasí</w:t>
      </w:r>
      <w:r>
        <w:rPr>
          <w:bCs/>
          <w:iCs/>
          <w:szCs w:val="22"/>
          <w:lang w:eastAsia="en-US"/>
        </w:rPr>
        <w:t xml:space="preserve"> – </w:t>
      </w:r>
      <w:r w:rsidR="00C93F30">
        <w:rPr>
          <w:bCs/>
          <w:iCs/>
          <w:szCs w:val="22"/>
          <w:lang w:eastAsia="en-US"/>
        </w:rPr>
        <w:t>keďže</w:t>
      </w:r>
      <w:r>
        <w:rPr>
          <w:bCs/>
          <w:iCs/>
          <w:szCs w:val="22"/>
          <w:lang w:eastAsia="en-US"/>
        </w:rPr>
        <w:t xml:space="preserve"> od vydania rozhodnutia mohol uplynúť dlhší čas a žiadateľ nemusí mať už záujem na schválení ŽoNFP, je podmienkou zmeny rozhodnutia aj súhlas žiadateľa so zmenou rozhodnutia.</w:t>
      </w:r>
    </w:p>
    <w:p w14:paraId="445619C8" w14:textId="77777777" w:rsidR="00B650E5" w:rsidRDefault="0053588C">
      <w:pPr>
        <w:spacing w:before="120" w:after="120"/>
        <w:jc w:val="both"/>
        <w:rPr>
          <w:szCs w:val="22"/>
          <w:lang w:eastAsia="en-US"/>
        </w:rPr>
      </w:pPr>
      <w:r>
        <w:rPr>
          <w:noProof/>
          <w:szCs w:val="22"/>
        </w:rPr>
        <w:lastRenderedPageBreak/>
        <w:drawing>
          <wp:inline distT="0" distB="0" distL="0" distR="0" wp14:anchorId="1D7C25AD" wp14:editId="3EBE1B37">
            <wp:extent cx="5516880" cy="3217545"/>
            <wp:effectExtent l="95250" t="0" r="102870" b="59055"/>
            <wp:docPr id="13" name="Diagram 1070"/>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7" r:lo="rId138" r:qs="rId139" r:cs="rId140"/>
              </a:graphicData>
            </a:graphic>
          </wp:inline>
        </w:drawing>
      </w:r>
    </w:p>
    <w:p w14:paraId="3627DBA8" w14:textId="77777777" w:rsidR="00B650E5" w:rsidRDefault="00B650E5">
      <w:pPr>
        <w:tabs>
          <w:tab w:val="left" w:pos="709"/>
        </w:tabs>
        <w:spacing w:before="120" w:after="120"/>
        <w:jc w:val="center"/>
        <w:rPr>
          <w:sz w:val="18"/>
          <w:szCs w:val="18"/>
          <w:lang w:eastAsia="en-US"/>
        </w:rPr>
      </w:pPr>
      <w:r>
        <w:rPr>
          <w:sz w:val="18"/>
          <w:szCs w:val="18"/>
          <w:lang w:eastAsia="en-US"/>
        </w:rPr>
        <w:t>Podmienky využiteľnosti zásobníka projektov</w:t>
      </w:r>
    </w:p>
    <w:p w14:paraId="3222993E" w14:textId="77777777" w:rsidR="00B650E5" w:rsidRDefault="00B650E5">
      <w:pPr>
        <w:numPr>
          <w:ilvl w:val="0"/>
          <w:numId w:val="101"/>
        </w:numPr>
        <w:spacing w:before="120" w:after="120"/>
        <w:ind w:left="426" w:hanging="426"/>
        <w:jc w:val="both"/>
        <w:rPr>
          <w:szCs w:val="22"/>
          <w:lang w:eastAsia="en-US"/>
        </w:rPr>
      </w:pPr>
      <w:r>
        <w:rPr>
          <w:szCs w:val="22"/>
          <w:lang w:eastAsia="en-US"/>
        </w:rPr>
        <w:t>RO je pri rozhodovaní o zmene rozhodnutia o neschválení ŽoNFP viazaný dodržaním poradia ŽoNFP určeného na základe aplikácie kritérií pre výber projektov v konaní o ŽoNFP.</w:t>
      </w:r>
    </w:p>
    <w:p w14:paraId="745DB7DC" w14:textId="68FD6355" w:rsidR="00B650E5" w:rsidRDefault="00B650E5">
      <w:pPr>
        <w:numPr>
          <w:ilvl w:val="0"/>
          <w:numId w:val="101"/>
        </w:numPr>
        <w:spacing w:before="120" w:after="120"/>
        <w:ind w:left="426" w:hanging="426"/>
        <w:jc w:val="both"/>
        <w:rPr>
          <w:szCs w:val="22"/>
          <w:lang w:eastAsia="en-US"/>
        </w:rPr>
      </w:pPr>
      <w:r>
        <w:rPr>
          <w:szCs w:val="22"/>
          <w:lang w:eastAsia="en-US"/>
        </w:rPr>
        <w:t xml:space="preserve">V prípade otvorených výziev je aplikácia zásobníka projektov možná na rozhodnutia o neschválení </w:t>
      </w:r>
      <w:r w:rsidR="009C47E8" w:rsidRPr="00055814">
        <w:rPr>
          <w:szCs w:val="22"/>
          <w:lang w:eastAsia="en-US"/>
        </w:rPr>
        <w:t xml:space="preserve">vydané </w:t>
      </w:r>
      <w:r w:rsidR="009C47E8" w:rsidRPr="000D4BBF">
        <w:t xml:space="preserve">v rámci niekoľkých ostatných posudzovaných období výzvy. RO postupuje pri aplikácii zásobníka </w:t>
      </w:r>
      <w:r w:rsidR="009C47E8" w:rsidRPr="00055814">
        <w:t xml:space="preserve">postupne, </w:t>
      </w:r>
      <w:r w:rsidR="009C47E8" w:rsidRPr="000D4BBF">
        <w:t xml:space="preserve">a to </w:t>
      </w:r>
      <w:r w:rsidR="009C47E8" w:rsidRPr="00055814">
        <w:t>od najstaršieho</w:t>
      </w:r>
      <w:r w:rsidR="009C47E8" w:rsidRPr="000D4BBF">
        <w:t xml:space="preserve"> </w:t>
      </w:r>
      <w:r>
        <w:rPr>
          <w:szCs w:val="22"/>
          <w:lang w:eastAsia="en-US"/>
        </w:rPr>
        <w:t xml:space="preserve">posudzovaného </w:t>
      </w:r>
      <w:r w:rsidR="009C47E8">
        <w:rPr>
          <w:szCs w:val="22"/>
          <w:lang w:eastAsia="en-US"/>
        </w:rPr>
        <w:t xml:space="preserve">časového </w:t>
      </w:r>
      <w:r>
        <w:rPr>
          <w:szCs w:val="22"/>
          <w:lang w:eastAsia="en-US"/>
        </w:rPr>
        <w:t>obdobia</w:t>
      </w:r>
      <w:r w:rsidR="009C47E8">
        <w:rPr>
          <w:szCs w:val="22"/>
          <w:lang w:eastAsia="en-US"/>
        </w:rPr>
        <w:t xml:space="preserve"> výzvy</w:t>
      </w:r>
      <w:r>
        <w:rPr>
          <w:szCs w:val="22"/>
          <w:lang w:eastAsia="en-US"/>
        </w:rPr>
        <w:t>, v</w:t>
      </w:r>
      <w:r w:rsidR="00744889">
        <w:rPr>
          <w:szCs w:val="22"/>
          <w:lang w:eastAsia="en-US"/>
        </w:rPr>
        <w:t> </w:t>
      </w:r>
      <w:r>
        <w:rPr>
          <w:szCs w:val="22"/>
          <w:lang w:eastAsia="en-US"/>
        </w:rPr>
        <w:t>ktorom došlo k neschváleniu ŽoNFP z dôvodu vyčerpania finančných prostriedkov na výzvu.</w:t>
      </w:r>
      <w:r w:rsidR="009C47E8">
        <w:rPr>
          <w:szCs w:val="22"/>
          <w:lang w:eastAsia="en-US"/>
        </w:rPr>
        <w:t xml:space="preserve"> </w:t>
      </w:r>
      <w:r w:rsidR="009C47E8" w:rsidRPr="000D4BBF">
        <w:t>V</w:t>
      </w:r>
      <w:r w:rsidR="009C47E8" w:rsidRPr="000D4BBF">
        <w:rPr>
          <w:lang w:eastAsia="en-US"/>
        </w:rPr>
        <w:t> rámci jednotlivého posudzovaného časového obdobia výzvy sa uplatní poradie ŽoNFP podľa ods. 3.</w:t>
      </w:r>
    </w:p>
    <w:p w14:paraId="4A63790B" w14:textId="77777777" w:rsidR="00B650E5" w:rsidRDefault="00B650E5">
      <w:pPr>
        <w:numPr>
          <w:ilvl w:val="0"/>
          <w:numId w:val="101"/>
        </w:numPr>
        <w:spacing w:before="120" w:after="120"/>
        <w:ind w:left="426" w:hanging="426"/>
        <w:jc w:val="both"/>
        <w:rPr>
          <w:szCs w:val="22"/>
          <w:lang w:eastAsia="en-US"/>
        </w:rPr>
      </w:pPr>
      <w:bookmarkStart w:id="248" w:name="kapitola_323_ods_5"/>
      <w:r>
        <w:rPr>
          <w:szCs w:val="22"/>
          <w:lang w:eastAsia="en-US"/>
        </w:rPr>
        <w:t>RO na základe zoznamu ŽoNFP zaradených v zásobníku projektov písomne informuje žiadateľa o začatí konania o zmene rozhodnutia o neschválení a vyzve žiadateľov, ktorých rozhodnutie o</w:t>
      </w:r>
      <w:r w:rsidR="00285839">
        <w:rPr>
          <w:szCs w:val="22"/>
          <w:lang w:eastAsia="en-US"/>
        </w:rPr>
        <w:t> </w:t>
      </w:r>
      <w:r>
        <w:rPr>
          <w:szCs w:val="22"/>
          <w:lang w:eastAsia="en-US"/>
        </w:rPr>
        <w:t>neschválení môže byť na základe dodatočných disponibilných prostriedkov zmenené na</w:t>
      </w:r>
      <w:r w:rsidR="00285839">
        <w:rPr>
          <w:szCs w:val="22"/>
          <w:lang w:eastAsia="en-US"/>
        </w:rPr>
        <w:t> </w:t>
      </w:r>
      <w:r>
        <w:rPr>
          <w:szCs w:val="22"/>
          <w:lang w:eastAsia="en-US"/>
        </w:rPr>
        <w:t>preukázanie skutočnosti, či ŽoNFP naďalej spĺňa podmienky poskytnutia príspevku, ak nebolo možné overiť splnenie týchto podmienok aj bez výzvy zaslanej žiadateľovi. RO v rámci overovania splnenia podmienok nevykonáva opakovane odborné hodnotenie ŽoNFP. Pre účely výberu projektov zo zásobníka sa podmienky odborného hodnotenia považujú za dodržané a splnené práve zaradením ŽoNFP do zásobníka. Súčasťou písomnej informácie a výzvy na</w:t>
      </w:r>
      <w:r w:rsidR="00285839">
        <w:rPr>
          <w:szCs w:val="22"/>
          <w:lang w:eastAsia="en-US"/>
        </w:rPr>
        <w:t> </w:t>
      </w:r>
      <w:r>
        <w:rPr>
          <w:szCs w:val="22"/>
          <w:lang w:eastAsia="en-US"/>
        </w:rPr>
        <w:t>preukázanie splnenia podmienok poskytnutia príspevku je aj žiadosť o vyjadrenie súhlasu žiadateľa so zmenou rozhodnutia.</w:t>
      </w:r>
    </w:p>
    <w:bookmarkEnd w:id="248"/>
    <w:p w14:paraId="65277A3A"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RO aplikuje na náležitosti výzvy podľa </w:t>
      </w:r>
      <w:hyperlink w:anchor="kapitola_323_ods_5" w:tooltip="ods. 5" w:history="1">
        <w:r>
          <w:rPr>
            <w:rStyle w:val="Hypertextovprepojenie"/>
            <w:szCs w:val="22"/>
            <w:lang w:eastAsia="en-US"/>
          </w:rPr>
          <w:t xml:space="preserve">ods. </w:t>
        </w:r>
        <w:r>
          <w:rPr>
            <w:rStyle w:val="Hypertextovprepojenie"/>
          </w:rPr>
          <w:t>5</w:t>
        </w:r>
      </w:hyperlink>
      <w:r>
        <w:rPr>
          <w:szCs w:val="22"/>
          <w:lang w:eastAsia="en-US"/>
        </w:rPr>
        <w:t xml:space="preserve"> primerane ustanovenia o výzve na doplnenie údajov ŽoNFP. Lehotu na predloženie náležitostí podľa </w:t>
      </w:r>
      <w:hyperlink w:anchor="kapitola_323_ods_5" w:tooltip="ods. 5" w:history="1">
        <w:r>
          <w:rPr>
            <w:rStyle w:val="Hypertextovprepojenie"/>
            <w:szCs w:val="22"/>
            <w:lang w:eastAsia="en-US"/>
          </w:rPr>
          <w:t>ods. 5</w:t>
        </w:r>
      </w:hyperlink>
      <w:r w:rsidR="00FC3B41">
        <w:rPr>
          <w:rStyle w:val="Hypertextovprepojenie"/>
          <w:szCs w:val="22"/>
          <w:lang w:eastAsia="en-US"/>
        </w:rPr>
        <w:t xml:space="preserve"> </w:t>
      </w:r>
      <w:r>
        <w:rPr>
          <w:szCs w:val="22"/>
          <w:lang w:eastAsia="en-US"/>
        </w:rPr>
        <w:t xml:space="preserve">určí RO, pričom lehota nesmie byť kratšia ako 15 pracovných dní. Súčasťou výzvy podľa </w:t>
      </w:r>
      <w:hyperlink w:anchor="kapitola_323_ods_5" w:tooltip="ods. 5" w:history="1">
        <w:r>
          <w:rPr>
            <w:rStyle w:val="Hypertextovprepojenie"/>
            <w:szCs w:val="22"/>
            <w:lang w:eastAsia="en-US"/>
          </w:rPr>
          <w:t>ods. 5</w:t>
        </w:r>
      </w:hyperlink>
      <w:r>
        <w:rPr>
          <w:szCs w:val="22"/>
          <w:lang w:eastAsia="en-US"/>
        </w:rPr>
        <w:t xml:space="preserve"> je aj informácia o tom, že ak žiadateľ nepreukáže splnenie podmienok poskytnutia príspevku, nesúhlasí so zmenou rozhodnutia alebo nepredloží požadované dokumenty včas, RO konanie zastaví.</w:t>
      </w:r>
    </w:p>
    <w:p w14:paraId="3688FE1A" w14:textId="77777777" w:rsidR="00B650E5" w:rsidRDefault="00B650E5">
      <w:pPr>
        <w:numPr>
          <w:ilvl w:val="0"/>
          <w:numId w:val="101"/>
        </w:numPr>
        <w:spacing w:before="120" w:after="120"/>
        <w:ind w:left="426" w:hanging="426"/>
        <w:jc w:val="both"/>
        <w:rPr>
          <w:szCs w:val="22"/>
          <w:lang w:eastAsia="en-US"/>
        </w:rPr>
      </w:pPr>
      <w:r>
        <w:rPr>
          <w:szCs w:val="22"/>
          <w:lang w:eastAsia="en-US"/>
        </w:rPr>
        <w:t xml:space="preserve">Ak zo skupiny ŽoNFP, pri ktorých RO preveroval pretrvávajúci stav splnenia podmienok poskytnutia príspevku nie je možné podporiť ŽoNFP pokrývajúce plnú výšku dodatočných 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szCs w:val="22"/>
            <w:lang w:eastAsia="en-US"/>
          </w:rPr>
          <w:t>ods. 5</w:t>
        </w:r>
      </w:hyperlink>
      <w:r>
        <w:rPr>
          <w:szCs w:val="22"/>
          <w:lang w:eastAsia="en-US"/>
        </w:rPr>
        <w:t xml:space="preserve"> v poradí </w:t>
      </w:r>
      <w:r>
        <w:rPr>
          <w:szCs w:val="22"/>
          <w:lang w:eastAsia="en-US"/>
        </w:rPr>
        <w:lastRenderedPageBreak/>
        <w:t>ďalším žiadateľom, ktorých ŽoNFP sú zaradené v zásobníku, a to až do vyčerpania všetkých ŽoNFP v zásobníku.</w:t>
      </w:r>
    </w:p>
    <w:p w14:paraId="40890F06" w14:textId="2302E0FE" w:rsidR="00B650E5" w:rsidRDefault="00B650E5">
      <w:pPr>
        <w:numPr>
          <w:ilvl w:val="0"/>
          <w:numId w:val="101"/>
        </w:numPr>
        <w:spacing w:before="120" w:after="120"/>
        <w:ind w:left="426" w:hanging="426"/>
        <w:jc w:val="both"/>
        <w:rPr>
          <w:szCs w:val="22"/>
          <w:lang w:eastAsia="en-US"/>
        </w:rPr>
      </w:pPr>
      <w:bookmarkStart w:id="249" w:name="kapitola_323_ods_8"/>
      <w:r>
        <w:rPr>
          <w:szCs w:val="22"/>
          <w:lang w:eastAsia="en-US"/>
        </w:rPr>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szCs w:val="22"/>
          <w:lang w:eastAsia="en-US"/>
        </w:rPr>
        <w:t xml:space="preserve">niektorú z podmienok poskytnutia príspevku. Vo výzve RO určí, ktoré časti ŽoNFP je žiadateľ povinný upraviť pred uzavretím zmluvy </w:t>
      </w:r>
      <w:r w:rsidR="00345254">
        <w:rPr>
          <w:szCs w:val="22"/>
          <w:lang w:eastAsia="en-US"/>
        </w:rPr>
        <w:t xml:space="preserve">o NFP </w:t>
      </w:r>
      <w:r>
        <w:rPr>
          <w:szCs w:val="22"/>
          <w:lang w:eastAsia="en-US"/>
        </w:rPr>
        <w:t>a aké dokumenty je žiadateľ povinný predložiť na</w:t>
      </w:r>
      <w:r w:rsidR="00345254">
        <w:rPr>
          <w:szCs w:val="22"/>
          <w:lang w:eastAsia="en-US"/>
        </w:rPr>
        <w:t> </w:t>
      </w:r>
      <w:r>
        <w:rPr>
          <w:szCs w:val="22"/>
          <w:lang w:eastAsia="en-US"/>
        </w:rPr>
        <w:t xml:space="preserve">jej uzavretie. RO vyzve žiadateľa najmä na úpravu harmonogramu realizácie aktivít projektu, rozpočtu projektu a ostatných náležitostí, ktorých úprava je z dôvodu uplynutia časového obdobia od pôvodného konania o ŽoNFP potrebná. RO zašle žiadateľovi návrh zmluvy </w:t>
      </w:r>
      <w:r w:rsidR="00345254">
        <w:rPr>
          <w:szCs w:val="22"/>
          <w:lang w:eastAsia="en-US"/>
        </w:rPr>
        <w:t xml:space="preserve">o NFP </w:t>
      </w:r>
      <w:r>
        <w:rPr>
          <w:szCs w:val="22"/>
          <w:lang w:eastAsia="en-US"/>
        </w:rPr>
        <w:t>až po</w:t>
      </w:r>
      <w:r w:rsidR="00345254">
        <w:rPr>
          <w:szCs w:val="22"/>
          <w:lang w:eastAsia="en-US"/>
        </w:rPr>
        <w:t> </w:t>
      </w:r>
      <w:r>
        <w:rPr>
          <w:szCs w:val="22"/>
          <w:lang w:eastAsia="en-US"/>
        </w:rPr>
        <w:t>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249"/>
    <w:p w14:paraId="65124261" w14:textId="77777777" w:rsidR="00B650E5" w:rsidRDefault="00B650E5">
      <w:pPr>
        <w:numPr>
          <w:ilvl w:val="0"/>
          <w:numId w:val="101"/>
        </w:numPr>
        <w:spacing w:before="120" w:after="120"/>
        <w:ind w:left="425" w:hanging="425"/>
        <w:jc w:val="both"/>
        <w:rPr>
          <w:szCs w:val="22"/>
          <w:lang w:eastAsia="en-US"/>
        </w:rPr>
      </w:pPr>
      <w:r>
        <w:rPr>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 alebo RO nezaslal návrh na uzavretie zmluvy z dôvodu neposkytnutia súčinnosti žiadateľa           (</w:t>
      </w:r>
      <w:hyperlink w:anchor="kapitola_323_ods_8" w:tooltip="ods. 8" w:history="1">
        <w:r>
          <w:rPr>
            <w:rStyle w:val="Hypertextovprepojenie"/>
            <w:szCs w:val="22"/>
            <w:lang w:eastAsia="en-US"/>
          </w:rPr>
          <w:t xml:space="preserve">ods. </w:t>
        </w:r>
        <w:r>
          <w:rPr>
            <w:rStyle w:val="Hypertextovprepojenie"/>
          </w:rPr>
          <w:t>8</w:t>
        </w:r>
      </w:hyperlink>
      <w:r>
        <w:rPr>
          <w:szCs w:val="22"/>
          <w:lang w:eastAsia="en-US"/>
        </w:rPr>
        <w:t>).</w:t>
      </w:r>
    </w:p>
    <w:p w14:paraId="08895DFB" w14:textId="77777777" w:rsidR="00B650E5" w:rsidRDefault="0053588C">
      <w:pPr>
        <w:tabs>
          <w:tab w:val="left" w:pos="709"/>
        </w:tabs>
        <w:spacing w:before="120" w:after="120"/>
        <w:jc w:val="both"/>
      </w:pPr>
      <w:r>
        <w:rPr>
          <w:noProof/>
        </w:rPr>
        <w:drawing>
          <wp:inline distT="0" distB="0" distL="0" distR="0" wp14:anchorId="1E26DDC1" wp14:editId="5416079C">
            <wp:extent cx="5473065" cy="3199130"/>
            <wp:effectExtent l="76200" t="38100" r="0" b="58420"/>
            <wp:docPr id="14" name="Diagram 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2" r:lo="rId143" r:qs="rId144" r:cs="rId145"/>
              </a:graphicData>
            </a:graphic>
          </wp:inline>
        </w:drawing>
      </w:r>
    </w:p>
    <w:p w14:paraId="18E71863" w14:textId="77777777" w:rsidR="00B650E5" w:rsidRDefault="00B650E5">
      <w:pPr>
        <w:spacing w:before="120" w:after="120"/>
        <w:jc w:val="center"/>
        <w:rPr>
          <w:sz w:val="18"/>
          <w:szCs w:val="18"/>
        </w:rPr>
      </w:pPr>
      <w:r>
        <w:rPr>
          <w:sz w:val="18"/>
          <w:szCs w:val="18"/>
        </w:rPr>
        <w:t>Postup v konaní o zmene rozhodnutia o neschválení ŽoNFP</w:t>
      </w:r>
    </w:p>
    <w:p w14:paraId="749F5C43" w14:textId="77777777" w:rsidR="00B650E5" w:rsidRDefault="00B650E5">
      <w:pPr>
        <w:pStyle w:val="SRK3"/>
      </w:pPr>
      <w:bookmarkStart w:id="250" w:name="_Toc453234006"/>
      <w:bookmarkStart w:id="251" w:name="_Toc501630059"/>
      <w:r>
        <w:t>3.2.4 Opravné prostriedky</w:t>
      </w:r>
      <w:bookmarkEnd w:id="246"/>
      <w:bookmarkEnd w:id="247"/>
      <w:bookmarkEnd w:id="250"/>
      <w:bookmarkEnd w:id="251"/>
    </w:p>
    <w:p w14:paraId="20A36F6D" w14:textId="77777777" w:rsidR="00B650E5" w:rsidRDefault="00B650E5">
      <w:pPr>
        <w:numPr>
          <w:ilvl w:val="0"/>
          <w:numId w:val="103"/>
        </w:numPr>
        <w:spacing w:before="120" w:after="120"/>
        <w:ind w:left="426" w:hanging="426"/>
        <w:jc w:val="both"/>
        <w:rPr>
          <w:szCs w:val="22"/>
          <w:lang w:eastAsia="en-US"/>
        </w:rPr>
      </w:pPr>
      <w:r>
        <w:rPr>
          <w:szCs w:val="22"/>
          <w:lang w:eastAsia="en-US"/>
        </w:rPr>
        <w:t>Opravné prostriedky umožňujú žiadateľovi v konaní o ŽoNFP domáhať sa nápravy, ak sa domnieva, že neboli dodržané ustanovenia zákona o príspevku z EŠIF a podmienky uvedené vo</w:t>
      </w:r>
      <w:r w:rsidR="00091091">
        <w:rPr>
          <w:szCs w:val="22"/>
          <w:lang w:eastAsia="en-US"/>
        </w:rPr>
        <w:t> </w:t>
      </w:r>
      <w:r>
        <w:rPr>
          <w:szCs w:val="22"/>
          <w:lang w:eastAsia="en-US"/>
        </w:rPr>
        <w:t xml:space="preserve">výzve. Opravné prostriedky sú zároveň možnosťou, aby na úrovni RO došlo k náprave rozhodnutia, ktoré bolo vydané v rozpore s podmienkami stanovenými vo výzve. </w:t>
      </w:r>
    </w:p>
    <w:p w14:paraId="38F67074" w14:textId="77777777" w:rsidR="00B650E5" w:rsidRDefault="00B650E5">
      <w:pPr>
        <w:numPr>
          <w:ilvl w:val="0"/>
          <w:numId w:val="103"/>
        </w:numPr>
        <w:spacing w:before="120" w:after="120"/>
        <w:ind w:left="426" w:hanging="426"/>
        <w:jc w:val="both"/>
        <w:rPr>
          <w:szCs w:val="22"/>
          <w:lang w:eastAsia="en-US"/>
        </w:rPr>
      </w:pPr>
      <w:r>
        <w:rPr>
          <w:szCs w:val="22"/>
          <w:lang w:eastAsia="en-US"/>
        </w:rPr>
        <w:lastRenderedPageBreak/>
        <w:t>Riadnym opravným prostriedkom podľa zákona o príspevku z EŠIF je odvolanie. Mimoriadnym opravným prostriedkom je preskúmanie rozhodnutia mimo odvolacieho konania.</w:t>
      </w:r>
    </w:p>
    <w:p w14:paraId="6144F365" w14:textId="77777777" w:rsidR="00B650E5" w:rsidRDefault="00B650E5">
      <w:pPr>
        <w:numPr>
          <w:ilvl w:val="0"/>
          <w:numId w:val="103"/>
        </w:numPr>
        <w:spacing w:before="120" w:after="120"/>
        <w:ind w:left="426" w:hanging="426"/>
        <w:jc w:val="both"/>
        <w:rPr>
          <w:szCs w:val="22"/>
          <w:lang w:eastAsia="en-US"/>
        </w:rPr>
      </w:pPr>
      <w:r>
        <w:rPr>
          <w:szCs w:val="22"/>
          <w:lang w:eastAsia="en-US"/>
        </w:rPr>
        <w:t>Rozhodnutia vydávané RO sú preskúmateľné súdom.</w:t>
      </w:r>
    </w:p>
    <w:p w14:paraId="2D3A610E" w14:textId="77777777" w:rsidR="00B650E5" w:rsidRDefault="00B650E5">
      <w:pPr>
        <w:numPr>
          <w:ilvl w:val="0"/>
          <w:numId w:val="103"/>
        </w:numPr>
        <w:spacing w:before="120" w:after="120"/>
        <w:ind w:left="426" w:hanging="426"/>
        <w:jc w:val="both"/>
        <w:rPr>
          <w:szCs w:val="22"/>
          <w:lang w:eastAsia="en-US"/>
        </w:rPr>
      </w:pPr>
      <w:r>
        <w:rPr>
          <w:szCs w:val="22"/>
          <w:lang w:eastAsia="en-US"/>
        </w:rPr>
        <w:t xml:space="preserve">Rozhodnutia vydané v rámci opravných prostriedkov nemožno napadnúť riadnym opravným prostriedkom a preto nadobúdajú právoplatnosť jeho doručením žiadateľovi. Výnimkou je postup podľa § 23 ods. 1 zákona o EŠIF, </w:t>
      </w:r>
      <w:r w:rsidR="00C93F30">
        <w:rPr>
          <w:szCs w:val="22"/>
          <w:lang w:eastAsia="en-US"/>
        </w:rPr>
        <w:t xml:space="preserve">t. j. </w:t>
      </w:r>
      <w:r>
        <w:rPr>
          <w:szCs w:val="22"/>
          <w:lang w:eastAsia="en-US"/>
        </w:rPr>
        <w:t>ak RO rozhodne o odvolaní na svojej úrovni (tzv. autoremedúra), lebo odvolaniu v plnom rozsahu vyhovel. V tomto prípade ide stále o</w:t>
      </w:r>
      <w:r w:rsidR="00091091">
        <w:rPr>
          <w:szCs w:val="22"/>
          <w:lang w:eastAsia="en-US"/>
        </w:rPr>
        <w:t> </w:t>
      </w:r>
      <w:r>
        <w:rPr>
          <w:szCs w:val="22"/>
          <w:lang w:eastAsia="en-US"/>
        </w:rPr>
        <w:t>prvostupňové rozhodnutie a voči rozhodnutiu je možné podať odvolanie.</w:t>
      </w:r>
    </w:p>
    <w:p w14:paraId="33AA1720" w14:textId="77777777" w:rsidR="00B650E5" w:rsidRDefault="00B650E5" w:rsidP="0045286B">
      <w:pPr>
        <w:pStyle w:val="SRK4"/>
      </w:pPr>
      <w:bookmarkStart w:id="252" w:name="_Toc453234007"/>
      <w:bookmarkStart w:id="253" w:name="_Toc501630060"/>
      <w:r>
        <w:t>3.2.4.1 Odvolanie a odvolacie konanie</w:t>
      </w:r>
      <w:bookmarkEnd w:id="252"/>
      <w:bookmarkEnd w:id="253"/>
    </w:p>
    <w:p w14:paraId="1F45F394"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p>
    <w:p w14:paraId="599E3D25" w14:textId="77777777" w:rsidR="00B650E5" w:rsidRDefault="00B650E5">
      <w:pPr>
        <w:numPr>
          <w:ilvl w:val="0"/>
          <w:numId w:val="104"/>
        </w:numPr>
        <w:spacing w:before="120" w:after="120"/>
        <w:ind w:left="426" w:hanging="426"/>
        <w:jc w:val="both"/>
        <w:rPr>
          <w:szCs w:val="22"/>
          <w:lang w:eastAsia="en-US"/>
        </w:rPr>
      </w:pPr>
      <w:bookmarkStart w:id="254" w:name="kapitola_3241_ods_2"/>
      <w:r>
        <w:rPr>
          <w:szCs w:val="22"/>
          <w:lang w:eastAsia="en-US"/>
        </w:rPr>
        <w:t>Odvolanie nie je prípustné voči:</w:t>
      </w:r>
    </w:p>
    <w:bookmarkEnd w:id="254"/>
    <w:p w14:paraId="269CA01E"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neschválení ŽoNFP vydaného len z dôvodu vyčerpania finančných prostriedkov určených vo výzve alebo vyzvaní,</w:t>
      </w:r>
    </w:p>
    <w:p w14:paraId="61B7530C" w14:textId="77777777" w:rsidR="00B650E5" w:rsidRDefault="00B650E5">
      <w:pPr>
        <w:numPr>
          <w:ilvl w:val="0"/>
          <w:numId w:val="25"/>
        </w:numPr>
        <w:spacing w:before="120" w:after="120"/>
        <w:ind w:left="851" w:hanging="425"/>
        <w:jc w:val="both"/>
        <w:rPr>
          <w:szCs w:val="22"/>
          <w:lang w:eastAsia="en-US"/>
        </w:rPr>
      </w:pPr>
      <w:r>
        <w:rPr>
          <w:szCs w:val="22"/>
          <w:lang w:eastAsia="en-US"/>
        </w:rPr>
        <w:t>rozhodnutiam o zastavení konania,</w:t>
      </w:r>
    </w:p>
    <w:p w14:paraId="50F9DD62"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zmene rozhodnutia o neschválení ŽoNFP (zásobník projektov),</w:t>
      </w:r>
    </w:p>
    <w:p w14:paraId="1CAED344"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odvolaní, ktoré vydal štatutárny orgán RO (rozhodnutie vydané v odvolacom konaní, ak RO nevyhovel odvolaniu v plnom rozsahu a o odvolaní rozhodoval štatutárny orgán RO),</w:t>
      </w:r>
    </w:p>
    <w:p w14:paraId="79EBA94C" w14:textId="77777777" w:rsidR="00B650E5" w:rsidRDefault="00B650E5">
      <w:pPr>
        <w:numPr>
          <w:ilvl w:val="0"/>
          <w:numId w:val="25"/>
        </w:numPr>
        <w:spacing w:before="120" w:after="120"/>
        <w:ind w:left="851" w:hanging="425"/>
        <w:jc w:val="both"/>
        <w:rPr>
          <w:szCs w:val="22"/>
          <w:lang w:eastAsia="en-US"/>
        </w:rPr>
      </w:pPr>
      <w:r>
        <w:rPr>
          <w:szCs w:val="22"/>
          <w:lang w:eastAsia="en-US"/>
        </w:rPr>
        <w:t>rozhodnutiu o preskúmaní rozhodnutia mimo odvolacieho konania.</w:t>
      </w:r>
    </w:p>
    <w:p w14:paraId="60CAC164" w14:textId="77777777" w:rsidR="00B650E5" w:rsidRDefault="00B650E5">
      <w:pPr>
        <w:numPr>
          <w:ilvl w:val="0"/>
          <w:numId w:val="104"/>
        </w:numPr>
        <w:spacing w:before="120" w:after="120"/>
        <w:ind w:left="426" w:hanging="426"/>
        <w:jc w:val="both"/>
        <w:rPr>
          <w:szCs w:val="22"/>
          <w:lang w:eastAsia="en-US"/>
        </w:rPr>
      </w:pPr>
      <w:bookmarkStart w:id="255" w:name="kapitola_3241_ods_3"/>
      <w:r>
        <w:rPr>
          <w:szCs w:val="22"/>
          <w:lang w:eastAsia="en-US"/>
        </w:rPr>
        <w:t>RO po doručení odvolania preskúma, či nie sú dôvody na jeho odmietnutie, ktoré sú dané, ak:</w:t>
      </w:r>
    </w:p>
    <w:bookmarkEnd w:id="255"/>
    <w:p w14:paraId="5D6A1209"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oprávnenou osobou</w:t>
      </w:r>
      <w:r>
        <w:rPr>
          <w:szCs w:val="22"/>
          <w:lang w:eastAsia="en-US"/>
        </w:rPr>
        <w:t xml:space="preserve"> – oprávnený na podanie odvolania je výlučne žiadateľ,</w:t>
      </w:r>
    </w:p>
    <w:p w14:paraId="4942D503" w14:textId="77777777" w:rsidR="00B650E5" w:rsidRDefault="00B650E5">
      <w:pPr>
        <w:numPr>
          <w:ilvl w:val="0"/>
          <w:numId w:val="105"/>
        </w:numPr>
        <w:spacing w:before="120" w:after="120"/>
        <w:ind w:left="851" w:hanging="425"/>
        <w:jc w:val="both"/>
        <w:rPr>
          <w:szCs w:val="22"/>
          <w:lang w:eastAsia="en-US"/>
        </w:rPr>
      </w:pPr>
      <w:r>
        <w:rPr>
          <w:b/>
          <w:szCs w:val="22"/>
          <w:lang w:eastAsia="en-US"/>
        </w:rPr>
        <w:t>sa žiadateľ práva na odvolanie vzdal</w:t>
      </w:r>
      <w:r>
        <w:rPr>
          <w:szCs w:val="22"/>
          <w:lang w:eastAsia="en-US"/>
        </w:rPr>
        <w:t xml:space="preserve"> – žiadateľ je oprávnený vzdať sa práva na odvolanie písomne u RO,</w:t>
      </w:r>
    </w:p>
    <w:p w14:paraId="23F2A397"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lehote na podanie odvolania</w:t>
      </w:r>
      <w:r>
        <w:rPr>
          <w:szCs w:val="22"/>
          <w:lang w:eastAsia="en-US"/>
        </w:rPr>
        <w:t xml:space="preserve"> – zákonná lehota na podanie odvolania je 10 pracovných dní od doručenia rozhodnutia; ak žiadateľ v dôsledku nesprávneho poučenia alebo preto, že nebol poučený vôbec podal opravný prostriedok po</w:t>
      </w:r>
      <w:r w:rsidR="00032D32">
        <w:rPr>
          <w:szCs w:val="22"/>
          <w:lang w:eastAsia="en-US"/>
        </w:rPr>
        <w:t> </w:t>
      </w:r>
      <w:r>
        <w:rPr>
          <w:szCs w:val="22"/>
          <w:lang w:eastAsia="en-US"/>
        </w:rPr>
        <w:t>lehote, predpokladá sa, že ho podal včas, ak tak urobil do 1 mesiaca odo dňa doručenia rozhodnutia,</w:t>
      </w:r>
    </w:p>
    <w:p w14:paraId="2E7AA6FB" w14:textId="77777777" w:rsidR="00B650E5" w:rsidRDefault="00B650E5">
      <w:pPr>
        <w:numPr>
          <w:ilvl w:val="0"/>
          <w:numId w:val="105"/>
        </w:numPr>
        <w:spacing w:before="120" w:after="120"/>
        <w:ind w:left="851" w:hanging="425"/>
        <w:jc w:val="both"/>
        <w:rPr>
          <w:szCs w:val="22"/>
          <w:lang w:eastAsia="en-US"/>
        </w:rPr>
      </w:pPr>
      <w:r>
        <w:rPr>
          <w:b/>
          <w:szCs w:val="22"/>
          <w:lang w:eastAsia="en-US"/>
        </w:rPr>
        <w:t>je odvolanie podané po späťvzatí</w:t>
      </w:r>
      <w:r>
        <w:rPr>
          <w:szCs w:val="22"/>
          <w:lang w:eastAsia="en-US"/>
        </w:rPr>
        <w:t xml:space="preserve"> – žiadateľ je oprávnený do rozhodnutia o odvolaní vziať podané odvolanie písomne späť. Ak po späťvzatí podá v lehote na odvolanie nové odvolanie, RO takéto odvolanie odmietne,</w:t>
      </w:r>
    </w:p>
    <w:p w14:paraId="3264BDD5"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nie je podané písomn</w:t>
      </w:r>
      <w:r w:rsidRPr="001B709E">
        <w:rPr>
          <w:b/>
          <w:szCs w:val="22"/>
          <w:lang w:eastAsia="en-US"/>
        </w:rPr>
        <w:t>e</w:t>
      </w:r>
      <w:r>
        <w:rPr>
          <w:szCs w:val="22"/>
          <w:lang w:eastAsia="en-US"/>
        </w:rPr>
        <w:t xml:space="preserve">, </w:t>
      </w:r>
    </w:p>
    <w:p w14:paraId="5DD35544"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neobsahuje náležitosti, ktorými sú</w:t>
      </w:r>
      <w:r>
        <w:rPr>
          <w:szCs w:val="22"/>
          <w:lang w:eastAsia="en-US"/>
        </w:rPr>
        <w:t>:</w:t>
      </w:r>
    </w:p>
    <w:p w14:paraId="0F7AF716" w14:textId="77777777" w:rsidR="00B650E5" w:rsidRDefault="00B650E5">
      <w:pPr>
        <w:numPr>
          <w:ilvl w:val="2"/>
          <w:numId w:val="228"/>
        </w:numPr>
        <w:spacing w:before="120" w:after="120"/>
        <w:ind w:left="1276" w:hanging="425"/>
        <w:jc w:val="both"/>
        <w:rPr>
          <w:szCs w:val="22"/>
          <w:lang w:eastAsia="en-US"/>
        </w:rPr>
      </w:pPr>
      <w:r>
        <w:rPr>
          <w:szCs w:val="22"/>
          <w:lang w:eastAsia="en-US"/>
        </w:rPr>
        <w:t>akej veci sa odvolanie týka a dôvody podania odvolania,</w:t>
      </w:r>
    </w:p>
    <w:p w14:paraId="7B65B140" w14:textId="77777777" w:rsidR="00B650E5" w:rsidRDefault="00B650E5">
      <w:pPr>
        <w:numPr>
          <w:ilvl w:val="2"/>
          <w:numId w:val="228"/>
        </w:numPr>
        <w:spacing w:before="120" w:after="120"/>
        <w:ind w:left="1276" w:hanging="425"/>
        <w:jc w:val="both"/>
        <w:rPr>
          <w:szCs w:val="22"/>
          <w:lang w:eastAsia="en-US"/>
        </w:rPr>
      </w:pPr>
      <w:r>
        <w:rPr>
          <w:szCs w:val="22"/>
          <w:lang w:eastAsia="en-US"/>
        </w:rPr>
        <w:t>čo odvolaním žiadateľ navrhuje,</w:t>
      </w:r>
    </w:p>
    <w:p w14:paraId="074DCF2D" w14:textId="77777777" w:rsidR="00B650E5" w:rsidRDefault="00B650E5">
      <w:pPr>
        <w:numPr>
          <w:ilvl w:val="2"/>
          <w:numId w:val="228"/>
        </w:numPr>
        <w:spacing w:before="120" w:after="120"/>
        <w:ind w:left="1276" w:hanging="425"/>
        <w:jc w:val="both"/>
        <w:rPr>
          <w:szCs w:val="22"/>
          <w:lang w:eastAsia="en-US"/>
        </w:rPr>
      </w:pPr>
      <w:r>
        <w:rPr>
          <w:szCs w:val="22"/>
          <w:lang w:eastAsia="en-US"/>
        </w:rPr>
        <w:t>dátum podania a podpis osoby podávajúcej odvolanie,</w:t>
      </w:r>
    </w:p>
    <w:p w14:paraId="4F11AC9E"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smeruje len proti odôvodneniu rozhodnutia</w:t>
      </w:r>
      <w:r>
        <w:rPr>
          <w:szCs w:val="22"/>
          <w:lang w:eastAsia="en-US"/>
        </w:rPr>
        <w:t xml:space="preserve"> – RO odmietne odvolanie, ak smeruje výlučne proti odôvodneniu rozhodnutia bez toho, aby sa v ňom žiadateľ domáhal </w:t>
      </w:r>
      <w:r>
        <w:rPr>
          <w:szCs w:val="22"/>
          <w:lang w:eastAsia="en-US"/>
        </w:rPr>
        <w:lastRenderedPageBreak/>
        <w:t>inej zmeny. Ak sa žiadateľ domáha zmeny rozhodnutia a odôvodňuje svoju žiadosť výlučne napadnutím dôvodov uvedených v odôvodnení rozhodnutia, RO nie je oprávnený odmietnuť odvolanie podľa tohto písmena,</w:t>
      </w:r>
    </w:p>
    <w:p w14:paraId="7417F6DF" w14:textId="77777777" w:rsidR="00B650E5" w:rsidRDefault="00B650E5">
      <w:pPr>
        <w:numPr>
          <w:ilvl w:val="0"/>
          <w:numId w:val="105"/>
        </w:numPr>
        <w:spacing w:before="120" w:after="120"/>
        <w:ind w:left="851" w:hanging="425"/>
        <w:jc w:val="both"/>
        <w:rPr>
          <w:szCs w:val="22"/>
          <w:lang w:eastAsia="en-US"/>
        </w:rPr>
      </w:pPr>
      <w:r>
        <w:rPr>
          <w:b/>
          <w:szCs w:val="22"/>
          <w:lang w:eastAsia="en-US"/>
        </w:rPr>
        <w:t>odvolanie je podané proti rozhodnutiu, proti ktorému nie je odvolanie prípustné</w:t>
      </w:r>
      <w:r>
        <w:rPr>
          <w:szCs w:val="22"/>
          <w:lang w:eastAsia="en-US"/>
        </w:rPr>
        <w:t xml:space="preserve">      (</w:t>
      </w:r>
      <w:hyperlink w:anchor="kapitola_3241_ods_2" w:tooltip="ods. 2" w:history="1">
        <w:r>
          <w:rPr>
            <w:rStyle w:val="Hypertextovprepojenie"/>
          </w:rPr>
          <w:t>ods. 2</w:t>
        </w:r>
      </w:hyperlink>
      <w:r>
        <w:rPr>
          <w:szCs w:val="22"/>
          <w:lang w:eastAsia="en-US"/>
        </w:rPr>
        <w:t>).</w:t>
      </w:r>
    </w:p>
    <w:p w14:paraId="5666C22B" w14:textId="77777777" w:rsidR="00B650E5" w:rsidRDefault="00B650E5">
      <w:pPr>
        <w:numPr>
          <w:ilvl w:val="0"/>
          <w:numId w:val="104"/>
        </w:numPr>
        <w:spacing w:before="120" w:after="120"/>
        <w:ind w:left="426" w:hanging="426"/>
        <w:jc w:val="both"/>
        <w:rPr>
          <w:szCs w:val="22"/>
          <w:lang w:eastAsia="en-US"/>
        </w:rPr>
      </w:pPr>
      <w:bookmarkStart w:id="256" w:name="kapitola_3241_ods_4"/>
      <w:r>
        <w:rPr>
          <w:szCs w:val="22"/>
          <w:lang w:eastAsia="en-US"/>
        </w:rPr>
        <w:t>Ak je naplnený niektorý z dôvodov uvedených v </w:t>
      </w:r>
      <w:hyperlink w:anchor="kapitola_3241_ods_3" w:tooltip="ods. 3" w:history="1">
        <w:r>
          <w:rPr>
            <w:rStyle w:val="Hypertextovprepojenie"/>
          </w:rPr>
          <w:t>ods. 3</w:t>
        </w:r>
      </w:hyperlink>
      <w:r>
        <w:rPr>
          <w:szCs w:val="22"/>
          <w:lang w:eastAsia="en-US"/>
        </w:rPr>
        <w:t>, RO odvolanie listom písomne odmietne a v liste identifikuje dôvody na odmietnutie odvolania. V danom prípade RO rozhodnutie nevydáva.</w:t>
      </w:r>
    </w:p>
    <w:bookmarkEnd w:id="256"/>
    <w:p w14:paraId="3F33E0E2" w14:textId="77777777" w:rsidR="00B650E5" w:rsidRDefault="00B650E5">
      <w:pPr>
        <w:numPr>
          <w:ilvl w:val="0"/>
          <w:numId w:val="104"/>
        </w:numPr>
        <w:spacing w:before="120" w:after="120"/>
        <w:ind w:left="426" w:hanging="426"/>
        <w:jc w:val="both"/>
        <w:rPr>
          <w:szCs w:val="22"/>
          <w:lang w:eastAsia="en-US"/>
        </w:rPr>
      </w:pPr>
      <w:r>
        <w:rPr>
          <w:szCs w:val="22"/>
          <w:lang w:eastAsia="en-US"/>
        </w:rPr>
        <w:t xml:space="preserve">Ak neboli dané dôvody na odmietnutie odvolania podľa </w:t>
      </w:r>
      <w:hyperlink w:anchor="kapitola_3241_ods_4" w:tooltip="ods. 4" w:history="1">
        <w:r>
          <w:rPr>
            <w:rStyle w:val="Hypertextovprepojenie"/>
          </w:rPr>
          <w:t>ods. 4</w:t>
        </w:r>
      </w:hyperlink>
      <w:r>
        <w:rPr>
          <w:szCs w:val="22"/>
          <w:lang w:eastAsia="en-US"/>
        </w:rPr>
        <w:t>, RO v odvolacom konaní postupuje nasledovne:</w:t>
      </w:r>
    </w:p>
    <w:p w14:paraId="44472235" w14:textId="77777777" w:rsidR="00B650E5" w:rsidRDefault="00B650E5">
      <w:pPr>
        <w:numPr>
          <w:ilvl w:val="0"/>
          <w:numId w:val="106"/>
        </w:numPr>
        <w:spacing w:before="120" w:after="120"/>
        <w:ind w:left="851" w:hanging="425"/>
        <w:jc w:val="both"/>
        <w:rPr>
          <w:szCs w:val="22"/>
          <w:lang w:eastAsia="en-US"/>
        </w:rPr>
      </w:pPr>
      <w:r>
        <w:rPr>
          <w:b/>
          <w:szCs w:val="22"/>
          <w:lang w:eastAsia="en-US"/>
        </w:rPr>
        <w:t>ODVOLACIE KONANIE ZASTAVÍ</w:t>
      </w:r>
      <w:r>
        <w:rPr>
          <w:szCs w:val="22"/>
          <w:lang w:eastAsia="en-US"/>
        </w:rPr>
        <w:t xml:space="preserve"> – RO rozhodnutím zastaví odvolacie konanie v prípade späťvzatia odvolania zo strany žiadateľa. Žiadateľ je oprávnený podané odvolanie vziať späť</w:t>
      </w:r>
      <w:r w:rsidR="007324D5">
        <w:rPr>
          <w:szCs w:val="22"/>
          <w:lang w:eastAsia="en-US"/>
        </w:rPr>
        <w:t>,</w:t>
      </w:r>
      <w:r>
        <w:rPr>
          <w:szCs w:val="22"/>
          <w:lang w:eastAsia="en-US"/>
        </w:rPr>
        <w:t xml:space="preserve"> a to až do ukončenia odvolacieho konania. Po späťvzatí odvolania nie je žiadateľ oprávnený podať znova odvolanie. Oznámenie o späťvzatí odvolania musí byť podané písomne RO. Za deň späťvzatia odvolania sa považuje deň keď bolo oznámenie o späťvzatí doručené RO. RO rozhodne o</w:t>
      </w:r>
      <w:r>
        <w:rPr>
          <w:color w:val="FFFFFF"/>
        </w:rPr>
        <w:t xml:space="preserve"> </w:t>
      </w:r>
      <w:r>
        <w:rPr>
          <w:szCs w:val="22"/>
          <w:lang w:eastAsia="en-US"/>
        </w:rPr>
        <w:t>zastavení konania ku dňu  doručenia späťvzatia odvolania.</w:t>
      </w:r>
    </w:p>
    <w:p w14:paraId="77F81880" w14:textId="464A5F17" w:rsidR="00B650E5" w:rsidRDefault="0053588C" w:rsidP="009078F6">
      <w:pPr>
        <w:tabs>
          <w:tab w:val="left" w:pos="709"/>
        </w:tabs>
        <w:spacing w:before="120" w:after="120"/>
        <w:jc w:val="center"/>
        <w:rPr>
          <w:sz w:val="18"/>
          <w:szCs w:val="18"/>
          <w:lang w:eastAsia="en-US"/>
        </w:rPr>
      </w:pPr>
      <w:r>
        <w:rPr>
          <w:noProof/>
        </w:rPr>
        <w:drawing>
          <wp:anchor distT="18288" distB="46863" distL="156972" distR="149352" simplePos="0" relativeHeight="251651072" behindDoc="0" locked="0" layoutInCell="1" allowOverlap="1" wp14:anchorId="6C2EC4FC" wp14:editId="5947E52A">
            <wp:simplePos x="0" y="0"/>
            <wp:positionH relativeFrom="column">
              <wp:posOffset>954532</wp:posOffset>
            </wp:positionH>
            <wp:positionV relativeFrom="paragraph">
              <wp:posOffset>143383</wp:posOffset>
            </wp:positionV>
            <wp:extent cx="4457065" cy="885825"/>
            <wp:effectExtent l="76200" t="57150" r="95885" b="123825"/>
            <wp:wrapTopAndBottom/>
            <wp:docPr id="70" name="Diagram 1075"/>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7" r:lo="rId148" r:qs="rId149" r:cs="rId150"/>
              </a:graphicData>
            </a:graphic>
            <wp14:sizeRelH relativeFrom="page">
              <wp14:pctWidth>0</wp14:pctWidth>
            </wp14:sizeRelH>
            <wp14:sizeRelV relativeFrom="page">
              <wp14:pctHeight>0</wp14:pctHeight>
            </wp14:sizeRelV>
          </wp:anchor>
        </w:drawing>
      </w:r>
      <w:r w:rsidR="00B650E5">
        <w:rPr>
          <w:sz w:val="18"/>
          <w:szCs w:val="18"/>
          <w:lang w:eastAsia="en-US"/>
        </w:rPr>
        <w:t>Postup RO pri späťvzatí odvolania</w:t>
      </w:r>
    </w:p>
    <w:p w14:paraId="03D0F11F" w14:textId="2E2EC29C" w:rsidR="00B650E5" w:rsidRPr="009078F6" w:rsidRDefault="0053588C" w:rsidP="009D6DF9">
      <w:pPr>
        <w:numPr>
          <w:ilvl w:val="0"/>
          <w:numId w:val="106"/>
        </w:numPr>
        <w:spacing w:before="120" w:after="120"/>
        <w:ind w:left="851" w:hanging="425"/>
        <w:jc w:val="both"/>
        <w:rPr>
          <w:szCs w:val="22"/>
          <w:lang w:eastAsia="en-US"/>
        </w:rPr>
      </w:pPr>
      <w:r>
        <w:rPr>
          <w:noProof/>
        </w:rPr>
        <w:drawing>
          <wp:anchor distT="0" distB="0" distL="150876" distR="147828" simplePos="0" relativeHeight="251672576" behindDoc="1" locked="0" layoutInCell="1" allowOverlap="1" wp14:anchorId="362F7292" wp14:editId="554B1D9C">
            <wp:simplePos x="0" y="0"/>
            <wp:positionH relativeFrom="column">
              <wp:posOffset>256921</wp:posOffset>
            </wp:positionH>
            <wp:positionV relativeFrom="paragraph">
              <wp:posOffset>3218815</wp:posOffset>
            </wp:positionV>
            <wp:extent cx="5561965" cy="1514475"/>
            <wp:effectExtent l="76200" t="0" r="95885" b="0"/>
            <wp:wrapThrough wrapText="bothSides">
              <wp:wrapPolygon edited="0">
                <wp:start x="74" y="1902"/>
                <wp:lineTo x="-296" y="2445"/>
                <wp:lineTo x="-296" y="19834"/>
                <wp:lineTo x="15906" y="20377"/>
                <wp:lineTo x="21602" y="20377"/>
                <wp:lineTo x="21602" y="19834"/>
                <wp:lineTo x="21898" y="15758"/>
                <wp:lineTo x="21898" y="2989"/>
                <wp:lineTo x="20715" y="2445"/>
                <wp:lineTo x="13465" y="1902"/>
                <wp:lineTo x="74" y="1902"/>
              </wp:wrapPolygon>
            </wp:wrapThrough>
            <wp:docPr id="69" name="Diagram 107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2" r:lo="rId153" r:qs="rId154" r:cs="rId155"/>
              </a:graphicData>
            </a:graphic>
            <wp14:sizeRelH relativeFrom="page">
              <wp14:pctWidth>0</wp14:pctWidth>
            </wp14:sizeRelH>
            <wp14:sizeRelV relativeFrom="page">
              <wp14:pctHeight>0</wp14:pctHeight>
            </wp14:sizeRelV>
          </wp:anchor>
        </w:drawing>
      </w:r>
      <w:r w:rsidR="00B650E5" w:rsidRPr="009078F6">
        <w:rPr>
          <w:b/>
          <w:szCs w:val="22"/>
          <w:lang w:eastAsia="en-US"/>
        </w:rPr>
        <w:t>RO ROZHODNE O ODVOLANÍ NA SVOJEJ ÚROVNI</w:t>
      </w:r>
      <w:r w:rsidR="00B650E5" w:rsidRPr="009078F6">
        <w:rPr>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vadné. Proces zhodnotenia dôkazov predložených v odvolaní musí byť jasne zadefinovaný tak, aby nevznikla pochybnosť o správnosti posúdenia predmetného odvolania a oprávnenosti RO rozhodnúť o odvolaní na rovnakej úrovni, na </w:t>
      </w:r>
      <w:r w:rsidR="00B650E5" w:rsidRPr="007A00B7">
        <w:rPr>
          <w:szCs w:val="22"/>
          <w:lang w:eastAsia="en-US"/>
        </w:rPr>
        <w:t xml:space="preserve">akej bolo vydané napadnuté rozhodnutie. RO je oprávnený zmeniť rozhodnutie podľa tohto písmena iba v prípade, ak odvolaniu vyhovie v plnom rozsahu. V prípade, ak RO vyhovie odvolaniu, ktorým má dôjsť k zmene rozhodnutia o neschválení, za 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schválených výdavkov a takáto výška nekorešponduje presne s výškou, ktorej sa žiadateľ domáhal v odvolaní, RO postupuje podľa </w:t>
      </w:r>
      <w:hyperlink w:anchor="kapitola_3241_ods_5c" w:tooltip="písm. c)" w:history="1">
        <w:r w:rsidR="00B650E5" w:rsidRPr="009078F6">
          <w:rPr>
            <w:rStyle w:val="Hypertextovprepojenie"/>
          </w:rPr>
          <w:t>písm. c)</w:t>
        </w:r>
      </w:hyperlink>
      <w:r w:rsidR="00B650E5" w:rsidRPr="009078F6">
        <w:rPr>
          <w:szCs w:val="22"/>
          <w:lang w:eastAsia="en-US"/>
        </w:rPr>
        <w:t xml:space="preserve">, </w:t>
      </w:r>
      <w:r w:rsidR="00C93F30">
        <w:rPr>
          <w:szCs w:val="22"/>
          <w:lang w:eastAsia="en-US"/>
        </w:rPr>
        <w:t xml:space="preserve">t. j. </w:t>
      </w:r>
      <w:r w:rsidR="00B650E5" w:rsidRPr="009078F6">
        <w:rPr>
          <w:szCs w:val="22"/>
          <w:lang w:eastAsia="en-US"/>
        </w:rPr>
        <w:t xml:space="preserve">o odvolaní rozhodne štatutárny orgán RO. Pri postupe podľa tohto písmena RO vydá nové rozhodnutie, na ktorého náležitosti sa primerane aplikujú ustanovenia </w:t>
      </w:r>
      <w:r w:rsidR="00B650E5" w:rsidRPr="009078F6">
        <w:rPr>
          <w:szCs w:val="22"/>
          <w:lang w:eastAsia="en-US"/>
        </w:rPr>
        <w:lastRenderedPageBreak/>
        <w:t xml:space="preserve">o náležitostiach rozhodnutia o ŽoNFP. Týmto novým rozhodnutím RO pôvodné rozhodnutie zmení tak, aby v plnom rozsahu vyhovel odvolaniu. </w:t>
      </w:r>
    </w:p>
    <w:p w14:paraId="01BEE73D" w14:textId="77777777" w:rsidR="00B650E5" w:rsidRDefault="00B650E5">
      <w:pPr>
        <w:tabs>
          <w:tab w:val="left" w:pos="709"/>
        </w:tabs>
        <w:spacing w:before="120" w:after="120"/>
        <w:jc w:val="center"/>
        <w:rPr>
          <w:sz w:val="18"/>
          <w:szCs w:val="18"/>
          <w:lang w:eastAsia="en-US"/>
        </w:rPr>
      </w:pPr>
    </w:p>
    <w:p w14:paraId="13B9D2C0" w14:textId="77777777" w:rsidR="00B650E5" w:rsidRDefault="00B650E5">
      <w:pPr>
        <w:tabs>
          <w:tab w:val="left" w:pos="709"/>
        </w:tabs>
        <w:spacing w:before="120" w:after="120"/>
        <w:jc w:val="center"/>
        <w:rPr>
          <w:sz w:val="18"/>
          <w:szCs w:val="18"/>
          <w:lang w:eastAsia="en-US"/>
        </w:rPr>
      </w:pPr>
      <w:r>
        <w:rPr>
          <w:sz w:val="18"/>
          <w:szCs w:val="18"/>
          <w:lang w:eastAsia="en-US"/>
        </w:rPr>
        <w:t>Rozhodnutie o odvolaní na úrovni RO (autoremedúra)</w:t>
      </w:r>
    </w:p>
    <w:p w14:paraId="5AD6BD15" w14:textId="77777777" w:rsidR="00B650E5" w:rsidRDefault="00B650E5">
      <w:pPr>
        <w:spacing w:before="120" w:after="120"/>
        <w:ind w:left="851"/>
        <w:jc w:val="both"/>
        <w:rPr>
          <w:szCs w:val="22"/>
          <w:lang w:eastAsia="en-US"/>
        </w:rPr>
      </w:pPr>
      <w:r>
        <w:rPr>
          <w:szCs w:val="22"/>
          <w:lang w:eastAsia="en-US"/>
        </w:rPr>
        <w:t>RO je povinný rozhodnúť o odvolaní na svojej úrovni najneskôr do 60 pracovných dní od</w:t>
      </w:r>
      <w:r w:rsidR="00032D32">
        <w:rPr>
          <w:szCs w:val="22"/>
          <w:lang w:eastAsia="en-US"/>
        </w:rPr>
        <w:t> </w:t>
      </w:r>
      <w:r>
        <w:rPr>
          <w:szCs w:val="22"/>
          <w:lang w:eastAsia="en-US"/>
        </w:rPr>
        <w:t>doručenia odvolania alebo v rovnakej lehote predložiť odvolanie na rozhodnutie štatutárnemu orgánu RO.</w:t>
      </w:r>
    </w:p>
    <w:p w14:paraId="7B20BB59" w14:textId="4317B583" w:rsidR="00B650E5" w:rsidRDefault="00B650E5">
      <w:pPr>
        <w:numPr>
          <w:ilvl w:val="0"/>
          <w:numId w:val="106"/>
        </w:numPr>
        <w:spacing w:before="120" w:after="120"/>
        <w:ind w:left="851" w:hanging="425"/>
        <w:jc w:val="both"/>
        <w:rPr>
          <w:szCs w:val="22"/>
          <w:lang w:eastAsia="en-US"/>
        </w:rPr>
      </w:pPr>
      <w:bookmarkStart w:id="257" w:name="kapitola_3241_ods_5c"/>
      <w:r>
        <w:rPr>
          <w:b/>
          <w:szCs w:val="22"/>
          <w:lang w:eastAsia="en-US"/>
        </w:rPr>
        <w:t>O ODVOLANÍ ROZHODNE ŠTATUTÁRNY ORGÁN RO</w:t>
      </w:r>
      <w:r>
        <w:rPr>
          <w:szCs w:val="22"/>
          <w:lang w:eastAsia="en-US"/>
        </w:rPr>
        <w:t xml:space="preserve"> – v prípade, ak RO nerozhodol o odvolaní spôsobom podľa písm. b), bezodkladne po zistení dôvodov, na</w:t>
      </w:r>
      <w:r w:rsidR="00032D32">
        <w:rPr>
          <w:szCs w:val="22"/>
          <w:lang w:eastAsia="en-US"/>
        </w:rPr>
        <w:t> </w:t>
      </w:r>
      <w:r>
        <w:rPr>
          <w:szCs w:val="22"/>
          <w:lang w:eastAsia="en-US"/>
        </w:rPr>
        <w:t>základe ktorých nie je možné rozhodnúť podľa písmena b) postúpi RO odvolanie na</w:t>
      </w:r>
      <w:r w:rsidR="00032D32">
        <w:rPr>
          <w:szCs w:val="22"/>
          <w:lang w:eastAsia="en-US"/>
        </w:rPr>
        <w:t> </w:t>
      </w:r>
      <w:r>
        <w:rPr>
          <w:szCs w:val="22"/>
          <w:lang w:eastAsia="en-US"/>
        </w:rPr>
        <w:t xml:space="preserve">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257"/>
      <w:r>
        <w:rPr>
          <w:szCs w:val="22"/>
          <w:lang w:eastAsia="en-US"/>
        </w:rPr>
        <w:t>komisie upravuje jej štatút a rokovací poriadok. RO zakotví v rokovacom poriadku oprávnenie komisie prizvať na rokovanie odborníkov, ktorí sa môžu kvalifikovane vyjadriť k predmetu rokovania (takými osobami môžu byť najmä odborní hodnotitelia, zamestnanci RO, ktorí vykonávali úkony v rámci schvaľovacieho procesu a pod.). Komisia je zložená z nepárneho počtu členov, pričom predsedom komisie musí byť osoba</w:t>
      </w:r>
      <w:r w:rsidR="00345254">
        <w:rPr>
          <w:szCs w:val="22"/>
          <w:lang w:eastAsia="en-US"/>
        </w:rPr>
        <w:t xml:space="preserve">, ktorá nie je </w:t>
      </w:r>
      <w:r>
        <w:rPr>
          <w:szCs w:val="22"/>
          <w:lang w:eastAsia="en-US"/>
        </w:rPr>
        <w:t>zamestnanco</w:t>
      </w:r>
      <w:r w:rsidR="00345254">
        <w:rPr>
          <w:szCs w:val="22"/>
          <w:lang w:eastAsia="en-US"/>
        </w:rPr>
        <w:t>m</w:t>
      </w:r>
      <w:r>
        <w:rPr>
          <w:szCs w:val="22"/>
          <w:lang w:eastAsia="en-US"/>
        </w:rPr>
        <w:t xml:space="preserve"> </w:t>
      </w:r>
      <w:r w:rsidR="00BA6502">
        <w:rPr>
          <w:szCs w:val="22"/>
          <w:lang w:eastAsia="en-US"/>
        </w:rPr>
        <w:t xml:space="preserve">organizačného útvaru, ktorý plní funkciu </w:t>
      </w:r>
      <w:r>
        <w:rPr>
          <w:szCs w:val="22"/>
          <w:lang w:eastAsia="en-US"/>
        </w:rPr>
        <w:t>RO. Členovia komisie sú menovaní štatutárnym orgánom RO a sú povinní 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14:paraId="31C034AD"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zmení</w:t>
      </w:r>
      <w:r>
        <w:rPr>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p>
    <w:p w14:paraId="35B1A7B1" w14:textId="77777777" w:rsidR="00B650E5" w:rsidRDefault="00B650E5">
      <w:pPr>
        <w:numPr>
          <w:ilvl w:val="2"/>
          <w:numId w:val="107"/>
        </w:numPr>
        <w:spacing w:before="120" w:after="120"/>
        <w:ind w:left="1276" w:hanging="425"/>
        <w:jc w:val="both"/>
        <w:rPr>
          <w:bCs/>
          <w:iCs/>
          <w:szCs w:val="22"/>
          <w:lang w:eastAsia="en-US"/>
        </w:rPr>
      </w:pPr>
      <w:r>
        <w:rPr>
          <w:b/>
          <w:bCs/>
          <w:i/>
          <w:iCs/>
          <w:szCs w:val="22"/>
          <w:lang w:eastAsia="en-US"/>
        </w:rPr>
        <w:t>Napadnuté rozhodnutie potvrdí</w:t>
      </w:r>
      <w:r w:rsidR="00F93F57">
        <w:rPr>
          <w:bCs/>
          <w:iCs/>
          <w:szCs w:val="22"/>
          <w:lang w:eastAsia="en-US"/>
        </w:rPr>
        <w:t xml:space="preserve"> – </w:t>
      </w:r>
      <w:r>
        <w:rPr>
          <w:bCs/>
          <w:iCs/>
          <w:szCs w:val="22"/>
          <w:lang w:eastAsia="en-US"/>
        </w:rPr>
        <w:t>ak sa v odvolacom konaní preukáže, že napadnuté rozhodnutie bolo vydané v súlade s podmienkami poskytnutia príspevku, štatutárny orgán RO rozhodnutie potvrdí formou rozhodnutia.</w:t>
      </w:r>
    </w:p>
    <w:p w14:paraId="7B7AF8C7" w14:textId="77777777" w:rsidR="00B650E5" w:rsidRDefault="00B650E5">
      <w:pPr>
        <w:numPr>
          <w:ilvl w:val="0"/>
          <w:numId w:val="104"/>
        </w:numPr>
        <w:spacing w:before="120" w:after="120"/>
        <w:ind w:left="426" w:hanging="426"/>
        <w:jc w:val="both"/>
        <w:rPr>
          <w:szCs w:val="22"/>
          <w:lang w:eastAsia="en-US"/>
        </w:rPr>
      </w:pPr>
      <w:r>
        <w:rPr>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p>
    <w:p w14:paraId="37A6F570" w14:textId="7F9B3E86" w:rsidR="00B650E5" w:rsidRDefault="0053588C">
      <w:pPr>
        <w:tabs>
          <w:tab w:val="left" w:pos="709"/>
        </w:tabs>
        <w:spacing w:before="120" w:after="120"/>
        <w:jc w:val="center"/>
        <w:rPr>
          <w:szCs w:val="22"/>
          <w:lang w:eastAsia="en-US"/>
        </w:rPr>
      </w:pPr>
      <w:r>
        <w:rPr>
          <w:noProof/>
        </w:rPr>
        <w:lastRenderedPageBreak/>
        <w:drawing>
          <wp:anchor distT="6096" distB="0" distL="114300" distR="114300" simplePos="0" relativeHeight="251671552" behindDoc="1" locked="0" layoutInCell="1" allowOverlap="1" wp14:anchorId="3DBBC9F5" wp14:editId="683F7F23">
            <wp:simplePos x="0" y="0"/>
            <wp:positionH relativeFrom="column">
              <wp:posOffset>371729</wp:posOffset>
            </wp:positionH>
            <wp:positionV relativeFrom="paragraph">
              <wp:posOffset>-18034</wp:posOffset>
            </wp:positionV>
            <wp:extent cx="5486400" cy="2190115"/>
            <wp:effectExtent l="0" t="57150" r="0" b="38735"/>
            <wp:wrapTopAndBottom/>
            <wp:docPr id="68" name="Diagram 107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7" r:lo="rId158" r:qs="rId159" r:cs="rId160"/>
              </a:graphicData>
            </a:graphic>
            <wp14:sizeRelH relativeFrom="page">
              <wp14:pctWidth>0</wp14:pctWidth>
            </wp14:sizeRelH>
            <wp14:sizeRelV relativeFrom="page">
              <wp14:pctHeight>0</wp14:pctHeight>
            </wp14:sizeRelV>
          </wp:anchor>
        </w:drawing>
      </w:r>
      <w:r w:rsidR="00B650E5">
        <w:rPr>
          <w:sz w:val="18"/>
          <w:szCs w:val="18"/>
          <w:lang w:eastAsia="en-US"/>
        </w:rPr>
        <w:t>Postup pri rozhodovaní o odvolaní na úrovni štatutárneho orgánu RO</w:t>
      </w:r>
    </w:p>
    <w:p w14:paraId="1B228901" w14:textId="77777777" w:rsidR="00B650E5" w:rsidRPr="00D7547F" w:rsidRDefault="00B650E5" w:rsidP="0045286B">
      <w:pPr>
        <w:pStyle w:val="SRK4"/>
      </w:pPr>
      <w:bookmarkStart w:id="258" w:name="_Toc453234008"/>
      <w:bookmarkStart w:id="259" w:name="_Toc501630061"/>
      <w:r w:rsidRPr="007D7393">
        <w:t>3.2.4.2 Preskúmanie rozhodnutia mimo odvolacieho konania</w:t>
      </w:r>
      <w:bookmarkEnd w:id="258"/>
      <w:bookmarkEnd w:id="259"/>
    </w:p>
    <w:p w14:paraId="16EEB180"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Mimoriadnym opravným prostriedkom, v rámci ktorého je možné vykonať nápravu rozhodnutia je preskúmanie rozhodnutia mimo odvolacieho konania.</w:t>
      </w:r>
    </w:p>
    <w:p w14:paraId="5E1C2F93"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Preskúmať mimo odvolacieho konania možno všetky právoplatné rozhodnutia vydané podľa zákona o príspevku z EŠIF, vrátane rozhodnutí o zastavení konania. </w:t>
      </w:r>
    </w:p>
    <w:p w14:paraId="7A59FD74"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14:paraId="695D5049"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Predchádzajúce podanie odvolania v prípadoch, kedy je možné odvolanie proti rozhodnutiu podať nie je podmienkou, aby toto rozhodnutie mohlo byť preskúmané mimo odvolacieho konania.</w:t>
      </w:r>
    </w:p>
    <w:p w14:paraId="3BDDF82E"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Žiadateľ je oprávnený dať podnet na preskúmanie rozhodnutia mimo odvolacieho konania s výnimkou podnetu voči rozhodnutiu vydanom v odvolacom konaní.</w:t>
      </w:r>
    </w:p>
    <w:p w14:paraId="4D86D99F"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Štatutárny orgán RO je oprávnený preskúmať právoplatné rozhodnutie aj z vlastného podnetu.</w:t>
      </w:r>
    </w:p>
    <w:p w14:paraId="49578B98" w14:textId="0B31D91A"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V prípade, ak žiadateľ podal podnet na preskúmanie rozhodnutia mimo odvolacieho konania, štatutárny orgán </w:t>
      </w:r>
      <w:r w:rsidR="00345254">
        <w:rPr>
          <w:szCs w:val="22"/>
          <w:lang w:eastAsia="en-US"/>
        </w:rPr>
        <w:t xml:space="preserve">RO </w:t>
      </w:r>
      <w:r w:rsidRPr="00AF2804">
        <w:rPr>
          <w:szCs w:val="22"/>
          <w:lang w:eastAsia="en-US"/>
        </w:rPr>
        <w:t>preskúma jeho opodstatnenosť. Ak je podnet neopodstatnený, listom informuje žiadateľa o dôvodoch neopodstatnenosti podnetu.</w:t>
      </w:r>
    </w:p>
    <w:p w14:paraId="3E931019" w14:textId="77777777" w:rsidR="00B650E5" w:rsidRPr="00AF2804" w:rsidRDefault="00B650E5">
      <w:pPr>
        <w:numPr>
          <w:ilvl w:val="0"/>
          <w:numId w:val="108"/>
        </w:numPr>
        <w:spacing w:before="120" w:after="120"/>
        <w:ind w:left="426" w:hanging="426"/>
        <w:jc w:val="both"/>
        <w:rPr>
          <w:szCs w:val="22"/>
          <w:lang w:eastAsia="en-US"/>
        </w:rPr>
      </w:pPr>
      <w:r w:rsidRPr="00AF2804">
        <w:rPr>
          <w:szCs w:val="22"/>
          <w:lang w:eastAsia="en-US"/>
        </w:rPr>
        <w:t xml:space="preserve">Ak je podnet žiadateľa opodstatnený, alebo ide o preskúmanie rozhodnutia z vlastného podnetu štatutárneho orgánu RO, štatutárny orgán RO informuje písomne žiadateľa o začatí preskúmania rozhodnutia mimo odvolacieho konania.  Podľa § 24 ods. 4 zákona o príspevku z EŠIF, konanie o preskúmaní rozhodnutia mimo odvolacieho konania začína doručením oznámenia štatutárneho orgánu RO o preskúmaní rozhodnutia z vlastného podnetu žiadateľovi alebo doručením oznámenia štatutárneho orgánu RO o uznaní opodstatnenosti podnetu žiadateľa na preskúmanie rozhodnutia mimo odvolacieho konania žiadateľovi. </w:t>
      </w:r>
    </w:p>
    <w:p w14:paraId="2ADD6CAB" w14:textId="77777777" w:rsidR="00B650E5" w:rsidRDefault="00B650E5">
      <w:pPr>
        <w:numPr>
          <w:ilvl w:val="0"/>
          <w:numId w:val="108"/>
        </w:numPr>
        <w:spacing w:before="120" w:after="120"/>
        <w:ind w:left="426" w:hanging="426"/>
        <w:jc w:val="both"/>
        <w:rPr>
          <w:szCs w:val="22"/>
          <w:lang w:eastAsia="en-US"/>
        </w:rPr>
      </w:pPr>
      <w:r w:rsidRPr="00AF2804">
        <w:rPr>
          <w:szCs w:val="22"/>
          <w:lang w:eastAsia="en-US"/>
        </w:rPr>
        <w:t>V rámci preskúmania rozhodnutia mimo odvolacieho konania štatutárny orgán RO postupuje</w:t>
      </w:r>
      <w:r>
        <w:rPr>
          <w:szCs w:val="22"/>
          <w:lang w:eastAsia="en-US"/>
        </w:rPr>
        <w:t xml:space="preserve"> nasledovne:</w:t>
      </w:r>
    </w:p>
    <w:p w14:paraId="0B9EB0F2" w14:textId="77777777" w:rsidR="00B650E5" w:rsidRDefault="00B650E5">
      <w:pPr>
        <w:numPr>
          <w:ilvl w:val="0"/>
          <w:numId w:val="110"/>
        </w:numPr>
        <w:spacing w:before="120" w:after="120"/>
        <w:ind w:left="851" w:hanging="425"/>
        <w:jc w:val="both"/>
        <w:rPr>
          <w:szCs w:val="22"/>
          <w:lang w:eastAsia="en-US"/>
        </w:rPr>
      </w:pPr>
      <w:r>
        <w:rPr>
          <w:b/>
          <w:szCs w:val="22"/>
          <w:lang w:eastAsia="en-US"/>
        </w:rPr>
        <w:t>PRESKÚMAVANÉ ROZHODNUTIE ZMENÍ</w:t>
      </w:r>
      <w:r>
        <w:rPr>
          <w:szCs w:val="22"/>
          <w:lang w:eastAsia="en-US"/>
        </w:rPr>
        <w:t xml:space="preserve"> – ak štatutárny orgán RO preskúmaním rozhodnutia mimo odvolacieho konania zistí, že rozhodnutie bolo vydané v rozpore  so</w:t>
      </w:r>
      <w:r w:rsidR="00F93F57">
        <w:rPr>
          <w:szCs w:val="22"/>
          <w:lang w:eastAsia="en-US"/>
        </w:rPr>
        <w:t> </w:t>
      </w:r>
      <w:r>
        <w:rPr>
          <w:szCs w:val="22"/>
          <w:lang w:eastAsia="en-US"/>
        </w:rPr>
        <w:t>zákonom o príspevku z EŠIF, rozhodnutie zmení. Preskúmavané rozhodnutie zmení vydaním nového rozhodnutia, na ktorého náležitosti sa primerane aplikujú ustanovenia o náležitostiach rozhodnutia o schválení/neschválení ŽoNFP.</w:t>
      </w:r>
    </w:p>
    <w:p w14:paraId="61F6D8B4" w14:textId="12628274" w:rsidR="00B650E5" w:rsidRDefault="00B650E5">
      <w:pPr>
        <w:numPr>
          <w:ilvl w:val="0"/>
          <w:numId w:val="110"/>
        </w:numPr>
        <w:spacing w:before="120" w:after="120"/>
        <w:ind w:left="851" w:hanging="425"/>
        <w:jc w:val="both"/>
        <w:rPr>
          <w:szCs w:val="22"/>
          <w:lang w:eastAsia="en-US"/>
        </w:rPr>
      </w:pPr>
      <w:r>
        <w:rPr>
          <w:b/>
          <w:szCs w:val="22"/>
          <w:lang w:eastAsia="en-US"/>
        </w:rPr>
        <w:lastRenderedPageBreak/>
        <w:t>PRESKÚMAVACIE KONANIE ZASTAVÍ</w:t>
      </w:r>
      <w:r>
        <w:rPr>
          <w:szCs w:val="22"/>
          <w:lang w:eastAsia="en-US"/>
        </w:rPr>
        <w:t xml:space="preserve"> - ak štatutárny orgán RO preskúmaním rozhodnutia mimo odvolacieho konania zistí, že rozhodnutie nebolo vydané v rozpore so</w:t>
      </w:r>
      <w:r w:rsidR="007D7393">
        <w:rPr>
          <w:szCs w:val="22"/>
          <w:lang w:eastAsia="en-US"/>
        </w:rPr>
        <w:t> </w:t>
      </w:r>
      <w:r>
        <w:rPr>
          <w:szCs w:val="22"/>
          <w:lang w:eastAsia="en-US"/>
        </w:rPr>
        <w:t xml:space="preserve">zákonom o príspevku z EŠIF, štatutárny orgán </w:t>
      </w:r>
      <w:r w:rsidR="00345254">
        <w:rPr>
          <w:szCs w:val="22"/>
          <w:lang w:eastAsia="en-US"/>
        </w:rPr>
        <w:t xml:space="preserve">RO </w:t>
      </w:r>
      <w:r>
        <w:rPr>
          <w:szCs w:val="22"/>
          <w:lang w:eastAsia="en-US"/>
        </w:rPr>
        <w:t xml:space="preserve">preskúmavacie konanie zastaví. Zastavenie konania sa vykoná rozhodnutím.  </w:t>
      </w:r>
    </w:p>
    <w:p w14:paraId="55E45259" w14:textId="01BA9604" w:rsidR="00B650E5" w:rsidRDefault="0053588C">
      <w:pPr>
        <w:numPr>
          <w:ilvl w:val="0"/>
          <w:numId w:val="108"/>
        </w:numPr>
        <w:spacing w:before="120" w:after="120"/>
        <w:ind w:left="426" w:hanging="426"/>
        <w:jc w:val="both"/>
        <w:rPr>
          <w:szCs w:val="22"/>
          <w:lang w:eastAsia="en-US"/>
        </w:rPr>
      </w:pPr>
      <w:r>
        <w:rPr>
          <w:noProof/>
        </w:rPr>
        <w:drawing>
          <wp:anchor distT="6096" distB="48768" distL="114300" distR="114300" simplePos="0" relativeHeight="251652096" behindDoc="0" locked="0" layoutInCell="1" allowOverlap="1" wp14:anchorId="66FD5853" wp14:editId="01288174">
            <wp:simplePos x="0" y="0"/>
            <wp:positionH relativeFrom="column">
              <wp:posOffset>381000</wp:posOffset>
            </wp:positionH>
            <wp:positionV relativeFrom="paragraph">
              <wp:posOffset>1336040</wp:posOffset>
            </wp:positionV>
            <wp:extent cx="5485765" cy="3199765"/>
            <wp:effectExtent l="0" t="19050" r="0" b="76835"/>
            <wp:wrapTopAndBottom/>
            <wp:docPr id="6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2" r:lo="rId163" r:qs="rId164" r:cs="rId165"/>
              </a:graphicData>
            </a:graphic>
            <wp14:sizeRelH relativeFrom="page">
              <wp14:pctWidth>0</wp14:pctWidth>
            </wp14:sizeRelH>
            <wp14:sizeRelV relativeFrom="page">
              <wp14:pctHeight>0</wp14:pctHeight>
            </wp14:sizeRelV>
          </wp:anchor>
        </w:drawing>
      </w:r>
      <w:r w:rsidR="00B650E5">
        <w:rPr>
          <w:szCs w:val="22"/>
          <w:lang w:eastAsia="en-US"/>
        </w:rPr>
        <w:t xml:space="preserve">Po ukončení preskúmania rozhodnutia mimo odvolacieho konania štatutárny orgán </w:t>
      </w:r>
      <w:r w:rsidR="00345254">
        <w:rPr>
          <w:szCs w:val="22"/>
          <w:lang w:eastAsia="en-US"/>
        </w:rPr>
        <w:t xml:space="preserve">RO </w:t>
      </w:r>
      <w:r w:rsidR="00B650E5">
        <w:rPr>
          <w:szCs w:val="22"/>
          <w:lang w:eastAsia="en-US"/>
        </w:rPr>
        <w:t>písomne informuje žiadateľa o jeho výsledku. Štatutárny orgán RO je povinný rozhodnúť mimo odvolacieho konania do 60 pracovných dní od začiatku konania z vlastného podnetu alebo od</w:t>
      </w:r>
      <w:r w:rsidR="007D7393">
        <w:rPr>
          <w:szCs w:val="22"/>
          <w:lang w:eastAsia="en-US"/>
        </w:rPr>
        <w:t> </w:t>
      </w:r>
      <w:r w:rsidR="00B650E5">
        <w:rPr>
          <w:szCs w:val="22"/>
          <w:lang w:eastAsia="en-US"/>
        </w:rPr>
        <w:t>uznania opodstatnenosti podnetu žiadateľa. Vo zvlášť zložitých prípadoch rozhodne do 90 pracovných dní, pričom v takomto prípade RO písomne informuje o predĺžení a dôvodoch predĺženia žiadateľa.</w:t>
      </w:r>
    </w:p>
    <w:p w14:paraId="3337FBD2" w14:textId="77777777" w:rsidR="00B650E5" w:rsidRDefault="00B650E5">
      <w:pPr>
        <w:tabs>
          <w:tab w:val="left" w:pos="709"/>
        </w:tabs>
        <w:spacing w:before="120" w:after="120"/>
        <w:jc w:val="center"/>
        <w:rPr>
          <w:sz w:val="18"/>
          <w:szCs w:val="18"/>
          <w:lang w:eastAsia="en-US"/>
        </w:rPr>
      </w:pPr>
      <w:r>
        <w:rPr>
          <w:sz w:val="18"/>
          <w:szCs w:val="18"/>
          <w:lang w:eastAsia="en-US"/>
        </w:rPr>
        <w:t>Model preskúmania rozhodnutia mimo odvolacieho konania</w:t>
      </w:r>
    </w:p>
    <w:p w14:paraId="05C478D1" w14:textId="77777777" w:rsidR="00B650E5" w:rsidRDefault="00B650E5">
      <w:pPr>
        <w:numPr>
          <w:ilvl w:val="0"/>
          <w:numId w:val="108"/>
        </w:numPr>
        <w:spacing w:before="120" w:after="120"/>
        <w:ind w:left="426" w:hanging="426"/>
        <w:jc w:val="both"/>
        <w:rPr>
          <w:szCs w:val="22"/>
          <w:lang w:eastAsia="en-US"/>
        </w:rPr>
      </w:pPr>
      <w:r>
        <w:rPr>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w:t>
      </w:r>
      <w:r w:rsidR="007D7393">
        <w:rPr>
          <w:szCs w:val="22"/>
          <w:lang w:eastAsia="en-US"/>
        </w:rPr>
        <w:t>a</w:t>
      </w:r>
      <w:r>
        <w:rPr>
          <w:szCs w:val="22"/>
          <w:lang w:eastAsia="en-US"/>
        </w:rPr>
        <w:t>. Kompetencie poradnej komisie spojené 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podaného odvolania nepreskúmavala v rovnakom zložení aj totožné rozhodnutie mimo odvolacieho konania.</w:t>
      </w:r>
    </w:p>
    <w:p w14:paraId="5D5B8F04" w14:textId="6E19CA54" w:rsidR="00B650E5" w:rsidRDefault="00B650E5">
      <w:pPr>
        <w:numPr>
          <w:ilvl w:val="0"/>
          <w:numId w:val="108"/>
        </w:numPr>
        <w:spacing w:before="120" w:after="120"/>
        <w:ind w:left="426" w:hanging="426"/>
        <w:jc w:val="both"/>
        <w:rPr>
          <w:szCs w:val="22"/>
          <w:lang w:eastAsia="en-US"/>
        </w:rPr>
      </w:pPr>
      <w:r>
        <w:rPr>
          <w:szCs w:val="22"/>
          <w:lang w:eastAsia="en-US"/>
        </w:rPr>
        <w:t xml:space="preserve">Pri preskúmaní rozhodnutia vychádza štatutárny orgán RO z právneho stavu a skutkových okolností platných v čase vydania rozhodnutia. Rozhodnutie nie je možné zmeniť na základe okolností, ktoré nastali po vydaní preskúmavaného rozhodnutia. Štatutárny orgán RO </w:t>
      </w:r>
      <w:r w:rsidR="008933F1">
        <w:rPr>
          <w:szCs w:val="22"/>
          <w:lang w:eastAsia="en-US"/>
        </w:rPr>
        <w:t xml:space="preserve">nesmie </w:t>
      </w:r>
      <w:r>
        <w:rPr>
          <w:szCs w:val="22"/>
          <w:lang w:eastAsia="en-US"/>
        </w:rPr>
        <w:t>rozhodnutie zmeniť, ak sa po jeho vydaní dodatočne zmenili rozhodujúce skutkové okolnosti, z</w:t>
      </w:r>
      <w:r w:rsidR="00D7547F">
        <w:rPr>
          <w:szCs w:val="22"/>
          <w:lang w:eastAsia="en-US"/>
        </w:rPr>
        <w:t> </w:t>
      </w:r>
      <w:r>
        <w:rPr>
          <w:szCs w:val="22"/>
          <w:lang w:eastAsia="en-US"/>
        </w:rPr>
        <w:t>ktorých pôvodné rozhodnutie vychádzalo. Táto skutočnosť je rozhodujúca pre prípady, kedy je v rámci schvaľovacieho procesu výber uskutočňovaný na základe aplikácie finančnej alokácie na</w:t>
      </w:r>
      <w:r w:rsidR="00D7547F">
        <w:rPr>
          <w:szCs w:val="22"/>
          <w:lang w:eastAsia="en-US"/>
        </w:rPr>
        <w:t> </w:t>
      </w:r>
      <w:r>
        <w:rPr>
          <w:szCs w:val="22"/>
          <w:lang w:eastAsia="en-US"/>
        </w:rPr>
        <w:t xml:space="preserve">skupinu ŽoNFP zoradenú podľa výsledkov dosiahnutých v odbornom hodnotení alebo kritérií v rámci výberu. Ak sa pri preskúmaní rozhodnutia preukáže, že dané rozhodnutie je potrebné zmeniť, ŽoNFP sa umiestni na inom mieste v poradí, nie je možné automaticky preskúmavať </w:t>
      </w:r>
      <w:r>
        <w:rPr>
          <w:szCs w:val="22"/>
          <w:lang w:eastAsia="en-US"/>
        </w:rPr>
        <w:lastRenderedPageBreak/>
        <w:t>ostatné rozhodnutia, ktorých sa zmena poradia v danom prípade týka. Ich postavenie ostáva zmenou individuálneho rozhodnutia nezmenené.</w:t>
      </w:r>
    </w:p>
    <w:p w14:paraId="1C8A62EC" w14:textId="77777777" w:rsidR="00B650E5" w:rsidRDefault="00B650E5" w:rsidP="0045286B">
      <w:pPr>
        <w:pStyle w:val="SRK4"/>
      </w:pPr>
      <w:bookmarkStart w:id="260" w:name="_Toc453234009"/>
      <w:bookmarkStart w:id="261" w:name="_Toc501630062"/>
      <w:r>
        <w:t>3.2.4.3 Oprava rozhodnutia</w:t>
      </w:r>
      <w:bookmarkEnd w:id="260"/>
      <w:bookmarkEnd w:id="261"/>
    </w:p>
    <w:p w14:paraId="0401C2BE" w14:textId="77777777" w:rsidR="00B650E5" w:rsidRDefault="00B650E5">
      <w:pPr>
        <w:numPr>
          <w:ilvl w:val="0"/>
          <w:numId w:val="109"/>
        </w:numPr>
        <w:spacing w:before="120" w:after="120"/>
        <w:ind w:left="425" w:hanging="425"/>
        <w:jc w:val="both"/>
        <w:rPr>
          <w:szCs w:val="22"/>
          <w:lang w:eastAsia="en-US"/>
        </w:rPr>
      </w:pPr>
      <w:bookmarkStart w:id="262" w:name="_Toc378947503"/>
      <w:r>
        <w:rPr>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14:paraId="52989FAE"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Na opravu rozhodnutia sa vzťahuje § 47 ods. 6 správneho poriadku, </w:t>
      </w:r>
      <w:r w:rsidR="00C93F30">
        <w:rPr>
          <w:szCs w:val="22"/>
          <w:lang w:eastAsia="en-US"/>
        </w:rPr>
        <w:t xml:space="preserve">t. j. </w:t>
      </w:r>
      <w:r>
        <w:rPr>
          <w:szCs w:val="22"/>
          <w:lang w:eastAsia="en-US"/>
        </w:rPr>
        <w:t>chyby v písaní, v počítaní alebo iné zrejmé nesprávnosti sú opravené kedykoľvek aj bez návrhu žiadateľa.</w:t>
      </w:r>
    </w:p>
    <w:p w14:paraId="4432B9F1" w14:textId="77777777" w:rsidR="00B650E5" w:rsidRDefault="00B650E5">
      <w:pPr>
        <w:numPr>
          <w:ilvl w:val="0"/>
          <w:numId w:val="109"/>
        </w:numPr>
        <w:spacing w:before="120" w:after="120"/>
        <w:ind w:left="425" w:hanging="425"/>
        <w:jc w:val="both"/>
        <w:rPr>
          <w:szCs w:val="22"/>
          <w:lang w:eastAsia="en-US"/>
        </w:rPr>
      </w:pPr>
      <w:r>
        <w:rPr>
          <w:szCs w:val="22"/>
          <w:lang w:eastAsia="en-US"/>
        </w:rPr>
        <w:t>Opravu rozhodnutia vykoná RO alebo štatutárny orgán RO v závislosti od toho, kto rozhodnutie vydal a o oprave informuje žiadateľa.</w:t>
      </w:r>
    </w:p>
    <w:p w14:paraId="69142352" w14:textId="77777777" w:rsidR="00B650E5" w:rsidRDefault="00B650E5">
      <w:pPr>
        <w:numPr>
          <w:ilvl w:val="0"/>
          <w:numId w:val="109"/>
        </w:numPr>
        <w:spacing w:before="120" w:after="120"/>
        <w:ind w:left="425" w:hanging="425"/>
        <w:jc w:val="both"/>
        <w:rPr>
          <w:szCs w:val="22"/>
          <w:lang w:eastAsia="en-US"/>
        </w:rPr>
      </w:pPr>
      <w:r>
        <w:rPr>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14:paraId="449BF9A6" w14:textId="77777777" w:rsidR="00B650E5" w:rsidRDefault="00B650E5">
      <w:pPr>
        <w:numPr>
          <w:ilvl w:val="0"/>
          <w:numId w:val="109"/>
        </w:numPr>
        <w:spacing w:before="120" w:after="120"/>
        <w:ind w:left="425" w:hanging="425"/>
        <w:jc w:val="both"/>
        <w:rPr>
          <w:szCs w:val="22"/>
          <w:lang w:eastAsia="en-US"/>
        </w:rPr>
      </w:pPr>
      <w:r>
        <w:rPr>
          <w:szCs w:val="22"/>
          <w:lang w:eastAsia="en-US"/>
        </w:rPr>
        <w:t>Oprava rozhodnutia je možná vo vzťahu ku všetkým typom rozhodnutí vydaných podľa zákona o príspevku z EŠIF. Možnosť opravy rozhodnutia podľa tejto kapitoly nie je časovo obmedzená.</w:t>
      </w:r>
    </w:p>
    <w:p w14:paraId="2EC52E9F" w14:textId="77777777" w:rsidR="00B650E5" w:rsidRDefault="00B650E5">
      <w:pPr>
        <w:pStyle w:val="SRK2"/>
        <w:rPr>
          <w:rStyle w:val="Nadpis1Char"/>
          <w:bCs/>
          <w:spacing w:val="0"/>
          <w:kern w:val="0"/>
          <w:sz w:val="24"/>
          <w:szCs w:val="24"/>
        </w:rPr>
      </w:pPr>
      <w:bookmarkStart w:id="263" w:name="_Toc453234010"/>
      <w:bookmarkStart w:id="264" w:name="_Toc501630063"/>
      <w:bookmarkStart w:id="265" w:name="kapitola_33"/>
      <w:r>
        <w:rPr>
          <w:rStyle w:val="Nadpis1Char"/>
          <w:bCs/>
          <w:sz w:val="36"/>
          <w:szCs w:val="26"/>
        </w:rPr>
        <w:t>3.3 Implementácia projektov</w:t>
      </w:r>
      <w:bookmarkEnd w:id="262"/>
      <w:bookmarkEnd w:id="263"/>
      <w:bookmarkEnd w:id="264"/>
    </w:p>
    <w:p w14:paraId="5D9A510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bookmarkStart w:id="266" w:name="_Toc378947504"/>
      <w:bookmarkEnd w:id="265"/>
      <w:r>
        <w:rPr>
          <w:u w:val="single"/>
        </w:rPr>
        <w:t>Relevantná úprava v legislatíve EÚ:</w:t>
      </w:r>
    </w:p>
    <w:p w14:paraId="0422FCB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71, 125 ods. 4 všeobecného nariadenia</w:t>
      </w:r>
    </w:p>
    <w:p w14:paraId="4D44DDE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6601CB5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25 zákona o príspevku z EŠIF</w:t>
      </w:r>
    </w:p>
    <w:p w14:paraId="6DE1F1E9" w14:textId="77777777" w:rsidR="00B650E5" w:rsidRDefault="00B650E5">
      <w:pPr>
        <w:numPr>
          <w:ilvl w:val="0"/>
          <w:numId w:val="279"/>
        </w:numPr>
        <w:spacing w:before="120" w:after="120"/>
        <w:ind w:left="425" w:hanging="425"/>
        <w:jc w:val="both"/>
        <w:rPr>
          <w:szCs w:val="22"/>
          <w:lang w:eastAsia="en-US"/>
        </w:rPr>
      </w:pPr>
      <w:r>
        <w:rPr>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14:paraId="100A71C8" w14:textId="77777777" w:rsidR="00B650E5" w:rsidRDefault="00B650E5">
      <w:pPr>
        <w:numPr>
          <w:ilvl w:val="0"/>
          <w:numId w:val="279"/>
        </w:numPr>
        <w:spacing w:before="120" w:after="120"/>
        <w:ind w:left="425" w:hanging="425"/>
        <w:jc w:val="both"/>
        <w:rPr>
          <w:szCs w:val="22"/>
          <w:lang w:eastAsia="en-US"/>
        </w:rPr>
      </w:pPr>
      <w:r>
        <w:rPr>
          <w:szCs w:val="22"/>
          <w:lang w:eastAsia="en-US"/>
        </w:rPr>
        <w:t>Proces implementácie musí byť viazaný na jednoznačné a jasné pravidlá, ktoré sa vzťahujú na</w:t>
      </w:r>
      <w:r w:rsidR="00D7547F">
        <w:rPr>
          <w:szCs w:val="22"/>
          <w:lang w:eastAsia="en-US"/>
        </w:rPr>
        <w:t> </w:t>
      </w:r>
      <w:r>
        <w:rPr>
          <w:szCs w:val="22"/>
          <w:lang w:eastAsia="en-US"/>
        </w:rPr>
        <w:t>celý proces poskytovania príspevku od vydania rozhodnutia o schválení ŽoNFP až po</w:t>
      </w:r>
      <w:r w:rsidR="00D7547F">
        <w:rPr>
          <w:szCs w:val="22"/>
          <w:lang w:eastAsia="en-US"/>
        </w:rPr>
        <w:t> </w:t>
      </w:r>
      <w:r>
        <w:rPr>
          <w:szCs w:val="22"/>
          <w:lang w:eastAsia="en-US"/>
        </w:rPr>
        <w:t>ukončenie účinnosti zmluvy o NFP.</w:t>
      </w:r>
    </w:p>
    <w:p w14:paraId="7BBBBC20" w14:textId="77777777" w:rsidR="00B650E5" w:rsidRDefault="00B650E5">
      <w:pPr>
        <w:numPr>
          <w:ilvl w:val="0"/>
          <w:numId w:val="279"/>
        </w:numPr>
        <w:spacing w:before="120" w:after="120"/>
        <w:ind w:left="425" w:hanging="425"/>
        <w:jc w:val="both"/>
      </w:pPr>
      <w:r>
        <w:rPr>
          <w:szCs w:val="22"/>
          <w:lang w:eastAsia="en-US"/>
        </w:rPr>
        <w:t xml:space="preserve">Vzájomné práva a povinnosti RO a prijímateľa sa spravujú podmienkami zakotvenými v zmluve o NFP a dokumentmi, ktoré sú na základe dohody zmluvných strán zakotvenej v zmluve o NFP záväzné. </w:t>
      </w:r>
    </w:p>
    <w:p w14:paraId="6C2D19D9" w14:textId="77777777" w:rsidR="00B650E5" w:rsidRDefault="00B650E5">
      <w:pPr>
        <w:numPr>
          <w:ilvl w:val="0"/>
          <w:numId w:val="279"/>
        </w:numPr>
        <w:spacing w:before="120" w:after="120"/>
        <w:ind w:left="425" w:hanging="425"/>
        <w:jc w:val="both"/>
      </w:pPr>
      <w:r>
        <w:rPr>
          <w:szCs w:val="22"/>
          <w:lang w:eastAsia="en-US"/>
        </w:rPr>
        <w:t>V prípade projektov, kde RO a prijímateľ je totožná osoba sú práva a povinnosti súčasťou rozhodnutia o schválení.</w:t>
      </w:r>
    </w:p>
    <w:p w14:paraId="19458E59" w14:textId="77777777" w:rsidR="00B650E5" w:rsidRDefault="00B650E5">
      <w:pPr>
        <w:numPr>
          <w:ilvl w:val="0"/>
          <w:numId w:val="279"/>
        </w:numPr>
        <w:spacing w:before="120" w:after="120"/>
        <w:ind w:left="426" w:hanging="426"/>
        <w:jc w:val="both"/>
        <w:rPr>
          <w:szCs w:val="22"/>
          <w:lang w:eastAsia="en-US"/>
        </w:rPr>
      </w:pPr>
      <w:r>
        <w:rPr>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14:paraId="1C72B132" w14:textId="77777777" w:rsidR="00B650E5" w:rsidRDefault="00B650E5">
      <w:pPr>
        <w:numPr>
          <w:ilvl w:val="0"/>
          <w:numId w:val="279"/>
        </w:numPr>
        <w:spacing w:before="120" w:after="120"/>
        <w:ind w:left="425" w:hanging="425"/>
        <w:jc w:val="both"/>
      </w:pPr>
      <w:r>
        <w:rPr>
          <w:szCs w:val="22"/>
          <w:lang w:eastAsia="en-US"/>
        </w:rPr>
        <w:t xml:space="preserve">Postupy pri implementácii projektov, vrátane postupov pri zmene projektu upraví CKO v metodickom pokyne. </w:t>
      </w:r>
    </w:p>
    <w:p w14:paraId="77047BDD" w14:textId="77777777" w:rsidR="00B650E5" w:rsidRDefault="00B650E5">
      <w:pPr>
        <w:pStyle w:val="SRK3"/>
      </w:pPr>
      <w:bookmarkStart w:id="267" w:name="_Toc453234011"/>
      <w:bookmarkStart w:id="268" w:name="_Toc501630064"/>
      <w:r>
        <w:lastRenderedPageBreak/>
        <w:t>3.3.1 Príprava zmluvy o </w:t>
      </w:r>
      <w:bookmarkEnd w:id="266"/>
      <w:bookmarkEnd w:id="267"/>
      <w:r>
        <w:t>NFP</w:t>
      </w:r>
      <w:bookmarkEnd w:id="268"/>
      <w:r>
        <w:t xml:space="preserve"> </w:t>
      </w:r>
    </w:p>
    <w:p w14:paraId="0210D00A" w14:textId="77777777" w:rsidR="00B650E5" w:rsidRDefault="00B650E5">
      <w:pPr>
        <w:numPr>
          <w:ilvl w:val="0"/>
          <w:numId w:val="280"/>
        </w:numPr>
        <w:spacing w:before="120" w:after="120"/>
        <w:ind w:left="426" w:hanging="426"/>
        <w:jc w:val="both"/>
        <w:rPr>
          <w:szCs w:val="22"/>
          <w:lang w:eastAsia="en-US"/>
        </w:rPr>
      </w:pPr>
      <w:bookmarkStart w:id="269" w:name="_Toc378947505"/>
      <w:r>
        <w:rPr>
          <w:szCs w:val="22"/>
          <w:lang w:eastAsia="en-US"/>
        </w:rPr>
        <w:t>Vzor</w:t>
      </w:r>
      <w:r>
        <w:rPr>
          <w:rStyle w:val="Odkaznapoznmkupodiarou"/>
          <w:szCs w:val="22"/>
          <w:lang w:eastAsia="en-US"/>
        </w:rPr>
        <w:footnoteReference w:id="68"/>
      </w:r>
      <w:r>
        <w:rPr>
          <w:szCs w:val="22"/>
          <w:lang w:eastAsia="en-US"/>
        </w:rPr>
        <w:t xml:space="preserve"> zmluvy o  NFP vydáva CKO s cieľom zjednotenia, zjednodušenia a zefektívnenia implementácie pomoci z EŠIF. Zmluva o NFP predstavuje základný právny rámec pre</w:t>
      </w:r>
      <w:r w:rsidR="00D7547F">
        <w:rPr>
          <w:szCs w:val="22"/>
          <w:lang w:eastAsia="en-US"/>
        </w:rPr>
        <w:t> </w:t>
      </w:r>
      <w:r>
        <w:rPr>
          <w:szCs w:val="22"/>
          <w:lang w:eastAsia="en-US"/>
        </w:rPr>
        <w:t>poskytovanie príspevku prijímateľovi.</w:t>
      </w:r>
    </w:p>
    <w:p w14:paraId="5A09C1C2" w14:textId="77777777" w:rsidR="00B650E5" w:rsidRDefault="00B650E5">
      <w:pPr>
        <w:numPr>
          <w:ilvl w:val="0"/>
          <w:numId w:val="280"/>
        </w:numPr>
        <w:spacing w:before="120" w:after="120"/>
        <w:ind w:left="426" w:hanging="426"/>
        <w:jc w:val="both"/>
        <w:rPr>
          <w:szCs w:val="22"/>
          <w:lang w:eastAsia="en-US"/>
        </w:rPr>
      </w:pPr>
      <w:r>
        <w:rPr>
          <w:szCs w:val="22"/>
          <w:lang w:eastAsia="en-US"/>
        </w:rPr>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14:paraId="435B1D2D" w14:textId="6E73DF2B" w:rsidR="00B650E5" w:rsidRDefault="00B650E5">
      <w:pPr>
        <w:numPr>
          <w:ilvl w:val="0"/>
          <w:numId w:val="280"/>
        </w:numPr>
        <w:spacing w:before="120" w:after="120"/>
        <w:ind w:left="426" w:hanging="426"/>
        <w:jc w:val="both"/>
        <w:rPr>
          <w:szCs w:val="22"/>
          <w:lang w:eastAsia="en-US"/>
        </w:rPr>
      </w:pPr>
      <w:r>
        <w:rPr>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w:t>
      </w:r>
      <w:r w:rsidR="00FB1BE9">
        <w:rPr>
          <w:szCs w:val="22"/>
          <w:lang w:eastAsia="en-US"/>
        </w:rPr>
        <w:t>ov</w:t>
      </w:r>
      <w:r>
        <w:rPr>
          <w:szCs w:val="22"/>
          <w:lang w:eastAsia="en-US"/>
        </w:rPr>
        <w:t xml:space="preserve"> riadenia a</w:t>
      </w:r>
      <w:r w:rsidR="006F3B93">
        <w:rPr>
          <w:szCs w:val="22"/>
          <w:lang w:eastAsia="en-US"/>
        </w:rPr>
        <w:t> </w:t>
      </w:r>
      <w:r>
        <w:rPr>
          <w:szCs w:val="22"/>
          <w:lang w:eastAsia="en-US"/>
        </w:rPr>
        <w:t>kontroly</w:t>
      </w:r>
      <w:r w:rsidR="006F3B93">
        <w:rPr>
          <w:szCs w:val="22"/>
          <w:lang w:eastAsia="en-US"/>
        </w:rPr>
        <w:t>,</w:t>
      </w:r>
      <w:r>
        <w:rPr>
          <w:szCs w:val="22"/>
          <w:lang w:eastAsia="en-US"/>
        </w:rPr>
        <w:t xml:space="preserve"> ako aj na základe potrieb z implementačnej praxe.</w:t>
      </w:r>
    </w:p>
    <w:p w14:paraId="197B0ED5" w14:textId="77777777" w:rsidR="00B650E5" w:rsidRDefault="00B650E5">
      <w:pPr>
        <w:numPr>
          <w:ilvl w:val="0"/>
          <w:numId w:val="280"/>
        </w:numPr>
        <w:spacing w:before="120" w:after="120"/>
        <w:ind w:left="426" w:hanging="426"/>
        <w:jc w:val="both"/>
        <w:rPr>
          <w:szCs w:val="22"/>
          <w:lang w:eastAsia="en-US"/>
        </w:rPr>
      </w:pPr>
      <w:r>
        <w:rPr>
          <w:szCs w:val="22"/>
          <w:lang w:eastAsia="en-US"/>
        </w:rPr>
        <w:t>RO sú oprávnené v súvislosti so špecifikami jednotlivých OP vzor zmluvy o NFP modifikovať, resp. dopĺňať.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p>
    <w:p w14:paraId="20F4BFCC" w14:textId="77777777" w:rsidR="00B650E5" w:rsidRDefault="00B650E5">
      <w:pPr>
        <w:numPr>
          <w:ilvl w:val="0"/>
          <w:numId w:val="280"/>
        </w:numPr>
        <w:spacing w:before="120" w:after="120"/>
        <w:ind w:left="426" w:hanging="426"/>
        <w:jc w:val="both"/>
        <w:rPr>
          <w:szCs w:val="22"/>
          <w:lang w:eastAsia="en-US"/>
        </w:rPr>
      </w:pPr>
      <w:r>
        <w:rPr>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w:t>
      </w:r>
      <w:r w:rsidR="00D7547F">
        <w:rPr>
          <w:szCs w:val="22"/>
          <w:lang w:eastAsia="en-US"/>
        </w:rPr>
        <w:t> </w:t>
      </w:r>
      <w:r>
        <w:rPr>
          <w:szCs w:val="22"/>
          <w:lang w:eastAsia="en-US"/>
        </w:rPr>
        <w:t>predkladanie projektových zámerov/výzvy. V prípade rozhodnutia RO je možné zmluvu o NFP zaradiť medzi prílohy výzvy.</w:t>
      </w:r>
    </w:p>
    <w:p w14:paraId="686EB459" w14:textId="77777777" w:rsidR="00B650E5" w:rsidRDefault="00B650E5">
      <w:pPr>
        <w:numPr>
          <w:ilvl w:val="0"/>
          <w:numId w:val="280"/>
        </w:numPr>
        <w:spacing w:before="120" w:after="120"/>
        <w:ind w:left="426" w:hanging="426"/>
        <w:jc w:val="both"/>
        <w:rPr>
          <w:szCs w:val="22"/>
          <w:lang w:eastAsia="en-US"/>
        </w:rPr>
      </w:pPr>
      <w:r>
        <w:rPr>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14:paraId="7A099FDB" w14:textId="77777777" w:rsidR="00B650E5" w:rsidRDefault="00B650E5">
      <w:pPr>
        <w:pStyle w:val="SRK3"/>
      </w:pPr>
      <w:bookmarkStart w:id="270" w:name="_Toc453234012"/>
      <w:bookmarkStart w:id="271" w:name="_Toc501630065"/>
      <w:r>
        <w:t>3.3.2 Uzavretie zmluvy o </w:t>
      </w:r>
      <w:bookmarkEnd w:id="269"/>
      <w:bookmarkEnd w:id="270"/>
      <w:r>
        <w:t>NFP</w:t>
      </w:r>
      <w:bookmarkEnd w:id="271"/>
    </w:p>
    <w:p w14:paraId="5E46997B" w14:textId="77777777" w:rsidR="00B650E5" w:rsidRDefault="00B650E5">
      <w:pPr>
        <w:numPr>
          <w:ilvl w:val="0"/>
          <w:numId w:val="282"/>
        </w:numPr>
        <w:spacing w:before="120" w:after="120"/>
        <w:ind w:left="426" w:hanging="426"/>
        <w:jc w:val="both"/>
        <w:rPr>
          <w:szCs w:val="22"/>
          <w:lang w:eastAsia="en-US"/>
        </w:rPr>
      </w:pPr>
      <w:bookmarkStart w:id="272" w:name="_Toc378947506"/>
      <w:r>
        <w:rPr>
          <w:szCs w:val="22"/>
          <w:lang w:eastAsia="en-US"/>
        </w:rPr>
        <w:t>V súlade s § 25 ods. 1 zákona o príspevku z EŠIF sa príspevok poskytuje prijímateľovi na</w:t>
      </w:r>
      <w:r w:rsidR="00D7547F">
        <w:rPr>
          <w:szCs w:val="22"/>
          <w:lang w:eastAsia="en-US"/>
        </w:rPr>
        <w:t> </w:t>
      </w:r>
      <w:r>
        <w:rPr>
          <w:szCs w:val="22"/>
          <w:lang w:eastAsia="en-US"/>
        </w:rPr>
        <w:t>základe a v súlade so zmluvou o NFP uzavretou podľa § 269 ods. 2 Obchodného zákonníka. Ak je prijímateľ a RO tá istá osoba, zmluva o NFP sa neuzatvára a práva povinnosti sú upravené v rozhodnutí o schválení. Vzor</w:t>
      </w:r>
      <w:r>
        <w:rPr>
          <w:rStyle w:val="Odkaznapoznmkupodiarou"/>
          <w:szCs w:val="22"/>
          <w:lang w:eastAsia="en-US"/>
        </w:rPr>
        <w:footnoteReference w:id="69"/>
      </w:r>
      <w:r>
        <w:rPr>
          <w:szCs w:val="22"/>
          <w:lang w:eastAsia="en-US"/>
        </w:rPr>
        <w:t xml:space="preserve"> rozhodnutia o schválení vydá CKO.</w:t>
      </w:r>
    </w:p>
    <w:p w14:paraId="557AE683"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Cieľom procesu uzavretia zmluvy o NFP je vytvorenie právneho základu pre čerpanie účelovo viazaného NFP z verejných zdrojov, pri dodržaní podmienok správneho finančného riadenia. </w:t>
      </w:r>
    </w:p>
    <w:p w14:paraId="66EA1FD5"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14:paraId="3ED40BF7" w14:textId="77777777" w:rsidR="00B650E5" w:rsidRDefault="00B650E5">
      <w:pPr>
        <w:numPr>
          <w:ilvl w:val="0"/>
          <w:numId w:val="282"/>
        </w:numPr>
        <w:spacing w:before="120" w:after="120"/>
        <w:ind w:left="426" w:hanging="426"/>
        <w:jc w:val="both"/>
        <w:rPr>
          <w:szCs w:val="22"/>
          <w:lang w:eastAsia="en-US"/>
        </w:rPr>
      </w:pPr>
      <w:r>
        <w:rPr>
          <w:szCs w:val="22"/>
          <w:lang w:eastAsia="en-US"/>
        </w:rPr>
        <w:lastRenderedPageBreak/>
        <w:t xml:space="preserve">Zmluva o NFP upravuje práva a povinnosti prijímateľa a RO pri realizácii projektu a počas obdobia udržateľnosti projektu. Ak je účastníkom zmluvného vzťahu partner, zmluva upravuje aj práva a povinnosti partnera. </w:t>
      </w:r>
    </w:p>
    <w:p w14:paraId="67DBD78C" w14:textId="77777777" w:rsidR="00B650E5" w:rsidRDefault="00B650E5">
      <w:pPr>
        <w:numPr>
          <w:ilvl w:val="0"/>
          <w:numId w:val="282"/>
        </w:numPr>
        <w:spacing w:before="120" w:after="120"/>
        <w:ind w:left="426" w:hanging="426"/>
        <w:jc w:val="both"/>
        <w:rPr>
          <w:szCs w:val="22"/>
          <w:lang w:eastAsia="en-US"/>
        </w:rPr>
      </w:pPr>
      <w:r>
        <w:rPr>
          <w:szCs w:val="22"/>
          <w:lang w:eastAsia="en-US"/>
        </w:rPr>
        <w:t>Žiadateľ je v súlade s § 25 ods. 4 zákona o príspevku z EŠIF povinný poskytnúť pred uzavretím zmluvy o NFP RO súčinnosť v rozsahu potrebnom na uzavretie zmluvy o NFP.</w:t>
      </w:r>
    </w:p>
    <w:p w14:paraId="77E9075F" w14:textId="77777777" w:rsidR="00B650E5" w:rsidRDefault="00B650E5">
      <w:pPr>
        <w:numPr>
          <w:ilvl w:val="0"/>
          <w:numId w:val="282"/>
        </w:numPr>
        <w:spacing w:before="120" w:after="120"/>
        <w:ind w:left="426" w:hanging="426"/>
        <w:jc w:val="both"/>
        <w:rPr>
          <w:szCs w:val="22"/>
          <w:lang w:eastAsia="en-US"/>
        </w:rPr>
      </w:pPr>
      <w:r>
        <w:rPr>
          <w:szCs w:val="22"/>
          <w:lang w:eastAsia="en-US"/>
        </w:rPr>
        <w:t>RO zasiela písomný návrh na uzavretie zmluvy o NFP a určí lehotu na prijatie návrhu žiadateľovi:</w:t>
      </w:r>
    </w:p>
    <w:p w14:paraId="41CCCED5"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ktorému rozhodnutie o schválení nadobudlo právoplatnosť, </w:t>
      </w:r>
    </w:p>
    <w:p w14:paraId="69279D04"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 xml:space="preserve">ktorý splnil podmienky určené vo výroku rozhodnutia podľa § 19 ods. 11 zákona o príspevku z EŠIF, ak boli podmienky vo výroku rozhodnutia určené a, </w:t>
      </w:r>
    </w:p>
    <w:p w14:paraId="2FBF81EA" w14:textId="77777777" w:rsidR="00B650E5" w:rsidRDefault="00B650E5">
      <w:pPr>
        <w:pStyle w:val="Odsekzoznamu"/>
        <w:numPr>
          <w:ilvl w:val="1"/>
          <w:numId w:val="343"/>
        </w:numPr>
        <w:spacing w:before="120" w:after="120"/>
        <w:ind w:left="851" w:hanging="425"/>
        <w:contextualSpacing w:val="0"/>
        <w:jc w:val="both"/>
        <w:rPr>
          <w:szCs w:val="22"/>
          <w:lang w:eastAsia="en-US"/>
        </w:rPr>
      </w:pPr>
      <w:r>
        <w:rPr>
          <w:szCs w:val="22"/>
          <w:lang w:eastAsia="en-US"/>
        </w:rPr>
        <w:t>ktorý poskytol potrebnú súčinnosť.</w:t>
      </w:r>
    </w:p>
    <w:p w14:paraId="60E7B138" w14:textId="6E455FB1" w:rsidR="00B650E5" w:rsidRDefault="00B650E5">
      <w:pPr>
        <w:numPr>
          <w:ilvl w:val="0"/>
          <w:numId w:val="282"/>
        </w:numPr>
        <w:spacing w:before="120" w:after="120"/>
        <w:ind w:left="426" w:hanging="426"/>
        <w:jc w:val="both"/>
        <w:rPr>
          <w:szCs w:val="22"/>
          <w:lang w:eastAsia="en-US"/>
        </w:rPr>
      </w:pPr>
      <w:r>
        <w:rPr>
          <w:szCs w:val="22"/>
          <w:lang w:eastAsia="en-US"/>
        </w:rPr>
        <w:t xml:space="preserve">RO zabezpečí zaslanie návrhu na uzavretie zmluvy o NFP podpísanej štatutárnym orgánom RO, resp. jeho oprávneným zástupcom v minimálne troch rovnopisoch doporučenou poštou, alebo iným vhodným spôsobom v termíne do 10  pracovných dní od splnenia všetkých podmienok uvedených v odseku 6. RO v procese prípravy návrhu na uzavretie zmluvy o NFP uplatňuje pravidlo </w:t>
      </w:r>
      <w:r w:rsidR="008933F1">
        <w:rPr>
          <w:szCs w:val="22"/>
          <w:lang w:eastAsia="en-US"/>
        </w:rPr>
        <w:t xml:space="preserve">4 </w:t>
      </w:r>
      <w:r>
        <w:rPr>
          <w:szCs w:val="22"/>
          <w:lang w:eastAsia="en-US"/>
        </w:rPr>
        <w:t>očí. Ak žiadateľ neposkytol potrebnú súčinnosť nevyhnutnú k príprave návrhu zmluvy o NFP v primeranej lehote stanovenej RO, RO nezašle návrh na uzavretie zmluvy o NFP žiadateľovi.</w:t>
      </w:r>
    </w:p>
    <w:p w14:paraId="33868890" w14:textId="77777777" w:rsidR="00B650E5" w:rsidRDefault="00B650E5">
      <w:pPr>
        <w:numPr>
          <w:ilvl w:val="0"/>
          <w:numId w:val="282"/>
        </w:numPr>
        <w:spacing w:before="120" w:after="120"/>
        <w:ind w:left="426" w:hanging="426"/>
        <w:jc w:val="both"/>
        <w:rPr>
          <w:szCs w:val="22"/>
          <w:lang w:eastAsia="en-US"/>
        </w:rPr>
      </w:pPr>
      <w:r>
        <w:rPr>
          <w:szCs w:val="22"/>
          <w:lang w:eastAsia="en-US"/>
        </w:rPr>
        <w:t>RO poskytne žiadateľovi lehotu na prijatie návrhu na uzavretie zmluvy o NFP, ktorá nesmie byť kratšia ako 5 pracovných dní. V prípade, že rovnopisy zmluvy o NFP sú podpísané splnomocneným zástupcom štatutárneho orgánu žiadateľa, RO zabezpečí overenie tohto splnomocnenia (napr. vyznačením tejto skutočnosti do zmluvy o NFP). RO je oprávnený rozhodnúť, že návrh na uzavretie zmluvy o NFP bude odovzdaný žiadateľovi po dohode s ním na</w:t>
      </w:r>
      <w:r w:rsidR="00333F4F">
        <w:rPr>
          <w:szCs w:val="22"/>
          <w:lang w:eastAsia="en-US"/>
        </w:rPr>
        <w:t> </w:t>
      </w:r>
      <w:r>
        <w:rPr>
          <w:szCs w:val="22"/>
          <w:lang w:eastAsia="en-US"/>
        </w:rPr>
        <w:t>pracovisku RO. Žiadateľ je zároveň oprávnený rozhodnúť o nevyužití poskytnutej minimálnej lehoty 5 pracovných dní na prijatie návrhu a o následnom prijatí, resp. odmietnutí návrhu na</w:t>
      </w:r>
      <w:r w:rsidR="00333F4F">
        <w:rPr>
          <w:szCs w:val="22"/>
          <w:lang w:eastAsia="en-US"/>
        </w:rPr>
        <w:t> </w:t>
      </w:r>
      <w:r>
        <w:rPr>
          <w:szCs w:val="22"/>
          <w:lang w:eastAsia="en-US"/>
        </w:rPr>
        <w:t xml:space="preserve">uzavretie zmluvy o NFP. </w:t>
      </w:r>
    </w:p>
    <w:p w14:paraId="4B31C046" w14:textId="77777777" w:rsidR="00B650E5" w:rsidRDefault="00B650E5">
      <w:pPr>
        <w:numPr>
          <w:ilvl w:val="0"/>
          <w:numId w:val="282"/>
        </w:numPr>
        <w:spacing w:before="120" w:after="120"/>
        <w:ind w:left="426" w:hanging="426"/>
        <w:jc w:val="both"/>
        <w:rPr>
          <w:szCs w:val="22"/>
          <w:lang w:eastAsia="en-US"/>
        </w:rPr>
      </w:pPr>
      <w:r>
        <w:rPr>
          <w:szCs w:val="22"/>
          <w:lang w:eastAsia="en-US"/>
        </w:rPr>
        <w:t>Návrh na uzavretie zmluvy o NFP zaniká dňom uplynutia lehoty, ktorá bola v návrhu na</w:t>
      </w:r>
      <w:r w:rsidR="00333F4F">
        <w:rPr>
          <w:szCs w:val="22"/>
          <w:lang w:eastAsia="en-US"/>
        </w:rPr>
        <w:t> </w:t>
      </w:r>
      <w:r>
        <w:rPr>
          <w:szCs w:val="22"/>
          <w:lang w:eastAsia="en-US"/>
        </w:rPr>
        <w:t>uzavretie zmluvy o NFP určená na jeho prijatie alebo doručením písomného prejavu žiadateľa o odmietnutí návrhu na uzavretie zmluvy RO. Zánik návrhu na uzavretie zmluvy o NFP nezakladá dôvod na zmenu rozhodnutia o schválení ŽoNFP.</w:t>
      </w:r>
    </w:p>
    <w:p w14:paraId="4EAA0D9A" w14:textId="77777777" w:rsidR="00B650E5" w:rsidRDefault="00B650E5">
      <w:pPr>
        <w:numPr>
          <w:ilvl w:val="0"/>
          <w:numId w:val="282"/>
        </w:numPr>
        <w:spacing w:before="120" w:after="120"/>
        <w:ind w:left="426" w:hanging="426"/>
        <w:jc w:val="both"/>
        <w:rPr>
          <w:szCs w:val="22"/>
          <w:lang w:eastAsia="en-US"/>
        </w:rPr>
      </w:pPr>
      <w:r>
        <w:rPr>
          <w:szCs w:val="22"/>
          <w:lang w:eastAsia="en-US"/>
        </w:rPr>
        <w:t xml:space="preserve">RO zabezpečí, aby žiadateľ doručil RO minimálne dva rovnopisy prijatého návrhu na uzavretie zmluvy o NFP. Po prijatí návrhu na uzavretie zmluvy o NFP žiadateľom, RO založí pre každý projekt, k podpore ktorého bola uzavretá zmluva o NFP, projektový spis v súlade s príslušnými pravidlami pre uchovávanie dokumentov. </w:t>
      </w:r>
    </w:p>
    <w:p w14:paraId="6CD8B46B" w14:textId="77777777" w:rsidR="00B650E5" w:rsidRDefault="00B650E5">
      <w:pPr>
        <w:numPr>
          <w:ilvl w:val="0"/>
          <w:numId w:val="282"/>
        </w:numPr>
        <w:spacing w:before="120" w:after="120"/>
        <w:ind w:left="426" w:hanging="426"/>
        <w:jc w:val="both"/>
        <w:rPr>
          <w:szCs w:val="22"/>
          <w:lang w:eastAsia="en-US"/>
        </w:rPr>
      </w:pPr>
      <w:r>
        <w:rPr>
          <w:szCs w:val="22"/>
          <w:lang w:eastAsia="en-US"/>
        </w:rPr>
        <w:t>RO zabezpečí v súlade s ustanoveniami zákona o slobode informácií zverejnenie zmluvy o NFP v</w:t>
      </w:r>
      <w:r w:rsidR="00333F4F">
        <w:rPr>
          <w:szCs w:val="22"/>
          <w:lang w:eastAsia="en-US"/>
        </w:rPr>
        <w:t> </w:t>
      </w:r>
      <w:r>
        <w:rPr>
          <w:szCs w:val="22"/>
          <w:lang w:eastAsia="en-US"/>
        </w:rPr>
        <w:t xml:space="preserve">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p>
    <w:p w14:paraId="508E6727" w14:textId="77777777" w:rsidR="00B650E5" w:rsidRDefault="00B650E5">
      <w:pPr>
        <w:pStyle w:val="SRK3"/>
      </w:pPr>
      <w:bookmarkStart w:id="273" w:name="_Toc453234013"/>
      <w:bookmarkStart w:id="274" w:name="_Toc501630066"/>
      <w:bookmarkStart w:id="275" w:name="kapitola_333"/>
      <w:r>
        <w:t xml:space="preserve">3.3.3 Zabezpečenie pohľadávky </w:t>
      </w:r>
      <w:bookmarkEnd w:id="272"/>
      <w:r>
        <w:t>RO</w:t>
      </w:r>
      <w:bookmarkEnd w:id="273"/>
      <w:bookmarkEnd w:id="274"/>
    </w:p>
    <w:p w14:paraId="02182DCC" w14:textId="77777777" w:rsidR="00B650E5" w:rsidRDefault="00B650E5">
      <w:pPr>
        <w:pStyle w:val="Odsekzoznamu"/>
        <w:numPr>
          <w:ilvl w:val="0"/>
          <w:numId w:val="283"/>
        </w:numPr>
        <w:spacing w:before="120" w:after="120"/>
        <w:ind w:left="426" w:hanging="426"/>
        <w:contextualSpacing w:val="0"/>
        <w:jc w:val="both"/>
        <w:rPr>
          <w:szCs w:val="22"/>
          <w:lang w:eastAsia="en-US"/>
        </w:rPr>
      </w:pPr>
      <w:bookmarkStart w:id="276" w:name="_Toc378947507"/>
      <w:bookmarkEnd w:id="275"/>
      <w:r>
        <w:rPr>
          <w:szCs w:val="22"/>
          <w:lang w:eastAsia="en-US"/>
        </w:rPr>
        <w:t xml:space="preserve">RO pri zabezpečení pohľadávky pri uzavretých zmluvách o NFP vyberie vhodný spôsob zabezpečenia pohľadávky najmä na základe posúdenia nasledujúcich faktorov: </w:t>
      </w:r>
    </w:p>
    <w:p w14:paraId="74A18A6D" w14:textId="77777777" w:rsidR="00B650E5" w:rsidRDefault="00B650E5">
      <w:pPr>
        <w:numPr>
          <w:ilvl w:val="0"/>
          <w:numId w:val="284"/>
        </w:numPr>
        <w:spacing w:before="120" w:after="120"/>
        <w:ind w:left="851" w:hanging="425"/>
        <w:jc w:val="both"/>
        <w:rPr>
          <w:szCs w:val="22"/>
          <w:lang w:eastAsia="en-US"/>
        </w:rPr>
      </w:pPr>
      <w:r>
        <w:rPr>
          <w:b/>
          <w:szCs w:val="22"/>
          <w:lang w:eastAsia="en-US"/>
        </w:rPr>
        <w:lastRenderedPageBreak/>
        <w:t>charakter výstupov projektu</w:t>
      </w:r>
      <w:r>
        <w:rPr>
          <w:szCs w:val="22"/>
          <w:lang w:eastAsia="en-US"/>
        </w:rPr>
        <w:t xml:space="preserve"> – uvedený aspekt zohľadňuje, či výstupom projektu sú hnuteľné/nehnuteľné veci, ktoré sú spôsobilé byť predmetom obchodovania, alebo výstup je nehmotného charakteru, </w:t>
      </w:r>
    </w:p>
    <w:p w14:paraId="744874F4" w14:textId="77777777" w:rsidR="00B650E5" w:rsidRDefault="00B650E5">
      <w:pPr>
        <w:numPr>
          <w:ilvl w:val="0"/>
          <w:numId w:val="284"/>
        </w:numPr>
        <w:spacing w:before="120" w:after="120"/>
        <w:ind w:left="851" w:hanging="425"/>
        <w:jc w:val="both"/>
        <w:rPr>
          <w:szCs w:val="22"/>
          <w:lang w:eastAsia="en-US"/>
        </w:rPr>
      </w:pPr>
      <w:r>
        <w:rPr>
          <w:b/>
          <w:szCs w:val="22"/>
          <w:lang w:eastAsia="en-US"/>
        </w:rPr>
        <w:t>charakter prijímateľa</w:t>
      </w:r>
      <w:r>
        <w:rPr>
          <w:szCs w:val="22"/>
          <w:lang w:eastAsia="en-US"/>
        </w:rPr>
        <w:t xml:space="preserve"> – aspekt zohľadňuje jednak rizikovosť subjektu (napr. nový podnikateľský subjekt bez podstatnejšieho vlastného majetku), ale aj z pohľadu spôsobu vymáhania pohľadávky od subjektu,</w:t>
      </w:r>
    </w:p>
    <w:p w14:paraId="1ABBA111" w14:textId="77777777" w:rsidR="00B650E5" w:rsidRDefault="00B650E5">
      <w:pPr>
        <w:numPr>
          <w:ilvl w:val="0"/>
          <w:numId w:val="284"/>
        </w:numPr>
        <w:spacing w:before="120" w:after="120"/>
        <w:ind w:left="851" w:hanging="425"/>
        <w:jc w:val="both"/>
        <w:rPr>
          <w:szCs w:val="22"/>
          <w:lang w:eastAsia="en-US"/>
        </w:rPr>
      </w:pPr>
      <w:r>
        <w:rPr>
          <w:b/>
          <w:szCs w:val="22"/>
          <w:lang w:eastAsia="en-US"/>
        </w:rPr>
        <w:t xml:space="preserve">dĺžka trvania realizácie projektu a výška poskytovaného príspevku </w:t>
      </w:r>
      <w:r>
        <w:rPr>
          <w:szCs w:val="22"/>
          <w:lang w:eastAsia="en-US"/>
        </w:rPr>
        <w:t xml:space="preserve">– aspekt priamo ovplyvňujúci potrebu zvýšeného zabezpečenia pohľadávky, </w:t>
      </w:r>
      <w:r w:rsidR="00C93F30">
        <w:rPr>
          <w:szCs w:val="22"/>
          <w:lang w:eastAsia="en-US"/>
        </w:rPr>
        <w:t>keďže</w:t>
      </w:r>
      <w:r>
        <w:rPr>
          <w:szCs w:val="22"/>
          <w:lang w:eastAsia="en-US"/>
        </w:rPr>
        <w:t xml:space="preserve"> čím je projekt náročnejší na realizáciu z hľadiska plánovanej dĺžky trvania a čím je finančne náročnejší, tým je riziko vzniku finančnej straty pre RO vyššie,</w:t>
      </w:r>
    </w:p>
    <w:p w14:paraId="2B1EB65C" w14:textId="77777777" w:rsidR="00B650E5" w:rsidRDefault="00B650E5">
      <w:pPr>
        <w:numPr>
          <w:ilvl w:val="0"/>
          <w:numId w:val="284"/>
        </w:numPr>
        <w:spacing w:before="120" w:after="120"/>
        <w:ind w:left="851" w:hanging="425"/>
        <w:jc w:val="both"/>
        <w:rPr>
          <w:szCs w:val="22"/>
          <w:lang w:eastAsia="en-US"/>
        </w:rPr>
      </w:pPr>
      <w:r>
        <w:rPr>
          <w:b/>
          <w:szCs w:val="22"/>
          <w:lang w:eastAsia="en-US"/>
        </w:rPr>
        <w:t>vhodný typ zabezpečenia pohľadávky</w:t>
      </w:r>
      <w:r>
        <w:rPr>
          <w:b/>
          <w:i/>
          <w:szCs w:val="22"/>
          <w:lang w:eastAsia="en-US"/>
        </w:rPr>
        <w:t xml:space="preserve"> – </w:t>
      </w:r>
      <w:r>
        <w:rPr>
          <w:szCs w:val="22"/>
          <w:lang w:eastAsia="en-US"/>
        </w:rPr>
        <w:t>v závislosti od posúdenia vyššie uvedených faktorov RO vyberie jeden z vhodných spôsobov zabezpečenia pohľadávok, ktorý poskytuje právna úprava v SR rešpektujúc prípadné obmedzenia vyplývajúce zo všeobecne záväzných právnych predpisov (napr. zákon o správe majetku štátu, zákon o rozpočtových pravidlách, zákon o rozpočtových pravidlách územnej samosprávy).</w:t>
      </w:r>
    </w:p>
    <w:p w14:paraId="5446AF34" w14:textId="77777777" w:rsidR="00B650E5" w:rsidRDefault="00B650E5">
      <w:pPr>
        <w:pStyle w:val="Odsekzoznamu"/>
        <w:numPr>
          <w:ilvl w:val="0"/>
          <w:numId w:val="283"/>
        </w:numPr>
        <w:spacing w:before="120" w:after="120"/>
        <w:ind w:left="426" w:hanging="426"/>
        <w:contextualSpacing w:val="0"/>
        <w:jc w:val="both"/>
        <w:rPr>
          <w:szCs w:val="22"/>
          <w:lang w:eastAsia="en-US"/>
        </w:rPr>
      </w:pPr>
      <w:r>
        <w:rPr>
          <w:szCs w:val="22"/>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r>
        <w:rPr>
          <w:rStyle w:val="Odkaznapoznmkupodiarou"/>
          <w:szCs w:val="22"/>
          <w:lang w:eastAsia="en-US"/>
        </w:rPr>
        <w:footnoteReference w:id="70"/>
      </w:r>
      <w:r>
        <w:rPr>
          <w:szCs w:val="22"/>
          <w:lang w:eastAsia="en-US"/>
        </w:rPr>
        <w:t>.</w:t>
      </w:r>
    </w:p>
    <w:p w14:paraId="36BC382E" w14:textId="77777777" w:rsidR="00B650E5" w:rsidRDefault="00B650E5">
      <w:pPr>
        <w:pStyle w:val="SRK3"/>
      </w:pPr>
      <w:bookmarkStart w:id="277" w:name="_Toc453234014"/>
      <w:bookmarkStart w:id="278" w:name="_Toc501630067"/>
      <w:r>
        <w:t>3.3.4 Základné princípy realizácie projektov</w:t>
      </w:r>
      <w:bookmarkEnd w:id="276"/>
      <w:bookmarkEnd w:id="277"/>
      <w:bookmarkEnd w:id="278"/>
    </w:p>
    <w:p w14:paraId="6DC411D4" w14:textId="77777777" w:rsidR="00B650E5" w:rsidRDefault="00B650E5" w:rsidP="0045286B">
      <w:pPr>
        <w:pStyle w:val="SRK4"/>
      </w:pPr>
      <w:bookmarkStart w:id="279" w:name="_Toc453234015"/>
      <w:bookmarkStart w:id="280" w:name="_Toc501630068"/>
      <w:r>
        <w:t>3.3.4.1 Monitorovanie projektov</w:t>
      </w:r>
      <w:bookmarkEnd w:id="279"/>
      <w:bookmarkEnd w:id="280"/>
    </w:p>
    <w:p w14:paraId="15ECD90C"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14:paraId="3A4F4B8B" w14:textId="77777777" w:rsidR="00B650E5" w:rsidRDefault="00B650E5">
      <w:pPr>
        <w:pStyle w:val="Odsekzoznamu"/>
        <w:numPr>
          <w:ilvl w:val="0"/>
          <w:numId w:val="285"/>
        </w:numPr>
        <w:spacing w:before="120" w:after="120"/>
        <w:ind w:left="426" w:hanging="426"/>
        <w:contextualSpacing w:val="0"/>
        <w:jc w:val="both"/>
        <w:rPr>
          <w:szCs w:val="22"/>
          <w:lang w:eastAsia="en-US"/>
        </w:rPr>
      </w:pPr>
      <w:r>
        <w:rPr>
          <w:szCs w:val="22"/>
          <w:lang w:eastAsia="en-US"/>
        </w:rPr>
        <w:t>Monitorovanie na úrovni projektu pozostáva z nasledujúcich častí:</w:t>
      </w:r>
    </w:p>
    <w:p w14:paraId="0F11F774" w14:textId="3AEF4C61" w:rsidR="00B650E5" w:rsidRDefault="00B650E5">
      <w:pPr>
        <w:numPr>
          <w:ilvl w:val="0"/>
          <w:numId w:val="286"/>
        </w:numPr>
        <w:spacing w:before="120" w:after="120"/>
        <w:ind w:left="851" w:hanging="425"/>
        <w:jc w:val="both"/>
        <w:rPr>
          <w:szCs w:val="22"/>
          <w:lang w:eastAsia="en-US"/>
        </w:rPr>
      </w:pPr>
      <w:r>
        <w:rPr>
          <w:b/>
          <w:szCs w:val="22"/>
          <w:u w:val="single"/>
          <w:lang w:eastAsia="en-US"/>
        </w:rPr>
        <w:t xml:space="preserve">Monitorovanie počas realizácie projektu </w:t>
      </w:r>
      <w:r>
        <w:rPr>
          <w:szCs w:val="22"/>
          <w:u w:val="single"/>
          <w:lang w:eastAsia="en-US"/>
        </w:rPr>
        <w:t>je rozdelené na dve časti</w:t>
      </w:r>
      <w:r w:rsidR="00332581">
        <w:rPr>
          <w:rStyle w:val="Odkaznapoznmkupodiarou"/>
          <w:szCs w:val="22"/>
          <w:u w:val="single"/>
          <w:lang w:eastAsia="en-US"/>
        </w:rPr>
        <w:footnoteReference w:id="71"/>
      </w:r>
      <w:r w:rsidRPr="001B709E">
        <w:rPr>
          <w:szCs w:val="22"/>
          <w:lang w:eastAsia="en-US"/>
        </w:rPr>
        <w:t xml:space="preserve">. </w:t>
      </w:r>
      <w:r>
        <w:rPr>
          <w:szCs w:val="22"/>
          <w:lang w:eastAsia="en-US"/>
        </w:rPr>
        <w:t>Kľúčové informácie o postupe realizácie projektu sú prijímateľom poskytované a viazané na požadované financovanie a predkladané v prílohe ŽoP</w:t>
      </w:r>
      <w:r w:rsidR="00417F80">
        <w:rPr>
          <w:szCs w:val="22"/>
          <w:lang w:eastAsia="en-US"/>
        </w:rPr>
        <w:t xml:space="preserve"> (resp. mimo predloženia ŽoP ako Mimoriadnu monitorovaciu správu projektu, ak prijímateľ nepredloží žiadnu ŽoP do 6 mesiacov od </w:t>
      </w:r>
      <w:r w:rsidR="00417F80" w:rsidRPr="000D77A6">
        <w:rPr>
          <w:szCs w:val="22"/>
        </w:rPr>
        <w:t>nadobudnutia účinnosti Zmluvy o NFP a zároveň ešte neboli naplnené podmienky na</w:t>
      </w:r>
      <w:r w:rsidR="00417F80">
        <w:rPr>
          <w:szCs w:val="22"/>
        </w:rPr>
        <w:t> </w:t>
      </w:r>
      <w:r w:rsidR="00417F80" w:rsidRPr="000D77A6">
        <w:rPr>
          <w:szCs w:val="22"/>
        </w:rPr>
        <w:t xml:space="preserve">zaslanie monitorovacej správy </w:t>
      </w:r>
      <w:r w:rsidR="00417F80">
        <w:rPr>
          <w:szCs w:val="22"/>
        </w:rPr>
        <w:t>p</w:t>
      </w:r>
      <w:r w:rsidR="00417F80" w:rsidRPr="000D77A6">
        <w:rPr>
          <w:szCs w:val="22"/>
        </w:rPr>
        <w:t>rojektu s príznakom ,,výročná“</w:t>
      </w:r>
      <w:r w:rsidR="00417F80">
        <w:t>)</w:t>
      </w:r>
      <w:r>
        <w:rPr>
          <w:szCs w:val="22"/>
          <w:lang w:eastAsia="en-US"/>
        </w:rPr>
        <w:t>. Vzor</w:t>
      </w:r>
      <w:r w:rsidR="00417F80">
        <w:rPr>
          <w:szCs w:val="22"/>
          <w:lang w:eastAsia="en-US"/>
        </w:rPr>
        <w:t>y</w:t>
      </w:r>
      <w:r>
        <w:rPr>
          <w:rStyle w:val="Odkaznapoznmkupodiarou"/>
          <w:szCs w:val="22"/>
          <w:lang w:eastAsia="en-US"/>
        </w:rPr>
        <w:footnoteReference w:id="72"/>
      </w:r>
      <w:r>
        <w:rPr>
          <w:szCs w:val="22"/>
          <w:lang w:eastAsia="en-US"/>
        </w:rPr>
        <w:t xml:space="preserve"> vydáva CKO. Uvedeným sa zabezpečí, že pri posudzovaní oprávnenosti výdavkov a ich preplácaní budú poskytnuté relevantné informácie z hľadiska toho, čo bolo za relevantné výdavky dosiahnuté </w:t>
      </w:r>
      <w:r>
        <w:rPr>
          <w:szCs w:val="22"/>
          <w:lang w:eastAsia="en-US"/>
        </w:rPr>
        <w:lastRenderedPageBreak/>
        <w:t xml:space="preserve">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 spolufinancovaných z ESF, zber údajov potrebných pre vyhodnocovanie </w:t>
      </w:r>
      <w:r w:rsidRPr="009078F6">
        <w:rPr>
          <w:szCs w:val="22"/>
          <w:lang w:eastAsia="en-US"/>
        </w:rPr>
        <w:t>príspevku k napĺňaniu HP</w:t>
      </w:r>
      <w:r>
        <w:rPr>
          <w:szCs w:val="22"/>
          <w:lang w:eastAsia="en-US"/>
        </w:rPr>
        <w:t xml:space="preserve"> a ďalších informácií potrebných pre RO z hľadiska zamerania projektov. Rovnako je cieľom získať informácie o fyzickom pokroku realizácie projektu bez duplicitného poskytovania informácií vo vzťahu k údajom uvedeným v rámci prílohy k ŽoP. </w:t>
      </w:r>
    </w:p>
    <w:p w14:paraId="3F4EDC75" w14:textId="77777777" w:rsidR="00B650E5" w:rsidRDefault="00B650E5">
      <w:pPr>
        <w:numPr>
          <w:ilvl w:val="0"/>
          <w:numId w:val="286"/>
        </w:numPr>
        <w:spacing w:before="120" w:after="120"/>
        <w:ind w:left="851" w:hanging="425"/>
        <w:jc w:val="both"/>
        <w:rPr>
          <w:szCs w:val="22"/>
          <w:lang w:eastAsia="en-US"/>
        </w:rPr>
      </w:pPr>
      <w:r>
        <w:rPr>
          <w:b/>
          <w:szCs w:val="22"/>
          <w:u w:val="single"/>
          <w:lang w:eastAsia="en-US"/>
        </w:rPr>
        <w:t>Monitorovanie pri ukončení realizácie projektu</w:t>
      </w:r>
      <w:r>
        <w:rPr>
          <w:szCs w:val="22"/>
          <w:lang w:eastAsia="en-US"/>
        </w:rPr>
        <w:t>: pri ukončení realizácie aktivít projektu prijímateľ predkladá v súlade s podmienkami zmluvy o NFP záverečnú monitorovaciu správu, ktorej vzor</w:t>
      </w:r>
      <w:r>
        <w:rPr>
          <w:rStyle w:val="Odkaznapoznmkupodiarou"/>
          <w:szCs w:val="22"/>
          <w:lang w:eastAsia="en-US"/>
        </w:rPr>
        <w:footnoteReference w:id="73"/>
      </w:r>
      <w:r>
        <w:rPr>
          <w:szCs w:val="22"/>
          <w:lang w:eastAsia="en-US"/>
        </w:rPr>
        <w:t xml:space="preserve"> vydáva CKO. </w:t>
      </w:r>
    </w:p>
    <w:p w14:paraId="4F6C3AA3" w14:textId="77777777" w:rsidR="00B650E5" w:rsidRDefault="00B650E5">
      <w:pPr>
        <w:numPr>
          <w:ilvl w:val="0"/>
          <w:numId w:val="286"/>
        </w:numPr>
        <w:spacing w:before="120" w:after="120"/>
        <w:ind w:left="851" w:hanging="425"/>
        <w:jc w:val="both"/>
      </w:pPr>
      <w:r>
        <w:rPr>
          <w:b/>
          <w:szCs w:val="22"/>
          <w:u w:val="single"/>
          <w:lang w:eastAsia="en-US"/>
        </w:rPr>
        <w:t>Monitorovanie počas obdobia udržateľnosti projektu</w:t>
      </w:r>
      <w:r>
        <w:rPr>
          <w:szCs w:val="22"/>
          <w:lang w:eastAsia="en-US"/>
        </w:rPr>
        <w:t xml:space="preserve"> je zabezpečené predkladaním následných monitorovacích správ na ročnej báze. Vzor</w:t>
      </w:r>
      <w:r>
        <w:rPr>
          <w:rStyle w:val="Odkaznapoznmkupodiarou"/>
          <w:szCs w:val="22"/>
          <w:lang w:eastAsia="en-US"/>
        </w:rPr>
        <w:footnoteReference w:id="74"/>
      </w:r>
      <w:r>
        <w:rPr>
          <w:szCs w:val="22"/>
          <w:lang w:eastAsia="en-US"/>
        </w:rPr>
        <w:t xml:space="preserve"> následnej monitorovacej správy vydáva CKO.</w:t>
      </w:r>
    </w:p>
    <w:p w14:paraId="061259A8" w14:textId="77777777" w:rsidR="00B650E5" w:rsidRDefault="00B650E5">
      <w:pPr>
        <w:pStyle w:val="Odsekzoznamu"/>
        <w:numPr>
          <w:ilvl w:val="0"/>
          <w:numId w:val="285"/>
        </w:numPr>
        <w:spacing w:before="120" w:after="120"/>
        <w:ind w:left="426" w:hanging="426"/>
        <w:contextualSpacing w:val="0"/>
        <w:jc w:val="both"/>
      </w:pPr>
      <w:r>
        <w:t>Bližšie podrobnosti týkajúce sa postupov pri monitorovaní projektov upraví CKO v metodickom pokyne</w:t>
      </w:r>
      <w:r>
        <w:rPr>
          <w:rStyle w:val="Odkaznapoznmkupodiarou"/>
        </w:rPr>
        <w:footnoteReference w:id="75"/>
      </w:r>
      <w:r>
        <w:t>.</w:t>
      </w:r>
    </w:p>
    <w:p w14:paraId="09063EBA" w14:textId="77777777" w:rsidR="00B650E5" w:rsidRDefault="00B650E5" w:rsidP="0045286B">
      <w:pPr>
        <w:pStyle w:val="SRK4"/>
      </w:pPr>
      <w:bookmarkStart w:id="281" w:name="_Toc453234016"/>
      <w:bookmarkStart w:id="282" w:name="_Toc501630069"/>
      <w:r>
        <w:t>3.3.4.2 Udržateľnosť projektov</w:t>
      </w:r>
      <w:bookmarkEnd w:id="281"/>
      <w:bookmarkEnd w:id="282"/>
    </w:p>
    <w:p w14:paraId="4FA11DFE" w14:textId="77777777" w:rsidR="00B650E5" w:rsidRDefault="00B650E5">
      <w:pPr>
        <w:pStyle w:val="Odsekzoznamu"/>
        <w:numPr>
          <w:ilvl w:val="0"/>
          <w:numId w:val="287"/>
        </w:numPr>
        <w:spacing w:before="120" w:after="120"/>
        <w:ind w:left="426" w:hanging="426"/>
        <w:contextualSpacing w:val="0"/>
        <w:jc w:val="both"/>
      </w:pPr>
      <w:bookmarkStart w:id="283" w:name="_Toc378947508"/>
      <w:r>
        <w:t xml:space="preserve">V nadväznosti na povinnosť týkajúcu sa dĺžky trvania operácií je RO povinný sledovať minimálne počas doby 5 rokov od záverečnej platby poskytnutej prijímateľovi , </w:t>
      </w:r>
      <w:r w:rsidR="00C93F30">
        <w:t xml:space="preserve">t. j. </w:t>
      </w:r>
      <w:r>
        <w:t>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14:paraId="73086A7E" w14:textId="77777777" w:rsidR="00B650E5" w:rsidRDefault="00B650E5">
      <w:pPr>
        <w:pStyle w:val="Odsekzoznamu"/>
        <w:numPr>
          <w:ilvl w:val="0"/>
          <w:numId w:val="288"/>
        </w:numPr>
        <w:spacing w:before="120" w:after="120"/>
        <w:ind w:left="851" w:hanging="425"/>
        <w:contextualSpacing w:val="0"/>
        <w:jc w:val="both"/>
      </w:pPr>
      <w:r>
        <w:t>prevodu alebo prechodu majetku nadobudnutého z NFP,</w:t>
      </w:r>
    </w:p>
    <w:p w14:paraId="24EA6015" w14:textId="77777777" w:rsidR="00B650E5" w:rsidRDefault="00B650E5">
      <w:pPr>
        <w:pStyle w:val="Odsekzoznamu"/>
        <w:numPr>
          <w:ilvl w:val="0"/>
          <w:numId w:val="288"/>
        </w:numPr>
        <w:spacing w:before="120" w:after="120"/>
        <w:ind w:left="851" w:hanging="425"/>
        <w:contextualSpacing w:val="0"/>
        <w:jc w:val="both"/>
      </w:pPr>
      <w:r>
        <w:t>zachovania účelu poskytovanej pomoci,</w:t>
      </w:r>
    </w:p>
    <w:p w14:paraId="4E74C64B" w14:textId="77777777" w:rsidR="00B650E5" w:rsidRDefault="00B650E5">
      <w:pPr>
        <w:pStyle w:val="Odsekzoznamu"/>
        <w:numPr>
          <w:ilvl w:val="0"/>
          <w:numId w:val="288"/>
        </w:numPr>
        <w:spacing w:before="120" w:after="120"/>
        <w:ind w:left="851" w:hanging="425"/>
        <w:contextualSpacing w:val="0"/>
        <w:jc w:val="both"/>
      </w:pPr>
      <w:r>
        <w:t>postupov pre overenie dodržania podmienok udržateľnosti projektov.</w:t>
      </w:r>
    </w:p>
    <w:p w14:paraId="70E7FBB7" w14:textId="0951EFDF" w:rsidR="00B650E5" w:rsidRDefault="00B650E5">
      <w:pPr>
        <w:pStyle w:val="Odsekzoznamu"/>
        <w:numPr>
          <w:ilvl w:val="0"/>
          <w:numId w:val="287"/>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CKO</w:t>
      </w:r>
      <w:r w:rsidR="00CC2DA4">
        <w:rPr>
          <w:rStyle w:val="Odkaznapoznmkupodiarou"/>
        </w:rPr>
        <w:footnoteReference w:id="76"/>
      </w:r>
      <w:r>
        <w:t>.</w:t>
      </w:r>
    </w:p>
    <w:p w14:paraId="0EB09ED5" w14:textId="74556BFC" w:rsidR="00B650E5" w:rsidRDefault="00B650E5">
      <w:pPr>
        <w:pStyle w:val="Odsekzoznamu"/>
        <w:numPr>
          <w:ilvl w:val="0"/>
          <w:numId w:val="287"/>
        </w:numPr>
        <w:spacing w:before="120" w:after="120"/>
        <w:ind w:left="426" w:hanging="426"/>
        <w:contextualSpacing w:val="0"/>
        <w:jc w:val="both"/>
      </w:pPr>
      <w:r>
        <w:t xml:space="preserve">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w:t>
      </w:r>
      <w:r w:rsidR="00412FD4">
        <w:t xml:space="preserve">sú upravené v </w:t>
      </w:r>
      <w:r>
        <w:t>metodick</w:t>
      </w:r>
      <w:r w:rsidR="00412FD4">
        <w:t>om</w:t>
      </w:r>
      <w:r>
        <w:t xml:space="preserve"> pokyn</w:t>
      </w:r>
      <w:r w:rsidR="00412FD4">
        <w:t>e</w:t>
      </w:r>
      <w:r w:rsidR="006E488A">
        <w:rPr>
          <w:rStyle w:val="Odkaznapoznmkupodiarou"/>
        </w:rPr>
        <w:footnoteReference w:id="77"/>
      </w:r>
      <w:r>
        <w:t>.</w:t>
      </w:r>
    </w:p>
    <w:p w14:paraId="28CA14E4" w14:textId="77777777" w:rsidR="00B650E5" w:rsidRDefault="00B650E5">
      <w:pPr>
        <w:pStyle w:val="SRK3"/>
      </w:pPr>
      <w:bookmarkStart w:id="284" w:name="_Toc453234017"/>
      <w:bookmarkStart w:id="285" w:name="_Toc501630070"/>
      <w:r>
        <w:t>3.3.5 Zmenové konanie</w:t>
      </w:r>
      <w:bookmarkEnd w:id="283"/>
      <w:bookmarkEnd w:id="284"/>
      <w:bookmarkEnd w:id="285"/>
      <w:r>
        <w:t xml:space="preserve"> </w:t>
      </w:r>
    </w:p>
    <w:p w14:paraId="6B903B8D" w14:textId="77777777" w:rsidR="00B650E5" w:rsidRDefault="00B650E5">
      <w:pPr>
        <w:pStyle w:val="Odsekzoznamu"/>
        <w:numPr>
          <w:ilvl w:val="0"/>
          <w:numId w:val="289"/>
        </w:numPr>
        <w:spacing w:before="120" w:after="120"/>
        <w:ind w:left="426" w:hanging="426"/>
        <w:contextualSpacing w:val="0"/>
        <w:jc w:val="both"/>
      </w:pPr>
      <w:r>
        <w:t xml:space="preserve">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w:t>
      </w:r>
      <w:r>
        <w:lastRenderedPageBreak/>
        <w:t>realizácie projektu. Základné zásady, ktoré RO zohľadňuje pri nastavovaní zmenového konania sú najmä:</w:t>
      </w:r>
    </w:p>
    <w:p w14:paraId="1749906E" w14:textId="77777777" w:rsidR="00B650E5" w:rsidRDefault="00B650E5">
      <w:pPr>
        <w:numPr>
          <w:ilvl w:val="0"/>
          <w:numId w:val="290"/>
        </w:numPr>
        <w:spacing w:before="120" w:after="120"/>
        <w:ind w:left="851" w:hanging="425"/>
        <w:jc w:val="both"/>
        <w:rPr>
          <w:szCs w:val="22"/>
          <w:lang w:eastAsia="en-US"/>
        </w:rPr>
      </w:pPr>
      <w:r>
        <w:rPr>
          <w:szCs w:val="22"/>
          <w:lang w:eastAsia="en-US"/>
        </w:rPr>
        <w:t>efektívnosť a flexibilita pri reakciách na potreby realizovaných projektov,</w:t>
      </w:r>
    </w:p>
    <w:p w14:paraId="7C367757" w14:textId="77777777" w:rsidR="00B650E5" w:rsidRDefault="00B650E5">
      <w:pPr>
        <w:numPr>
          <w:ilvl w:val="0"/>
          <w:numId w:val="290"/>
        </w:numPr>
        <w:spacing w:before="120" w:after="120"/>
        <w:ind w:left="851" w:hanging="425"/>
        <w:jc w:val="both"/>
        <w:rPr>
          <w:szCs w:val="22"/>
          <w:lang w:eastAsia="en-US"/>
        </w:rPr>
      </w:pPr>
      <w:r>
        <w:rPr>
          <w:szCs w:val="22"/>
          <w:lang w:eastAsia="en-US"/>
        </w:rPr>
        <w:t>zabezpečenie dodržania zásady rovnakého prístupu, nediskriminácie a transparentnosti pri</w:t>
      </w:r>
      <w:r w:rsidR="00AF2804">
        <w:rPr>
          <w:szCs w:val="22"/>
          <w:lang w:eastAsia="en-US"/>
        </w:rPr>
        <w:t> </w:t>
      </w:r>
      <w:r>
        <w:rPr>
          <w:szCs w:val="22"/>
          <w:lang w:eastAsia="en-US"/>
        </w:rPr>
        <w:t>posudzovaní zmien,</w:t>
      </w:r>
    </w:p>
    <w:p w14:paraId="508D4B53" w14:textId="77777777" w:rsidR="00B650E5" w:rsidRDefault="00B650E5">
      <w:pPr>
        <w:numPr>
          <w:ilvl w:val="0"/>
          <w:numId w:val="290"/>
        </w:numPr>
        <w:spacing w:before="120" w:after="120"/>
        <w:ind w:left="851" w:hanging="425"/>
        <w:jc w:val="both"/>
        <w:rPr>
          <w:szCs w:val="22"/>
          <w:lang w:eastAsia="en-US"/>
        </w:rPr>
      </w:pPr>
      <w:r>
        <w:rPr>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14:paraId="578F9FC5" w14:textId="77777777" w:rsidR="00B650E5" w:rsidRDefault="00B650E5" w:rsidP="00DE5D89">
      <w:pPr>
        <w:pStyle w:val="Odsekzoznamu"/>
        <w:numPr>
          <w:ilvl w:val="0"/>
          <w:numId w:val="289"/>
        </w:numPr>
        <w:spacing w:before="120" w:after="120"/>
        <w:ind w:left="425" w:hanging="425"/>
        <w:contextualSpacing w:val="0"/>
        <w:jc w:val="both"/>
      </w:pPr>
      <w:r>
        <w:t>Každá zmena v projekte v porovnaní s prvotným plánom predstavuje zvýšené finančné riziko pre</w:t>
      </w:r>
      <w:r w:rsidR="00AF2804">
        <w:t> </w:t>
      </w:r>
      <w:r>
        <w:t xml:space="preserve">RO spojené s tým, že projekt nebude zrealizovaný riadne a včas. Charakter a rozsah poskytovanej podpory však automaticky predpokladá, že potreba vykonania zmien v projekte je bežnou súčasťou realizácie väčšiny takýchto projektov. Z hľadiska zmien v projektoch je základné </w:t>
      </w:r>
      <w:r w:rsidRPr="009078F6">
        <w:t>delenie zmien upravené</w:t>
      </w:r>
      <w:r>
        <w:t xml:space="preserve"> v Zmluve o NFP.</w:t>
      </w:r>
    </w:p>
    <w:p w14:paraId="3BF122A1" w14:textId="68A05BD0" w:rsidR="00B650E5" w:rsidRDefault="00B650E5" w:rsidP="00DE5D89">
      <w:pPr>
        <w:pStyle w:val="Odsekzoznamu"/>
        <w:numPr>
          <w:ilvl w:val="0"/>
          <w:numId w:val="289"/>
        </w:numPr>
        <w:spacing w:before="120" w:after="120"/>
        <w:ind w:left="425" w:hanging="425"/>
        <w:contextualSpacing w:val="0"/>
        <w:jc w:val="both"/>
      </w:pPr>
      <w:bookmarkStart w:id="286" w:name="_Toc378947509"/>
      <w:r>
        <w:rPr>
          <w:szCs w:val="22"/>
          <w:lang w:eastAsia="en-US"/>
        </w:rPr>
        <w:t>S ohľadom na charakter zmien RO zadefinuje pravidlá pre proces posúdenia a schvaľovanie zmien v projektoch rešpektujúc základné spoločné rámce stanovené Systémom riadenia EŠIF a metodickým pokynom</w:t>
      </w:r>
      <w:r w:rsidR="00412FD4">
        <w:rPr>
          <w:rStyle w:val="Odkaznapoznmkupodiarou"/>
          <w:szCs w:val="22"/>
          <w:lang w:eastAsia="en-US"/>
        </w:rPr>
        <w:footnoteReference w:id="78"/>
      </w:r>
      <w:r>
        <w:rPr>
          <w:szCs w:val="22"/>
          <w:lang w:eastAsia="en-US"/>
        </w:rPr>
        <w:t xml:space="preserve"> vydaným CKO.</w:t>
      </w:r>
    </w:p>
    <w:p w14:paraId="2CCA6111" w14:textId="77777777" w:rsidR="00B650E5" w:rsidRDefault="00B650E5" w:rsidP="00DE5D89">
      <w:pPr>
        <w:pStyle w:val="Odsekzoznamu"/>
        <w:spacing w:before="120" w:after="120"/>
        <w:ind w:left="426"/>
        <w:jc w:val="both"/>
      </w:pPr>
      <w:r w:rsidRPr="009078F6">
        <w:rPr>
          <w:szCs w:val="22"/>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p>
    <w:p w14:paraId="6AFA9633" w14:textId="77777777" w:rsidR="00B650E5" w:rsidRDefault="00B650E5">
      <w:pPr>
        <w:pStyle w:val="SRK3"/>
      </w:pPr>
      <w:bookmarkStart w:id="287" w:name="_Toc453234018"/>
      <w:bookmarkStart w:id="288" w:name="_Toc501630071"/>
      <w:bookmarkStart w:id="289" w:name="kapitola_336"/>
      <w:r>
        <w:t>3.3.6 Kontrola projektu</w:t>
      </w:r>
      <w:bookmarkEnd w:id="286"/>
      <w:bookmarkEnd w:id="287"/>
      <w:bookmarkEnd w:id="288"/>
    </w:p>
    <w:bookmarkEnd w:id="289"/>
    <w:p w14:paraId="2A61183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69EBC3C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74 ods. 1 a ods. 2, čl. 125 ods. 4 až ods. 7 a čl. 132 všeobecného nariadenia </w:t>
      </w:r>
    </w:p>
    <w:p w14:paraId="14C2D7E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11E08EC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zákon o finančnej kontrole </w:t>
      </w:r>
    </w:p>
    <w:p w14:paraId="6ED16EE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19 a nasl. zákona o príspevku EŠIF</w:t>
      </w:r>
    </w:p>
    <w:p w14:paraId="7398B097" w14:textId="77777777" w:rsidR="00B650E5" w:rsidRDefault="00B650E5" w:rsidP="0045286B">
      <w:pPr>
        <w:pStyle w:val="SRK4"/>
      </w:pPr>
      <w:bookmarkStart w:id="290" w:name="_Toc453234019"/>
      <w:bookmarkStart w:id="291" w:name="_Toc501630072"/>
      <w:r>
        <w:t>3.3.6.1 Všeobecné ustanovenia o kontrole projektu</w:t>
      </w:r>
      <w:bookmarkEnd w:id="290"/>
      <w:bookmarkEnd w:id="291"/>
      <w:r>
        <w:t xml:space="preserve"> </w:t>
      </w:r>
    </w:p>
    <w:p w14:paraId="43BB89DD" w14:textId="77777777" w:rsidR="00B650E5" w:rsidRDefault="00B650E5">
      <w:pPr>
        <w:pStyle w:val="Odsekzoznamu"/>
        <w:numPr>
          <w:ilvl w:val="0"/>
          <w:numId w:val="27"/>
        </w:numPr>
        <w:spacing w:before="120" w:after="120"/>
        <w:ind w:left="426" w:hanging="426"/>
        <w:contextualSpacing w:val="0"/>
        <w:jc w:val="both"/>
      </w:pPr>
      <w:r>
        <w:t xml:space="preserve">Povinnosť vykonávania kontroly projektu vychádza najmä z článku 125, ods. 4 až  7 a článku 74 ods. 1 a 2 všeobecného nariadenia. Legislatívnym rámcom pre výkon kontroly projektu na národnej úrovni je zákon o finančnej kontrole. RO je povinný riadiť sa pri výkone kontroly aj Systémom riadenia EŠIF a metodickými usmerneniami CKO.  </w:t>
      </w:r>
    </w:p>
    <w:p w14:paraId="0CA4CA9D" w14:textId="77777777" w:rsidR="00B650E5" w:rsidRDefault="00B650E5">
      <w:pPr>
        <w:pStyle w:val="Odsekzoznamu"/>
        <w:numPr>
          <w:ilvl w:val="0"/>
          <w:numId w:val="27"/>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14:paraId="28FDAF05" w14:textId="77777777" w:rsidR="00B650E5" w:rsidRDefault="00B650E5">
      <w:pPr>
        <w:pStyle w:val="Odsekzoznamu"/>
        <w:numPr>
          <w:ilvl w:val="0"/>
          <w:numId w:val="27"/>
        </w:numPr>
        <w:spacing w:before="120" w:after="120"/>
        <w:ind w:left="426" w:hanging="426"/>
        <w:contextualSpacing w:val="0"/>
        <w:jc w:val="both"/>
      </w:pPr>
      <w:r>
        <w:t xml:space="preserve">Kontrolou projektu sa rozumie súhrn činností RO a ním prizvaných osôb,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14:paraId="27301F52" w14:textId="77777777" w:rsidR="00B650E5" w:rsidRDefault="00B650E5" w:rsidP="00B771DE">
      <w:pPr>
        <w:pStyle w:val="Odsekzoznamu"/>
        <w:numPr>
          <w:ilvl w:val="0"/>
          <w:numId w:val="27"/>
        </w:numPr>
        <w:spacing w:before="120" w:after="120"/>
        <w:ind w:left="426" w:hanging="426"/>
        <w:contextualSpacing w:val="0"/>
        <w:jc w:val="both"/>
      </w:pPr>
      <w:r>
        <w:lastRenderedPageBreak/>
        <w:t>Povinnou osobou</w:t>
      </w:r>
      <w:r w:rsidR="00825EC8">
        <w:rPr>
          <w:rStyle w:val="Odkaznapoznmkupodiarou"/>
        </w:rPr>
        <w:footnoteReference w:id="79"/>
      </w:r>
      <w:r>
        <w:t xml:space="preserve"> (</w:t>
      </w:r>
      <w:r w:rsidR="00825EC8">
        <w:t>ďalej len „</w:t>
      </w:r>
      <w:r>
        <w:t>k</w:t>
      </w:r>
      <w:r w:rsidRPr="00064717">
        <w:t xml:space="preserve">ontrolovanou </w:t>
      </w:r>
      <w:r w:rsidRPr="00A14FAA">
        <w:t>osobou</w:t>
      </w:r>
      <w:r w:rsidR="00825EC8">
        <w:t>“</w:t>
      </w:r>
      <w:r>
        <w:t>)</w:t>
      </w:r>
      <w:r w:rsidRPr="00A14FAA">
        <w:t xml:space="preserve">  je osoba</w:t>
      </w:r>
      <w:r w:rsidR="00D726B2">
        <w:t>,</w:t>
      </w:r>
      <w:r w:rsidRPr="00A14FAA">
        <w:t xml:space="preserve"> u ktorej </w:t>
      </w:r>
      <w:r w:rsidRPr="003D4388">
        <w:t xml:space="preserve">sa vykonáva </w:t>
      </w:r>
      <w:r w:rsidRPr="003120E4">
        <w:t xml:space="preserve">kontrola </w:t>
      </w:r>
      <w:r w:rsidRPr="00064717">
        <w:t>over</w:t>
      </w:r>
      <w:r w:rsidRPr="003120E4">
        <w:t>ovaných</w:t>
      </w:r>
      <w:r w:rsidRPr="00A14FAA">
        <w:t xml:space="preserve"> skutočností podľa zákona o</w:t>
      </w:r>
      <w:r w:rsidRPr="00064717">
        <w:t xml:space="preserve"> príspevku EŠIF a finančná kontrola </w:t>
      </w:r>
      <w:r>
        <w:t xml:space="preserve">alebo audit </w:t>
      </w:r>
      <w:r w:rsidRPr="00064717">
        <w:t xml:space="preserve">podľa zákona o finančnej kontrole. Vo vzťahu k aplikácii </w:t>
      </w:r>
      <w:r w:rsidRPr="003120E4">
        <w:t>uvedených zákonov </w:t>
      </w:r>
      <w:r w:rsidRPr="00A14FAA">
        <w:t xml:space="preserve"> sa</w:t>
      </w:r>
      <w:r>
        <w:t xml:space="preserve"> vždy (s výnimkou výkonu vládneho auditu) vykonáva kontrola prijímateľa, alebo osoby</w:t>
      </w:r>
      <w:r w:rsidRPr="007E4476">
        <w:t xml:space="preserve">, </w:t>
      </w:r>
      <w:r w:rsidRPr="003425F6">
        <w:t>ktorá požiada o vykonanie</w:t>
      </w:r>
      <w:r w:rsidRPr="007E4476">
        <w:t xml:space="preserve">  kontroly (budúci</w:t>
      </w:r>
      <w:r>
        <w:t xml:space="preserve"> žiadateľ v zmysle § 26 - § 28 zákona o príspevku z EŠIF). Kontrola ostatných osôb podieľajúcich sa na implementácii projektu sa vykonáva vždy cez kontrolu prijímateľa, t. j. napr. kontrola partnera, užívateľa alebo inej právnickej a/alebo fyzickej osoby, ktorá má k prijímateľovi alebo partnerovi vzťah dodávateľa výkonov, tovaru, poskytnutia služby alebo vykonania prác, alebo akejkoľvek inej právnickej alebo fyzickej osoby, ktorá má informácie, doklady alebo iné podklady, ktoré sú potrebné na výkon kontroly projektu (ďalej len „tretia osoba“). Na výkon vládneho auditu sa tento odsek nevzťahuje.</w:t>
      </w:r>
    </w:p>
    <w:p w14:paraId="7C2E51B8" w14:textId="77777777" w:rsidR="00B650E5" w:rsidRDefault="00B650E5" w:rsidP="009D6DF9">
      <w:pPr>
        <w:pStyle w:val="Odsekzoznamu"/>
        <w:numPr>
          <w:ilvl w:val="0"/>
          <w:numId w:val="27"/>
        </w:numPr>
        <w:spacing w:before="120" w:after="120"/>
        <w:ind w:left="425" w:hanging="425"/>
        <w:contextualSpacing w:val="0"/>
        <w:jc w:val="both"/>
      </w:pPr>
      <w:r>
        <w:t xml:space="preserve">Kontrola projektu môže byť vykonávaná formou administratívnej finančnej kontroly a finančnej kontroly na mieste, pričom sa súbežne vykonáva aj základná finančná kontrola pripravovanej/prebiehajúcej finančnej operácie, resp. vymáhania už poskytnutého plnenia, ak sa finančná operácia alebo jej časť už vykonala. Právnym titulom na výkon kontroly projektu je účinná zmluva o NFP a legislatíva EÚ a SR, najmä zákon o finančnej kontrole. </w:t>
      </w:r>
    </w:p>
    <w:p w14:paraId="1802043F" w14:textId="77777777" w:rsidR="00B650E5" w:rsidRDefault="00B650E5" w:rsidP="009D6DF9">
      <w:pPr>
        <w:pStyle w:val="Odsekzoznamu"/>
        <w:numPr>
          <w:ilvl w:val="0"/>
          <w:numId w:val="27"/>
        </w:numPr>
        <w:spacing w:before="120" w:after="120"/>
        <w:ind w:left="426" w:hanging="426"/>
        <w:contextualSpacing w:val="0"/>
        <w:jc w:val="both"/>
      </w:pPr>
      <w:r>
        <w:t>Zákon o finančnej kontrole pozná v súvislosti s finančnou kontrolou tri základné formy kontroly</w:t>
      </w:r>
      <w:r w:rsidR="007324D5">
        <w:t>,</w:t>
      </w:r>
      <w:r>
        <w:t xml:space="preserve"> a to základnú finančnú kontrolu, administratívnu finančnú kontrolu a finančnú  kontrolu na </w:t>
      </w:r>
      <w:r w:rsidRPr="007E4476">
        <w:t xml:space="preserve">mieste </w:t>
      </w:r>
      <w:r w:rsidRPr="002576AF">
        <w:t>(ďalej aj „finančná kontrola“)</w:t>
      </w:r>
      <w:r w:rsidRPr="007E4476">
        <w:t>.</w:t>
      </w:r>
      <w:r>
        <w:t xml:space="preserve"> </w:t>
      </w:r>
    </w:p>
    <w:p w14:paraId="206996DE" w14:textId="77777777" w:rsidR="00B650E5" w:rsidRDefault="00B650E5" w:rsidP="009D6DF9">
      <w:pPr>
        <w:pStyle w:val="Odsekzoznamu"/>
        <w:numPr>
          <w:ilvl w:val="1"/>
          <w:numId w:val="27"/>
        </w:numPr>
        <w:spacing w:before="120" w:after="120"/>
        <w:ind w:left="851" w:hanging="425"/>
        <w:contextualSpacing w:val="0"/>
        <w:jc w:val="both"/>
      </w:pPr>
      <w:r w:rsidRPr="0037016C">
        <w:rPr>
          <w:i/>
        </w:rPr>
        <w:t>Základná finančná kontrola</w:t>
      </w:r>
      <w:r>
        <w:t xml:space="preserve"> – ide o výkon kontroly  v rámci orgánu verejnej správy v zmysle § 7 zákona o finančnej kontrole. Touto kontrolu je RO povinný vždy overiť, či každá finančná operácia alebo jej časť je v súlade so skutočnosťami uvedenými v § 6 ods. 4 zákona o finančnej kontrole (napr. s výzvou, so zmluvou o NFP, s vydanými rozhodnutiami). Základnú finančnú kontrolu potvrdzujú oprávnení zamestnanci uvedení v § 7  ods. 2 zákona o finančnej kontrole na doklade súvisiacom s finančnou operáciou alebo jej časťou uvedením mena a priezviska, podpisom, uvedením dátumu jej vykonania a vyjadrením či je možné finančnú operáciu vykonať, v nej pokračovať alebo je potrebné vymáhať poskytnuté plnenie. Vykonanie základnej finančnej kontroly sa spravidla zachytáva v kontrolných zoznamoch, ku ktorým CKO vydáva vzory. Uvedené skutočnosti sa však overujú aj </w:t>
      </w:r>
      <w:r w:rsidR="00D726B2">
        <w:t>v</w:t>
      </w:r>
      <w:r w:rsidR="00003538">
        <w:t xml:space="preserve"> </w:t>
      </w:r>
      <w:r>
        <w:t>prípadoch, kde sa bežne kontrolné zoznamy nevyhotovujú napr. pred vydaním konkrétneho rozhodnutia, zmluvy o  NFP a pod. V týchto prípadoch sa základná finančná kontrola vykonáva v súlade s</w:t>
      </w:r>
      <w:r w:rsidR="00E367B6">
        <w:t> </w:t>
      </w:r>
      <w:r>
        <w:t xml:space="preserve">vnútornými predpismi RO.  </w:t>
      </w:r>
    </w:p>
    <w:p w14:paraId="0DCD7C0C" w14:textId="77777777" w:rsidR="00B650E5" w:rsidRDefault="00B650E5" w:rsidP="009D6DF9">
      <w:pPr>
        <w:pStyle w:val="Odsekzoznamu"/>
        <w:numPr>
          <w:ilvl w:val="1"/>
          <w:numId w:val="27"/>
        </w:numPr>
        <w:spacing w:before="120" w:after="120"/>
        <w:ind w:left="851" w:hanging="425"/>
        <w:contextualSpacing w:val="0"/>
        <w:jc w:val="both"/>
      </w:pPr>
      <w:r w:rsidRPr="002576AF">
        <w:rPr>
          <w:i/>
        </w:rPr>
        <w:t xml:space="preserve">Administratívna finančná kontrola  </w:t>
      </w:r>
      <w:r>
        <w:t xml:space="preserve">– legislatívnym rámcom na výkon tejto kontroly je § 8 zákona o finančnej </w:t>
      </w:r>
      <w:r w:rsidRPr="005700C0">
        <w:t xml:space="preserve">kontrole. </w:t>
      </w:r>
      <w:r w:rsidRPr="002576AF">
        <w:t>Na úrovni projektu je výkon tejto kontroly povinný najmä pri kontrole VO a kontrole ŽoP</w:t>
      </w:r>
      <w:r w:rsidR="007324D5">
        <w:t>,</w:t>
      </w:r>
      <w:r w:rsidRPr="002576AF">
        <w:t xml:space="preserve"> a to vo vzťahu ku všetkým prijatým ŽoP prijímateľa bez výnimky.</w:t>
      </w:r>
      <w:r w:rsidRPr="005700C0">
        <w:t xml:space="preserve"> Bližšie</w:t>
      </w:r>
      <w:r>
        <w:t xml:space="preserve"> ustanovenia o výkone kontroly ŽoP formou administratívnej finančnej kontroly sú uvedené v </w:t>
      </w:r>
      <w:hyperlink w:anchor="kapitola_33622" w:tooltip="kapitole 3.3.6.2.2" w:history="1">
        <w:r>
          <w:rPr>
            <w:rStyle w:val="Hypertextovprepojenie"/>
          </w:rPr>
          <w:t>kapitole 3.3.6.2.2</w:t>
        </w:r>
      </w:hyperlink>
      <w:r>
        <w:t xml:space="preserve">. </w:t>
      </w:r>
    </w:p>
    <w:p w14:paraId="1F1C9115" w14:textId="77777777" w:rsidR="00B650E5" w:rsidRDefault="00B650E5" w:rsidP="009D6DF9">
      <w:pPr>
        <w:pStyle w:val="Odsekzoznamu"/>
        <w:numPr>
          <w:ilvl w:val="1"/>
          <w:numId w:val="27"/>
        </w:numPr>
        <w:spacing w:before="120" w:after="120"/>
        <w:ind w:left="851" w:hanging="425"/>
        <w:contextualSpacing w:val="0"/>
        <w:jc w:val="both"/>
      </w:pPr>
      <w:r>
        <w:rPr>
          <w:i/>
        </w:rPr>
        <w:t>Finančná kontrola na mieste</w:t>
      </w:r>
      <w:r>
        <w:t xml:space="preserve"> – legislatívnym rámcom na výkon tejto kontroly je § 9 zákona o finančnej kontrole. Bližšie ustanovenia o výkone tejto formy kontroly sú uvedené v </w:t>
      </w:r>
      <w:hyperlink w:anchor="kapitola_33614" w:tooltip="kapitole 3.3.6.1.4" w:history="1">
        <w:r>
          <w:rPr>
            <w:rStyle w:val="Hypertextovprepojenie"/>
          </w:rPr>
          <w:t>kapitole 3.3.6.1.4</w:t>
        </w:r>
      </w:hyperlink>
      <w:r>
        <w:t xml:space="preserve">.  </w:t>
      </w:r>
    </w:p>
    <w:p w14:paraId="25F6995D" w14:textId="77777777" w:rsidR="00B650E5" w:rsidRDefault="00B650E5" w:rsidP="00E3686E">
      <w:pPr>
        <w:pStyle w:val="Odsekzoznamu"/>
        <w:numPr>
          <w:ilvl w:val="0"/>
          <w:numId w:val="27"/>
        </w:numPr>
        <w:spacing w:before="120" w:after="120"/>
        <w:ind w:left="426" w:hanging="426"/>
        <w:contextualSpacing w:val="0"/>
        <w:jc w:val="both"/>
      </w:pPr>
      <w:r>
        <w:t xml:space="preserve">Cieľom kontroly projektu je najmä zabezpečenie hospodárneho, efektívneho, účinného a účelného poskytnutia NFP pri dodržiavaní legislatívy EÚ a SR a podmienok poskytnutia NFP stanovených zmluvou o NFP, predchádzanie podvodom a nezrovnalostiam, ich odhaľovanie, náprava a s nimi súvisiace nápravné opatrenia, primerané riadenie rizík súvisiacich so zákonnosťou, oprávnenosťou  a správnosťou finančných operácií, spoľahlivosť výkazníctva, </w:t>
      </w:r>
      <w:r>
        <w:lastRenderedPageBreak/>
        <w:t xml:space="preserve">ochrana majetku a informácií. RO v rámci kontroly overí taktiež súlad ŽoP prijímateľa a podpornej dokumentácie s legislatívou EÚ a SR najmä s ohľadom na zásadu riadneho finančného hospodárenia,  správnosti nárokovaných výdavkov a ostatných povinností vyplývajúcich prijímateľovi zo zmluvy o NFP a z legislatívy EÚ a SR. </w:t>
      </w:r>
    </w:p>
    <w:p w14:paraId="00664A3F" w14:textId="77777777" w:rsidR="00B650E5" w:rsidRDefault="00B650E5">
      <w:pPr>
        <w:pStyle w:val="Odsekzoznamu"/>
        <w:numPr>
          <w:ilvl w:val="0"/>
          <w:numId w:val="27"/>
        </w:numPr>
        <w:spacing w:before="120" w:after="120"/>
        <w:ind w:left="426" w:hanging="426"/>
        <w:contextualSpacing w:val="0"/>
        <w:jc w:val="both"/>
      </w:pPr>
      <w:r>
        <w:t>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 ŽoP, k legislatíve EÚ a SR, k zmluve o</w:t>
      </w:r>
      <w:r w:rsidR="006F3B93">
        <w:t> </w:t>
      </w:r>
      <w:r>
        <w:t>NFP</w:t>
      </w:r>
      <w:r w:rsidR="006F3B93">
        <w:t>,</w:t>
      </w:r>
      <w:r>
        <w:t xml:space="preserve"> ako aj overenie ďalších skutočností súvisiacich s implementáciou projektu a plnením podmienok vyplývajúcich zo zmluvy o NFP (napr. účtovníctvo prijímateľa, archivácia </w:t>
      </w:r>
      <w:r w:rsidRPr="009078F6">
        <w:t>dokumentácie, súlad s HP), v</w:t>
      </w:r>
      <w:r>
        <w:t xml:space="preserve"> závislosti  od  predmetu  kontroly. </w:t>
      </w:r>
    </w:p>
    <w:p w14:paraId="6F3B14F9" w14:textId="77777777" w:rsidR="00B650E5" w:rsidRDefault="00B650E5">
      <w:pPr>
        <w:pStyle w:val="Odsekzoznamu"/>
        <w:numPr>
          <w:ilvl w:val="0"/>
          <w:numId w:val="27"/>
        </w:numPr>
        <w:spacing w:before="120" w:after="120"/>
        <w:ind w:left="426" w:hanging="426"/>
        <w:contextualSpacing w:val="0"/>
        <w:jc w:val="both"/>
      </w:pPr>
      <w:r>
        <w:t xml:space="preserve">Základnou požiadavkou na proces kontroly projektu je vytvárať také účinné kontrolné mechanizmy, ktoré by pri porovnávaní plánovaného a reálneho stavu zabezpečili identifikáciu a nápravu možného nepriaznivého stavu pri plnení zmluvy o NFP. RO prostredníctvom zmluvy o NFP zabezpečí informovanie prijímateľa o jeho povinnostiach týkajúcich sa kontroly projektu, vyplývajúcich z legislatívy EÚ a SR. </w:t>
      </w:r>
    </w:p>
    <w:p w14:paraId="48A0763D" w14:textId="77777777" w:rsidR="00B650E5" w:rsidRDefault="00B650E5">
      <w:pPr>
        <w:pStyle w:val="Odsekzoznamu"/>
        <w:numPr>
          <w:ilvl w:val="0"/>
          <w:numId w:val="27"/>
        </w:numPr>
        <w:spacing w:before="120" w:after="120"/>
        <w:ind w:left="426" w:hanging="426"/>
        <w:contextualSpacing w:val="0"/>
        <w:jc w:val="both"/>
      </w:pPr>
      <w:bookmarkStart w:id="292" w:name="kapitola_3361_ods_10"/>
      <w:r>
        <w:t>V nadväznosti na aplikáciu článku 125 všeobecného nariadenia by sa mal RO pri kontrole projektu zamerať najmä na kontrolu týchto skutočností:</w:t>
      </w:r>
    </w:p>
    <w:bookmarkEnd w:id="292"/>
    <w:p w14:paraId="4EE4EC09" w14:textId="77777777" w:rsidR="00B650E5" w:rsidRDefault="00B650E5">
      <w:pPr>
        <w:pStyle w:val="Odsekzoznamu"/>
        <w:numPr>
          <w:ilvl w:val="2"/>
          <w:numId w:val="4"/>
        </w:numPr>
        <w:spacing w:before="120" w:after="120"/>
        <w:ind w:left="851" w:hanging="425"/>
        <w:contextualSpacing w:val="0"/>
        <w:jc w:val="both"/>
      </w:pPr>
      <w:r>
        <w:t xml:space="preserve">výdavky projektu vznikli počas obdobia oprávnenosti a došlo k ich vyplateniu; </w:t>
      </w:r>
    </w:p>
    <w:p w14:paraId="3F3FE1FF" w14:textId="77777777" w:rsidR="00B650E5" w:rsidRDefault="00B650E5">
      <w:pPr>
        <w:pStyle w:val="Odsekzoznamu"/>
        <w:numPr>
          <w:ilvl w:val="2"/>
          <w:numId w:val="4"/>
        </w:numPr>
        <w:spacing w:before="120" w:after="120"/>
        <w:ind w:left="851" w:hanging="425"/>
        <w:contextualSpacing w:val="0"/>
        <w:jc w:val="both"/>
      </w:pPr>
      <w:r>
        <w:t>výdavky projektu sú v súlade so schváleným projektom;</w:t>
      </w:r>
    </w:p>
    <w:p w14:paraId="10CDCD7B" w14:textId="77777777" w:rsidR="00B650E5" w:rsidRDefault="00B650E5">
      <w:pPr>
        <w:pStyle w:val="Odsekzoznamu"/>
        <w:numPr>
          <w:ilvl w:val="2"/>
          <w:numId w:val="4"/>
        </w:numPr>
        <w:spacing w:before="120" w:after="120"/>
        <w:ind w:left="851" w:hanging="425"/>
        <w:contextualSpacing w:val="0"/>
        <w:jc w:val="both"/>
      </w:pPr>
      <w:r>
        <w:t>súlad s pravidlami stanovenými v projekte vrátane súladu so schválenou mierou spolufinancovania;</w:t>
      </w:r>
    </w:p>
    <w:p w14:paraId="425092FE" w14:textId="77777777" w:rsidR="00B650E5" w:rsidRDefault="00B650E5">
      <w:pPr>
        <w:pStyle w:val="Odsekzoznamu"/>
        <w:numPr>
          <w:ilvl w:val="2"/>
          <w:numId w:val="4"/>
        </w:numPr>
        <w:spacing w:before="120" w:after="120"/>
        <w:ind w:left="851" w:hanging="425"/>
        <w:contextualSpacing w:val="0"/>
        <w:jc w:val="both"/>
      </w:pPr>
      <w:r>
        <w:t>súlad s pravidlami oprávnenosti výdavkov na národnej úrovni aj na úrovni EÚ;</w:t>
      </w:r>
    </w:p>
    <w:p w14:paraId="2823F3AA" w14:textId="77777777" w:rsidR="00B650E5" w:rsidRDefault="00B650E5">
      <w:pPr>
        <w:pStyle w:val="Odsekzoznamu"/>
        <w:numPr>
          <w:ilvl w:val="2"/>
          <w:numId w:val="4"/>
        </w:numPr>
        <w:spacing w:before="120" w:after="120"/>
        <w:ind w:left="851" w:hanging="425"/>
        <w:contextualSpacing w:val="0"/>
        <w:jc w:val="both"/>
      </w:pPr>
      <w:r>
        <w:t>adekvátnosť a overiteľnosť podporných dokumentov;</w:t>
      </w:r>
    </w:p>
    <w:p w14:paraId="06478EFD" w14:textId="77777777" w:rsidR="00B650E5" w:rsidRDefault="00B650E5">
      <w:pPr>
        <w:pStyle w:val="Odsekzoznamu"/>
        <w:numPr>
          <w:ilvl w:val="2"/>
          <w:numId w:val="4"/>
        </w:numPr>
        <w:spacing w:before="120" w:after="120"/>
        <w:ind w:left="851" w:hanging="425"/>
        <w:contextualSpacing w:val="0"/>
        <w:jc w:val="both"/>
      </w:pPr>
      <w:r>
        <w:t>súlad s podmienkami štátnej pomoci/pomoci de minimis a požiadavka na udržateľný rozvoj, rovnosť príležitostí a nediskrimináciu;</w:t>
      </w:r>
    </w:p>
    <w:p w14:paraId="0245254E" w14:textId="77777777" w:rsidR="00B650E5" w:rsidRDefault="00B650E5">
      <w:pPr>
        <w:pStyle w:val="Odsekzoznamu"/>
        <w:numPr>
          <w:ilvl w:val="2"/>
          <w:numId w:val="4"/>
        </w:numPr>
        <w:spacing w:before="120" w:after="120"/>
        <w:ind w:left="851" w:hanging="425"/>
        <w:contextualSpacing w:val="0"/>
        <w:jc w:val="both"/>
      </w:pPr>
      <w:r>
        <w:t>súlad s pravidlami VO na národnej úrovni aj na úrovni EÚ;</w:t>
      </w:r>
    </w:p>
    <w:p w14:paraId="31B4C6F3" w14:textId="77777777" w:rsidR="00B650E5" w:rsidRDefault="00B650E5">
      <w:pPr>
        <w:pStyle w:val="Odsekzoznamu"/>
        <w:numPr>
          <w:ilvl w:val="2"/>
          <w:numId w:val="4"/>
        </w:numPr>
        <w:spacing w:before="120" w:after="120"/>
        <w:ind w:left="851" w:hanging="425"/>
        <w:contextualSpacing w:val="0"/>
        <w:jc w:val="both"/>
      </w:pPr>
      <w:r>
        <w:t>súlad s pravidlami publicity na národnej úrovni aj na úrovni EÚ;</w:t>
      </w:r>
    </w:p>
    <w:p w14:paraId="7F413929" w14:textId="77777777" w:rsidR="00B650E5" w:rsidRDefault="00B650E5">
      <w:pPr>
        <w:pStyle w:val="Odsekzoznamu"/>
        <w:numPr>
          <w:ilvl w:val="2"/>
          <w:numId w:val="4"/>
        </w:numPr>
        <w:spacing w:before="120" w:after="120"/>
        <w:ind w:left="851" w:hanging="425"/>
        <w:contextualSpacing w:val="0"/>
        <w:jc w:val="both"/>
      </w:pPr>
      <w:r>
        <w:t>v prípade využitia zjednodušených foriem vykazovania výdavkov súlad vykazovania s nastavenými pravidlami;</w:t>
      </w:r>
    </w:p>
    <w:p w14:paraId="043AC56C" w14:textId="77777777" w:rsidR="00B650E5" w:rsidRDefault="00B650E5">
      <w:pPr>
        <w:pStyle w:val="Odsekzoznamu"/>
        <w:numPr>
          <w:ilvl w:val="2"/>
          <w:numId w:val="4"/>
        </w:numPr>
        <w:spacing w:before="120" w:after="120"/>
        <w:ind w:left="851" w:hanging="425"/>
        <w:contextualSpacing w:val="0"/>
        <w:jc w:val="both"/>
      </w:pPr>
      <w:r>
        <w:t>fyzický pokrok projektu vo vzťahu k merateľným ukazovateľom projektu a  dátam, ktoré sú povinne poskytované na úrovni projektu;</w:t>
      </w:r>
    </w:p>
    <w:p w14:paraId="5DB46685" w14:textId="77777777" w:rsidR="00B650E5" w:rsidRDefault="00B650E5">
      <w:pPr>
        <w:pStyle w:val="Odsekzoznamu"/>
        <w:numPr>
          <w:ilvl w:val="2"/>
          <w:numId w:val="4"/>
        </w:numPr>
        <w:spacing w:before="120" w:after="120"/>
        <w:ind w:left="851" w:hanging="425"/>
        <w:contextualSpacing w:val="0"/>
        <w:jc w:val="both"/>
      </w:pPr>
      <w:r>
        <w:t xml:space="preserve">dodržiavanie článku 61 všeobecného nariadenia (operácie vytvárajúce čistý príjem po dokončení). </w:t>
      </w:r>
    </w:p>
    <w:p w14:paraId="6CCDF58C" w14:textId="77777777" w:rsidR="00B650E5" w:rsidRDefault="00B650E5">
      <w:pPr>
        <w:pStyle w:val="Odsekzoznamu"/>
        <w:numPr>
          <w:ilvl w:val="0"/>
          <w:numId w:val="27"/>
        </w:numPr>
        <w:spacing w:before="120" w:after="120"/>
        <w:ind w:left="426" w:hanging="426"/>
        <w:contextualSpacing w:val="0"/>
        <w:jc w:val="both"/>
      </w:pPr>
      <w:r>
        <w:t xml:space="preserve">V súlade s čl. 125 ods. 4 písm. d) všeobecného nariadenia RO stanoví postupy na zabezpečenie toho, aby sa uchovávali všetky doklady týkajúce sa výdavkov a auditov, ktoré sú potrebné na účely adekvátneho audit trailu.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 používané počítačové systémy musia spĺňať uznávané bezpečnostné štandardy, ktoré zabezpečia, že </w:t>
      </w:r>
      <w:r>
        <w:lastRenderedPageBreak/>
        <w:t xml:space="preserve">uchovávané dokumenty spĺňajú vnútroštátne zákonné požiadavky a sú spoľahlivé pre účely auditu. </w:t>
      </w:r>
    </w:p>
    <w:p w14:paraId="3451F804" w14:textId="77777777" w:rsidR="00B650E5" w:rsidRDefault="0053588C">
      <w:pPr>
        <w:pStyle w:val="Odsekzoznamu"/>
        <w:spacing w:before="120" w:after="120"/>
        <w:ind w:left="426"/>
        <w:jc w:val="both"/>
      </w:pPr>
      <w:r>
        <w:rPr>
          <w:noProof/>
        </w:rPr>
        <w:drawing>
          <wp:inline distT="0" distB="0" distL="0" distR="0" wp14:anchorId="4630FB61" wp14:editId="6028A33C">
            <wp:extent cx="5476875" cy="3435350"/>
            <wp:effectExtent l="19050" t="57150" r="9525" b="31750"/>
            <wp:docPr id="15" name="Diagram 113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7" r:lo="rId168" r:qs="rId169" r:cs="rId170"/>
              </a:graphicData>
            </a:graphic>
          </wp:inline>
        </w:drawing>
      </w:r>
    </w:p>
    <w:p w14:paraId="47A48A8B" w14:textId="77777777" w:rsidR="00B650E5" w:rsidRDefault="00B650E5" w:rsidP="00D11AFB">
      <w:pPr>
        <w:spacing w:before="120" w:after="120"/>
        <w:jc w:val="both"/>
      </w:pPr>
    </w:p>
    <w:p w14:paraId="0E63CF37" w14:textId="77777777" w:rsidR="00B650E5" w:rsidRPr="00D11AFB" w:rsidRDefault="00B650E5" w:rsidP="00D11AFB">
      <w:pPr>
        <w:spacing w:before="120" w:after="120"/>
        <w:jc w:val="both"/>
        <w:rPr>
          <w:b/>
        </w:rPr>
      </w:pPr>
      <w:r w:rsidRPr="00D11AFB">
        <w:rPr>
          <w:b/>
        </w:rPr>
        <w:t>Tabuľka výsledkov kontroly:</w:t>
      </w:r>
    </w:p>
    <w:tbl>
      <w:tblPr>
        <w:tblW w:w="10491" w:type="dxa"/>
        <w:tblInd w:w="-356" w:type="dxa"/>
        <w:tblCellMar>
          <w:left w:w="70" w:type="dxa"/>
          <w:right w:w="70" w:type="dxa"/>
        </w:tblCellMar>
        <w:tblLook w:val="00A0" w:firstRow="1" w:lastRow="0" w:firstColumn="1" w:lastColumn="0" w:noHBand="0" w:noVBand="0"/>
      </w:tblPr>
      <w:tblGrid>
        <w:gridCol w:w="3403"/>
        <w:gridCol w:w="993"/>
        <w:gridCol w:w="1920"/>
        <w:gridCol w:w="1008"/>
        <w:gridCol w:w="3167"/>
      </w:tblGrid>
      <w:tr w:rsidR="00B650E5" w:rsidRPr="00A30C60" w14:paraId="29956838" w14:textId="77777777" w:rsidTr="00D11AFB">
        <w:trPr>
          <w:trHeight w:val="600"/>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tcPr>
          <w:p w14:paraId="261126DB"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Výsledok kontroly</w:t>
            </w:r>
          </w:p>
        </w:tc>
        <w:tc>
          <w:tcPr>
            <w:tcW w:w="993" w:type="dxa"/>
            <w:tcBorders>
              <w:top w:val="single" w:sz="4" w:space="0" w:color="auto"/>
              <w:left w:val="nil"/>
              <w:bottom w:val="single" w:sz="4" w:space="0" w:color="auto"/>
              <w:right w:val="single" w:sz="4" w:space="0" w:color="auto"/>
            </w:tcBorders>
            <w:shd w:val="clear" w:color="000000" w:fill="D9D9D9"/>
            <w:vAlign w:val="center"/>
          </w:tcPr>
          <w:p w14:paraId="7B0C6A09"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Predmet kontroly</w:t>
            </w:r>
          </w:p>
        </w:tc>
        <w:tc>
          <w:tcPr>
            <w:tcW w:w="1920" w:type="dxa"/>
            <w:tcBorders>
              <w:top w:val="single" w:sz="4" w:space="0" w:color="auto"/>
              <w:left w:val="nil"/>
              <w:bottom w:val="single" w:sz="4" w:space="0" w:color="auto"/>
              <w:right w:val="single" w:sz="4" w:space="0" w:color="auto"/>
            </w:tcBorders>
            <w:shd w:val="clear" w:color="000000" w:fill="D9D9D9"/>
            <w:noWrap/>
            <w:vAlign w:val="center"/>
          </w:tcPr>
          <w:p w14:paraId="264CCA3D"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Druh kontroly</w:t>
            </w:r>
          </w:p>
        </w:tc>
        <w:tc>
          <w:tcPr>
            <w:tcW w:w="1008" w:type="dxa"/>
            <w:tcBorders>
              <w:top w:val="single" w:sz="4" w:space="0" w:color="auto"/>
              <w:left w:val="nil"/>
              <w:bottom w:val="single" w:sz="4" w:space="0" w:color="auto"/>
              <w:right w:val="single" w:sz="4" w:space="0" w:color="auto"/>
            </w:tcBorders>
            <w:shd w:val="clear" w:color="000000" w:fill="D9D9D9"/>
            <w:noWrap/>
            <w:vAlign w:val="center"/>
          </w:tcPr>
          <w:p w14:paraId="6AF76072"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Farba</w:t>
            </w:r>
          </w:p>
        </w:tc>
        <w:tc>
          <w:tcPr>
            <w:tcW w:w="3167" w:type="dxa"/>
            <w:tcBorders>
              <w:top w:val="single" w:sz="4" w:space="0" w:color="auto"/>
              <w:left w:val="nil"/>
              <w:bottom w:val="single" w:sz="4" w:space="0" w:color="auto"/>
              <w:right w:val="single" w:sz="4" w:space="0" w:color="auto"/>
            </w:tcBorders>
            <w:shd w:val="clear" w:color="000000" w:fill="D9D9D9"/>
            <w:noWrap/>
            <w:vAlign w:val="center"/>
          </w:tcPr>
          <w:p w14:paraId="2F3BF0E6" w14:textId="77777777" w:rsidR="00B650E5" w:rsidRPr="000E286B" w:rsidRDefault="00B650E5" w:rsidP="00D11AFB">
            <w:pPr>
              <w:jc w:val="center"/>
              <w:rPr>
                <w:rFonts w:ascii="Calibri" w:hAnsi="Calibri" w:cs="Arial"/>
                <w:b/>
                <w:bCs/>
                <w:color w:val="000000"/>
              </w:rPr>
            </w:pPr>
            <w:r w:rsidRPr="000E286B">
              <w:rPr>
                <w:rFonts w:ascii="Calibri" w:hAnsi="Calibri" w:cs="Arial"/>
                <w:b/>
                <w:bCs/>
                <w:color w:val="000000"/>
                <w:sz w:val="22"/>
                <w:szCs w:val="22"/>
              </w:rPr>
              <w:t>Popis</w:t>
            </w:r>
          </w:p>
        </w:tc>
      </w:tr>
      <w:tr w:rsidR="00B650E5" w:rsidRPr="00A30C60" w14:paraId="5ECB92AC" w14:textId="77777777" w:rsidTr="00D11AFB">
        <w:trPr>
          <w:trHeight w:val="600"/>
        </w:trPr>
        <w:tc>
          <w:tcPr>
            <w:tcW w:w="3403" w:type="dxa"/>
            <w:tcBorders>
              <w:top w:val="nil"/>
              <w:left w:val="single" w:sz="4" w:space="0" w:color="auto"/>
              <w:bottom w:val="single" w:sz="4" w:space="0" w:color="auto"/>
              <w:right w:val="single" w:sz="4" w:space="0" w:color="auto"/>
            </w:tcBorders>
            <w:shd w:val="clear" w:color="000000" w:fill="92D050"/>
            <w:vAlign w:val="center"/>
          </w:tcPr>
          <w:p w14:paraId="63CBFCD1"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Prvá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 Odsúhlasenie dokumentácie zo strany RO</w:t>
            </w:r>
          </w:p>
        </w:tc>
        <w:tc>
          <w:tcPr>
            <w:tcW w:w="993" w:type="dxa"/>
            <w:tcBorders>
              <w:top w:val="nil"/>
              <w:left w:val="nil"/>
              <w:bottom w:val="single" w:sz="4" w:space="0" w:color="auto"/>
              <w:right w:val="single" w:sz="4" w:space="0" w:color="auto"/>
            </w:tcBorders>
            <w:shd w:val="clear" w:color="000000" w:fill="92D050"/>
            <w:noWrap/>
            <w:vAlign w:val="center"/>
          </w:tcPr>
          <w:p w14:paraId="23AEBAEA"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01456673"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5E77E92C"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39391AF2"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1. ex ante; doklady predbežne schválené, prijímateľ môže vyhlásiť verejné obstarávanie</w:t>
            </w:r>
          </w:p>
        </w:tc>
      </w:tr>
      <w:tr w:rsidR="00B650E5" w:rsidRPr="00A30C60" w14:paraId="0DEF281F" w14:textId="77777777" w:rsidTr="00D11AFB">
        <w:trPr>
          <w:trHeight w:val="1275"/>
        </w:trPr>
        <w:tc>
          <w:tcPr>
            <w:tcW w:w="3403" w:type="dxa"/>
            <w:tcBorders>
              <w:top w:val="nil"/>
              <w:left w:val="single" w:sz="4" w:space="0" w:color="auto"/>
              <w:bottom w:val="single" w:sz="4" w:space="0" w:color="auto"/>
              <w:right w:val="single" w:sz="4" w:space="0" w:color="auto"/>
            </w:tcBorders>
            <w:shd w:val="clear" w:color="000000" w:fill="FF0000"/>
            <w:vAlign w:val="center"/>
          </w:tcPr>
          <w:p w14:paraId="42C6CBBE" w14:textId="77777777" w:rsidR="00B650E5" w:rsidRPr="000E286B" w:rsidRDefault="00B650E5" w:rsidP="00AE547C">
            <w:pPr>
              <w:rPr>
                <w:rFonts w:ascii="Calibri" w:hAnsi="Calibri" w:cs="Arial"/>
                <w:color w:val="000000"/>
              </w:rPr>
            </w:pPr>
            <w:r w:rsidRPr="000E286B">
              <w:rPr>
                <w:rFonts w:ascii="Calibri" w:hAnsi="Calibri" w:cs="Arial"/>
                <w:color w:val="000000"/>
                <w:sz w:val="22"/>
                <w:szCs w:val="22"/>
              </w:rPr>
              <w:t xml:space="preserve">Prvá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 Zistené nedostatky</w:t>
            </w:r>
          </w:p>
        </w:tc>
        <w:tc>
          <w:tcPr>
            <w:tcW w:w="993" w:type="dxa"/>
            <w:tcBorders>
              <w:top w:val="nil"/>
              <w:left w:val="nil"/>
              <w:bottom w:val="single" w:sz="4" w:space="0" w:color="auto"/>
              <w:right w:val="single" w:sz="4" w:space="0" w:color="auto"/>
            </w:tcBorders>
            <w:shd w:val="clear" w:color="000000" w:fill="FF0000"/>
            <w:noWrap/>
            <w:vAlign w:val="center"/>
          </w:tcPr>
          <w:p w14:paraId="5F830A2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41290A4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5E7C21A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5B23F808" w14:textId="3D77C14B"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1. ex ante; uloženie opatrení na od</w:t>
            </w:r>
            <w:r w:rsidR="00A01519">
              <w:rPr>
                <w:rFonts w:ascii="Calibri" w:hAnsi="Calibri" w:cs="Arial"/>
                <w:color w:val="000000"/>
                <w:sz w:val="20"/>
                <w:szCs w:val="20"/>
              </w:rPr>
              <w:t>stránenie zistených nedostatkov;</w:t>
            </w:r>
            <w:r w:rsidRPr="000E286B">
              <w:rPr>
                <w:rFonts w:ascii="Calibri" w:hAnsi="Calibri" w:cs="Arial"/>
                <w:color w:val="000000"/>
                <w:sz w:val="20"/>
                <w:szCs w:val="20"/>
              </w:rPr>
              <w:t xml:space="preserve"> prijímateľ po druhej výzve RO nezabezpečil uspokojivú úpravu kontrolovanej dokumentácie, ukončenie kontroly zaslaním správy, v ktorej RO konštatuje nezapracovanie pripomienok</w:t>
            </w:r>
          </w:p>
        </w:tc>
      </w:tr>
      <w:tr w:rsidR="00B650E5" w:rsidRPr="00A30C60" w14:paraId="43E995D9" w14:textId="77777777" w:rsidTr="00D11AFB">
        <w:trPr>
          <w:trHeight w:val="900"/>
        </w:trPr>
        <w:tc>
          <w:tcPr>
            <w:tcW w:w="3403" w:type="dxa"/>
            <w:tcBorders>
              <w:top w:val="nil"/>
              <w:left w:val="single" w:sz="4" w:space="0" w:color="auto"/>
              <w:bottom w:val="single" w:sz="4" w:space="0" w:color="auto"/>
              <w:right w:val="single" w:sz="4" w:space="0" w:color="auto"/>
            </w:tcBorders>
            <w:shd w:val="clear" w:color="000000" w:fill="92D050"/>
            <w:vAlign w:val="center"/>
          </w:tcPr>
          <w:p w14:paraId="2AE2DF3E"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Druhá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 Súhlas s podpísaním zmluvy verejného obstarávateľa/obstarávateľa s úspešným uchádzačom</w:t>
            </w:r>
          </w:p>
        </w:tc>
        <w:tc>
          <w:tcPr>
            <w:tcW w:w="993" w:type="dxa"/>
            <w:tcBorders>
              <w:top w:val="nil"/>
              <w:left w:val="nil"/>
              <w:bottom w:val="single" w:sz="4" w:space="0" w:color="auto"/>
              <w:right w:val="single" w:sz="4" w:space="0" w:color="auto"/>
            </w:tcBorders>
            <w:shd w:val="clear" w:color="000000" w:fill="92D050"/>
            <w:noWrap/>
            <w:vAlign w:val="center"/>
          </w:tcPr>
          <w:p w14:paraId="5C9B06EB"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4265447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tcPr>
          <w:p w14:paraId="4200033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1589009F"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2. ex ante; bez zistení, prijímateľ je oprávnený podpísať zmluvu s úspešným uchádzačom</w:t>
            </w:r>
          </w:p>
        </w:tc>
      </w:tr>
      <w:tr w:rsidR="00B650E5" w:rsidRPr="00A30C60" w14:paraId="2B07EB11" w14:textId="77777777" w:rsidTr="00D11AFB">
        <w:trPr>
          <w:trHeight w:val="900"/>
        </w:trPr>
        <w:tc>
          <w:tcPr>
            <w:tcW w:w="3403" w:type="dxa"/>
            <w:tcBorders>
              <w:top w:val="nil"/>
              <w:left w:val="single" w:sz="4" w:space="0" w:color="auto"/>
              <w:bottom w:val="single" w:sz="4" w:space="0" w:color="auto"/>
              <w:right w:val="single" w:sz="4" w:space="0" w:color="auto"/>
            </w:tcBorders>
            <w:shd w:val="clear" w:color="000000" w:fill="F79646"/>
            <w:vAlign w:val="center"/>
          </w:tcPr>
          <w:p w14:paraId="7326879C"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Druhá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Súhlas s podpísaním zmluvy verejného obstarávateľa/obstarávateľa s úspešným uchádzačom</w:t>
            </w:r>
          </w:p>
        </w:tc>
        <w:tc>
          <w:tcPr>
            <w:tcW w:w="993" w:type="dxa"/>
            <w:tcBorders>
              <w:top w:val="nil"/>
              <w:left w:val="nil"/>
              <w:bottom w:val="single" w:sz="4" w:space="0" w:color="auto"/>
              <w:right w:val="single" w:sz="4" w:space="0" w:color="auto"/>
            </w:tcBorders>
            <w:shd w:val="clear" w:color="000000" w:fill="F79646"/>
            <w:noWrap/>
            <w:vAlign w:val="center"/>
          </w:tcPr>
          <w:p w14:paraId="282D6D73"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79646"/>
            <w:noWrap/>
            <w:vAlign w:val="center"/>
          </w:tcPr>
          <w:p w14:paraId="71CC9F5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79646"/>
            <w:noWrap/>
            <w:vAlign w:val="center"/>
          </w:tcPr>
          <w:p w14:paraId="52094F7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4A39EB62" w14:textId="77777777" w:rsidR="00B650E5" w:rsidRPr="000E286B" w:rsidRDefault="00B650E5" w:rsidP="00806AEE">
            <w:pPr>
              <w:rPr>
                <w:rFonts w:ascii="Calibri" w:hAnsi="Calibri" w:cs="Arial"/>
                <w:color w:val="000000"/>
                <w:sz w:val="20"/>
                <w:szCs w:val="20"/>
              </w:rPr>
            </w:pPr>
            <w:r w:rsidRPr="000E286B">
              <w:rPr>
                <w:rFonts w:ascii="Calibri" w:hAnsi="Calibri" w:cs="Arial"/>
                <w:color w:val="000000"/>
                <w:sz w:val="20"/>
                <w:szCs w:val="20"/>
              </w:rPr>
              <w:t xml:space="preserve">2. ex ante; zistenia, ktoré nemali ani nemohli mať vplyv na výsledok VO, prijímateľ je oprávnený podpísať zmluvu s úspešným uchádzačom alebo zistenia, ktoré mali alebo mohli mať vplyv na výsledok verejného obstarávania, ale je možné ich odstrániť (napr. opätovným vyhodnotením ponúk), </w:t>
            </w:r>
            <w:r w:rsidRPr="000E286B">
              <w:rPr>
                <w:rFonts w:ascii="Calibri" w:hAnsi="Calibri" w:cs="Arial"/>
                <w:color w:val="000000"/>
                <w:sz w:val="20"/>
                <w:szCs w:val="20"/>
              </w:rPr>
              <w:lastRenderedPageBreak/>
              <w:t>po odstránení protiprávneho stavu je prijímateľ oprávnený podpísať zmluvu s úspešným uchádzačom</w:t>
            </w:r>
          </w:p>
        </w:tc>
      </w:tr>
      <w:tr w:rsidR="00B650E5" w:rsidRPr="00A30C60" w14:paraId="6EFFD0AF" w14:textId="77777777" w:rsidTr="00D11AFB">
        <w:trPr>
          <w:trHeight w:val="900"/>
        </w:trPr>
        <w:tc>
          <w:tcPr>
            <w:tcW w:w="3403" w:type="dxa"/>
            <w:tcBorders>
              <w:top w:val="nil"/>
              <w:left w:val="single" w:sz="4" w:space="0" w:color="auto"/>
              <w:bottom w:val="single" w:sz="4" w:space="0" w:color="auto"/>
              <w:right w:val="single" w:sz="4" w:space="0" w:color="auto"/>
            </w:tcBorders>
            <w:shd w:val="clear" w:color="000000" w:fill="FF0000"/>
            <w:vAlign w:val="center"/>
          </w:tcPr>
          <w:p w14:paraId="69D1A432"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lastRenderedPageBreak/>
              <w:t xml:space="preserve">Druhá </w:t>
            </w:r>
            <w:r w:rsidR="00FB1D18">
              <w:rPr>
                <w:rFonts w:ascii="Calibri" w:hAnsi="Calibri" w:cs="Arial"/>
                <w:color w:val="000000"/>
                <w:sz w:val="22"/>
                <w:szCs w:val="22"/>
              </w:rPr>
              <w:t>ex ante</w:t>
            </w:r>
            <w:r w:rsidRPr="000E286B">
              <w:rPr>
                <w:rFonts w:ascii="Calibri" w:hAnsi="Calibri" w:cs="Arial"/>
                <w:color w:val="000000"/>
                <w:sz w:val="22"/>
                <w:szCs w:val="22"/>
              </w:rPr>
              <w:t xml:space="preserve"> kontrola VO - Výzva na opakovanie procesu VO/nesúhlas s podpisom zmluvy verejného obstarávateľa/obstarávateľa s úspešným uchádzačom</w:t>
            </w:r>
            <w:r>
              <w:rPr>
                <w:rFonts w:ascii="Calibri" w:hAnsi="Calibri" w:cs="Arial"/>
                <w:color w:val="000000"/>
                <w:sz w:val="22"/>
                <w:szCs w:val="22"/>
              </w:rPr>
              <w:t xml:space="preserve"> alebo nepripustenie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2A94F4C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2F7F04E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tcPr>
          <w:p w14:paraId="36EBFBDE"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62A4759" w14:textId="39F29EB2" w:rsidR="00B650E5" w:rsidRPr="000E286B" w:rsidRDefault="00B650E5" w:rsidP="00A01519">
            <w:pPr>
              <w:rPr>
                <w:rFonts w:ascii="Calibri" w:hAnsi="Calibri" w:cs="Arial"/>
                <w:color w:val="000000"/>
                <w:sz w:val="20"/>
                <w:szCs w:val="20"/>
              </w:rPr>
            </w:pPr>
            <w:r w:rsidRPr="000E286B">
              <w:rPr>
                <w:rFonts w:ascii="Calibri" w:hAnsi="Calibri" w:cs="Arial"/>
                <w:color w:val="000000"/>
                <w:sz w:val="20"/>
                <w:szCs w:val="20"/>
              </w:rPr>
              <w:t xml:space="preserve">2. ex ante; zistenia, ktoré mali </w:t>
            </w:r>
            <w:r w:rsidRPr="000E286B">
              <w:rPr>
                <w:rFonts w:ascii="Calibri" w:hAnsi="Calibri" w:cs="Arial"/>
                <w:sz w:val="20"/>
                <w:szCs w:val="20"/>
              </w:rPr>
              <w:t xml:space="preserve">alebo mohli mať vplyv na výsledok </w:t>
            </w:r>
            <w:r w:rsidRPr="000E286B">
              <w:rPr>
                <w:rFonts w:ascii="Calibri" w:hAnsi="Calibri"/>
                <w:sz w:val="20"/>
              </w:rPr>
              <w:t>VO</w:t>
            </w:r>
            <w:r>
              <w:rPr>
                <w:rFonts w:ascii="Calibri" w:hAnsi="Calibri"/>
                <w:sz w:val="20"/>
              </w:rPr>
              <w:t>,</w:t>
            </w:r>
            <w:r w:rsidRPr="000E286B">
              <w:rPr>
                <w:rFonts w:ascii="Calibri" w:hAnsi="Calibri"/>
                <w:sz w:val="20"/>
              </w:rPr>
              <w:t xml:space="preserve"> </w:t>
            </w:r>
            <w:r w:rsidRPr="00533EB0">
              <w:rPr>
                <w:rFonts w:ascii="Calibri" w:hAnsi="Calibri"/>
                <w:sz w:val="20"/>
              </w:rPr>
              <w:t>RO kvalifikuje výdavky z verejného obstarávania ako oprávnené vo výške menej ako 100</w:t>
            </w:r>
            <w:r w:rsidR="00C93F30">
              <w:rPr>
                <w:rFonts w:ascii="Calibri" w:hAnsi="Calibri"/>
                <w:sz w:val="20"/>
              </w:rPr>
              <w:t xml:space="preserve"> </w:t>
            </w:r>
            <w:r w:rsidRPr="00533EB0">
              <w:rPr>
                <w:rFonts w:ascii="Calibri" w:hAnsi="Calibri"/>
                <w:sz w:val="20"/>
              </w:rPr>
              <w:t>% z hodnoty zmluvy o NFP</w:t>
            </w:r>
            <w:r w:rsidRPr="000E286B">
              <w:rPr>
                <w:rFonts w:ascii="Calibri" w:hAnsi="Calibri"/>
                <w:sz w:val="20"/>
              </w:rPr>
              <w:t>,</w:t>
            </w:r>
            <w:r>
              <w:rPr>
                <w:rFonts w:ascii="Calibri" w:hAnsi="Calibri"/>
                <w:sz w:val="20"/>
              </w:rPr>
              <w:t xml:space="preserve"> prijímateľ nie je oprávnený podpísať zmluvu v prípade nepripustenia výdavkov do financovania alebo je oprávnený podpísať zmluvu, ak bola uplatnená </w:t>
            </w:r>
            <w:r w:rsidR="00FB1D18">
              <w:rPr>
                <w:rFonts w:ascii="Calibri" w:hAnsi="Calibri"/>
                <w:sz w:val="20"/>
              </w:rPr>
              <w:t>ex ante</w:t>
            </w:r>
            <w:r>
              <w:rPr>
                <w:rFonts w:ascii="Calibri" w:hAnsi="Calibri"/>
                <w:sz w:val="20"/>
              </w:rPr>
              <w:t xml:space="preserve"> finančná oprava</w:t>
            </w:r>
            <w:r w:rsidR="00A01519">
              <w:rPr>
                <w:rFonts w:ascii="Calibri" w:hAnsi="Calibri"/>
                <w:sz w:val="20"/>
              </w:rPr>
              <w:t>.</w:t>
            </w:r>
            <w:r w:rsidRPr="000E286B">
              <w:rPr>
                <w:rFonts w:ascii="Calibri" w:hAnsi="Calibri"/>
                <w:sz w:val="20"/>
              </w:rPr>
              <w:t xml:space="preserve"> </w:t>
            </w:r>
            <w:r w:rsidR="00A01519">
              <w:rPr>
                <w:rFonts w:ascii="Calibri" w:hAnsi="Calibri" w:cs="Arial"/>
                <w:sz w:val="20"/>
                <w:szCs w:val="20"/>
              </w:rPr>
              <w:t>AK</w:t>
            </w:r>
            <w:r w:rsidRPr="000E286B">
              <w:rPr>
                <w:rFonts w:ascii="Calibri" w:hAnsi="Calibri" w:cs="Arial"/>
                <w:sz w:val="20"/>
                <w:szCs w:val="20"/>
              </w:rPr>
              <w:t xml:space="preserve"> ÚVO rozhodnutím zrušil použitý postup zadávania zákazky</w:t>
            </w:r>
            <w:r w:rsidR="00A01519">
              <w:rPr>
                <w:rFonts w:ascii="Calibri" w:hAnsi="Calibri" w:cs="Arial"/>
                <w:sz w:val="20"/>
                <w:szCs w:val="20"/>
              </w:rPr>
              <w:t>,</w:t>
            </w:r>
            <w:r w:rsidRPr="000E286B">
              <w:rPr>
                <w:rFonts w:ascii="Calibri" w:hAnsi="Calibri" w:cs="Arial"/>
                <w:sz w:val="20"/>
                <w:szCs w:val="20"/>
              </w:rPr>
              <w:t xml:space="preserve"> prijímateľ nie je oprávnený podpísať zmluvu s úspešným uchádzačom</w:t>
            </w:r>
            <w:r w:rsidR="00A01519">
              <w:rPr>
                <w:rFonts w:ascii="Calibri" w:hAnsi="Calibri" w:cs="Arial"/>
                <w:sz w:val="20"/>
                <w:szCs w:val="20"/>
              </w:rPr>
              <w:t xml:space="preserve"> a výdavky z VO nie sú pripustené do financovania v plnom rozsahu</w:t>
            </w:r>
          </w:p>
        </w:tc>
      </w:tr>
      <w:tr w:rsidR="00B650E5" w:rsidRPr="00A30C60" w14:paraId="54FA631D"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66F5C1FB"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Štandardná </w:t>
            </w:r>
            <w:r w:rsidR="00FB1D18">
              <w:rPr>
                <w:rFonts w:ascii="Calibri" w:hAnsi="Calibri" w:cs="Arial"/>
                <w:color w:val="000000"/>
                <w:sz w:val="22"/>
                <w:szCs w:val="22"/>
              </w:rPr>
              <w:t>ex post</w:t>
            </w:r>
            <w:r w:rsidRPr="000E286B">
              <w:rPr>
                <w:rFonts w:ascii="Calibri" w:hAnsi="Calibri" w:cs="Arial"/>
                <w:color w:val="000000"/>
                <w:sz w:val="22"/>
                <w:szCs w:val="22"/>
              </w:rPr>
              <w:t xml:space="preserve"> kontrola VO - Pripustenie výdavkov súvisiacich s VO do financovania</w:t>
            </w:r>
          </w:p>
        </w:tc>
        <w:tc>
          <w:tcPr>
            <w:tcW w:w="993" w:type="dxa"/>
            <w:tcBorders>
              <w:top w:val="nil"/>
              <w:left w:val="nil"/>
              <w:bottom w:val="single" w:sz="4" w:space="0" w:color="auto"/>
              <w:right w:val="single" w:sz="4" w:space="0" w:color="auto"/>
            </w:tcBorders>
            <w:shd w:val="clear" w:color="000000" w:fill="92D050"/>
            <w:noWrap/>
            <w:vAlign w:val="center"/>
          </w:tcPr>
          <w:p w14:paraId="7D1FB67C"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44A8C05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18E8797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2987ACBC"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štandar</w:t>
            </w:r>
            <w:r w:rsidR="00E367B6">
              <w:rPr>
                <w:rFonts w:ascii="Calibri" w:hAnsi="Calibri" w:cs="Arial"/>
                <w:color w:val="000000"/>
                <w:sz w:val="20"/>
                <w:szCs w:val="20"/>
              </w:rPr>
              <w:t>d</w:t>
            </w:r>
            <w:r w:rsidRPr="000E286B">
              <w:rPr>
                <w:rFonts w:ascii="Calibri" w:hAnsi="Calibri" w:cs="Arial"/>
                <w:color w:val="000000"/>
                <w:sz w:val="20"/>
                <w:szCs w:val="20"/>
              </w:rPr>
              <w:t>ná ex post; bez zistení/so zisteniami, ktoré nemali ani nemohli mať vplyv na výsledok VO, RO kvalifikuje výdavky z verejného obstarávania ako oprávnené vo výške 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53334180"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24B93FEE"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Štandardná </w:t>
            </w:r>
            <w:r w:rsidR="00FB1D18">
              <w:rPr>
                <w:rFonts w:ascii="Calibri" w:hAnsi="Calibri" w:cs="Arial"/>
                <w:color w:val="000000"/>
                <w:sz w:val="22"/>
                <w:szCs w:val="22"/>
              </w:rPr>
              <w:t>ex post</w:t>
            </w:r>
            <w:r w:rsidRPr="000E286B">
              <w:rPr>
                <w:rFonts w:ascii="Calibri" w:hAnsi="Calibri" w:cs="Arial"/>
                <w:color w:val="000000"/>
                <w:sz w:val="22"/>
                <w:szCs w:val="22"/>
              </w:rPr>
              <w:t xml:space="preserve"> kontrola VO - Nepripustenie výdavkov alebo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tcPr>
          <w:p w14:paraId="71D6529E"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462C6A5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30F857A9"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4247AFE2"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štandar</w:t>
            </w:r>
            <w:r w:rsidR="00E367B6">
              <w:rPr>
                <w:rFonts w:ascii="Calibri" w:hAnsi="Calibri" w:cs="Arial"/>
                <w:color w:val="000000"/>
                <w:sz w:val="20"/>
                <w:szCs w:val="20"/>
              </w:rPr>
              <w:t>d</w:t>
            </w:r>
            <w:r w:rsidRPr="000E286B">
              <w:rPr>
                <w:rFonts w:ascii="Calibri" w:hAnsi="Calibri" w:cs="Arial"/>
                <w:color w:val="000000"/>
                <w:sz w:val="20"/>
                <w:szCs w:val="20"/>
              </w:rPr>
              <w:t>ná ex post; zistenia, ktoré mali alebo mohli mať vplyv na výsledok VO, RO kvalifikuje výdavky z verejného obstarávania ako oprávnené vo výške menej ako</w:t>
            </w:r>
            <w:r w:rsidR="00C93F30">
              <w:rPr>
                <w:rFonts w:ascii="Calibri" w:hAnsi="Calibri" w:cs="Arial"/>
                <w:color w:val="000000"/>
                <w:sz w:val="20"/>
                <w:szCs w:val="20"/>
              </w:rPr>
              <w:t xml:space="preserve">             </w:t>
            </w:r>
            <w:r w:rsidRPr="000E286B">
              <w:rPr>
                <w:rFonts w:ascii="Calibri" w:hAnsi="Calibri" w:cs="Arial"/>
                <w:color w:val="000000"/>
                <w:sz w:val="20"/>
                <w:szCs w:val="20"/>
              </w:rPr>
              <w:t xml:space="preserve"> 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6309A643"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7064A184"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Následná </w:t>
            </w:r>
            <w:r w:rsidR="00FB1D18">
              <w:rPr>
                <w:rFonts w:ascii="Calibri" w:hAnsi="Calibri" w:cs="Arial"/>
                <w:color w:val="000000"/>
                <w:sz w:val="22"/>
                <w:szCs w:val="22"/>
              </w:rPr>
              <w:t>ex post</w:t>
            </w:r>
            <w:r w:rsidRPr="000E286B">
              <w:rPr>
                <w:rFonts w:ascii="Calibri" w:hAnsi="Calibri" w:cs="Arial"/>
                <w:color w:val="000000"/>
                <w:sz w:val="22"/>
                <w:szCs w:val="22"/>
              </w:rPr>
              <w:t xml:space="preserve"> kontrola VO - Výdavky vyplývajúce z VO sú oprávnené</w:t>
            </w:r>
          </w:p>
        </w:tc>
        <w:tc>
          <w:tcPr>
            <w:tcW w:w="993" w:type="dxa"/>
            <w:tcBorders>
              <w:top w:val="nil"/>
              <w:left w:val="nil"/>
              <w:bottom w:val="single" w:sz="4" w:space="0" w:color="auto"/>
              <w:right w:val="single" w:sz="4" w:space="0" w:color="auto"/>
            </w:tcBorders>
            <w:shd w:val="clear" w:color="000000" w:fill="92D050"/>
            <w:noWrap/>
            <w:vAlign w:val="center"/>
          </w:tcPr>
          <w:p w14:paraId="5F9532DF"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79CD80D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tcPr>
          <w:p w14:paraId="5BD453D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BA0CDF2"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následná ex post; bez zistení/ so zisteniami, ktoré nemali ani nemohli mať vplyv na výsledok VO, RO kvalifikuje výdavky z verejného obstarávania ako oprávnené vo výške 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571876E1"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043C412B"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Následná </w:t>
            </w:r>
            <w:r w:rsidR="00FB1D18">
              <w:rPr>
                <w:rFonts w:ascii="Calibri" w:hAnsi="Calibri" w:cs="Arial"/>
                <w:color w:val="000000"/>
                <w:sz w:val="22"/>
                <w:szCs w:val="22"/>
              </w:rPr>
              <w:t>ex post</w:t>
            </w:r>
            <w:r w:rsidRPr="000E286B">
              <w:rPr>
                <w:rFonts w:ascii="Calibri" w:hAnsi="Calibri" w:cs="Arial"/>
                <w:color w:val="000000"/>
                <w:sz w:val="22"/>
                <w:szCs w:val="22"/>
              </w:rPr>
              <w:t xml:space="preserve"> kontrola VO  - Výdavky alebo ich časť vyplývajúce z VO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169CC68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1778A320"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tcPr>
          <w:p w14:paraId="0A16CF0E"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28120A0E"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následná ex post; zistenia, ktoré mali alebo mohli mať vplyv na výsledok VO, RO kvalifikuje výdavky z verejného obstarávania ako oprávnené vo výške menej ako </w:t>
            </w:r>
            <w:r w:rsidR="00C93F30">
              <w:rPr>
                <w:rFonts w:ascii="Calibri" w:hAnsi="Calibri" w:cs="Arial"/>
                <w:color w:val="000000"/>
                <w:sz w:val="20"/>
                <w:szCs w:val="20"/>
              </w:rPr>
              <w:t xml:space="preserve">         </w:t>
            </w:r>
            <w:r w:rsidRPr="000E286B">
              <w:rPr>
                <w:rFonts w:ascii="Calibri" w:hAnsi="Calibri" w:cs="Arial"/>
                <w:color w:val="000000"/>
                <w:sz w:val="20"/>
                <w:szCs w:val="20"/>
              </w:rPr>
              <w:t>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15DFE532"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60956DA1"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dodatkov pred podpisom (VO) - Súhlas s podpisom Dodatku k Zmluve  s dodávateľom</w:t>
            </w:r>
          </w:p>
        </w:tc>
        <w:tc>
          <w:tcPr>
            <w:tcW w:w="993" w:type="dxa"/>
            <w:tcBorders>
              <w:top w:val="nil"/>
              <w:left w:val="nil"/>
              <w:bottom w:val="single" w:sz="4" w:space="0" w:color="auto"/>
              <w:right w:val="single" w:sz="4" w:space="0" w:color="auto"/>
            </w:tcBorders>
            <w:shd w:val="clear" w:color="000000" w:fill="92D050"/>
            <w:noWrap/>
            <w:vAlign w:val="center"/>
          </w:tcPr>
          <w:p w14:paraId="5F9B95CC"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6ECEAAEB"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097FE439"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0A631316"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dodatkov pred podpisom; bez zistení/so zisteniami, ktoré nemali ani nemohli mať vplyv na postup vedúci k uzavretiu dodatku, prijímateľ je oprávnený podpísať dodatok s dodávateľom</w:t>
            </w:r>
          </w:p>
        </w:tc>
      </w:tr>
      <w:tr w:rsidR="00B650E5" w:rsidRPr="00A30C60" w14:paraId="69E94769" w14:textId="77777777" w:rsidTr="00D11AFB">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49687D77"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dodatkov pred podpisom (VO) - Nesúhlas s podpisom Dodatku k zmluve s dodávateľom</w:t>
            </w:r>
          </w:p>
        </w:tc>
        <w:tc>
          <w:tcPr>
            <w:tcW w:w="993" w:type="dxa"/>
            <w:tcBorders>
              <w:top w:val="nil"/>
              <w:left w:val="nil"/>
              <w:bottom w:val="single" w:sz="4" w:space="0" w:color="auto"/>
              <w:right w:val="single" w:sz="4" w:space="0" w:color="auto"/>
            </w:tcBorders>
            <w:shd w:val="clear" w:color="000000" w:fill="FF0000"/>
            <w:noWrap/>
            <w:vAlign w:val="center"/>
          </w:tcPr>
          <w:p w14:paraId="48A210F3"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0C712880"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6C2B716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59AA00B0" w14:textId="77777777" w:rsidR="00B650E5" w:rsidRPr="000E286B" w:rsidRDefault="00B650E5" w:rsidP="00D058BF">
            <w:pPr>
              <w:rPr>
                <w:rFonts w:ascii="Calibri" w:hAnsi="Calibri" w:cs="Arial"/>
                <w:color w:val="000000"/>
                <w:sz w:val="20"/>
                <w:szCs w:val="20"/>
              </w:rPr>
            </w:pPr>
            <w:r w:rsidRPr="000E286B">
              <w:rPr>
                <w:rFonts w:ascii="Calibri" w:hAnsi="Calibri" w:cs="Arial"/>
                <w:color w:val="000000"/>
                <w:sz w:val="20"/>
                <w:szCs w:val="20"/>
              </w:rPr>
              <w:t>kontrola dodatkov pred podpisom; zistenia, ktoré mali alebo mohli mať vplyv na uzavretie dodatku, prijímateľ nie je oprávnený podpísať dodatok s</w:t>
            </w:r>
            <w:r>
              <w:rPr>
                <w:rFonts w:ascii="Calibri" w:hAnsi="Calibri" w:cs="Arial"/>
                <w:color w:val="000000"/>
                <w:sz w:val="20"/>
                <w:szCs w:val="20"/>
              </w:rPr>
              <w:t> </w:t>
            </w:r>
            <w:r w:rsidRPr="000E286B">
              <w:rPr>
                <w:rFonts w:ascii="Calibri" w:hAnsi="Calibri" w:cs="Arial"/>
                <w:color w:val="000000"/>
                <w:sz w:val="20"/>
                <w:szCs w:val="20"/>
              </w:rPr>
              <w:t>dodávateľom</w:t>
            </w:r>
            <w:r>
              <w:rPr>
                <w:rFonts w:ascii="Calibri" w:hAnsi="Calibri" w:cs="Arial"/>
                <w:color w:val="000000"/>
                <w:sz w:val="20"/>
                <w:szCs w:val="20"/>
              </w:rPr>
              <w:t xml:space="preserve"> alebo </w:t>
            </w:r>
            <w:r w:rsidRPr="00D058BF">
              <w:rPr>
                <w:rFonts w:ascii="Calibri" w:hAnsi="Calibri" w:cs="Arial"/>
                <w:color w:val="000000"/>
                <w:sz w:val="20"/>
                <w:szCs w:val="20"/>
              </w:rPr>
              <w:t xml:space="preserve">RO kvalifikuje výdavky z dodatku ako </w:t>
            </w:r>
            <w:r w:rsidRPr="00D058BF">
              <w:rPr>
                <w:rFonts w:ascii="Calibri" w:hAnsi="Calibri" w:cs="Arial"/>
                <w:color w:val="000000"/>
                <w:sz w:val="20"/>
                <w:szCs w:val="20"/>
              </w:rPr>
              <w:lastRenderedPageBreak/>
              <w:t xml:space="preserve">oprávnené vo výške menej ako </w:t>
            </w:r>
            <w:r w:rsidR="00C93F30">
              <w:rPr>
                <w:rFonts w:ascii="Calibri" w:hAnsi="Calibri" w:cs="Arial"/>
                <w:color w:val="000000"/>
                <w:sz w:val="20"/>
                <w:szCs w:val="20"/>
              </w:rPr>
              <w:t xml:space="preserve">              </w:t>
            </w:r>
            <w:r w:rsidRPr="00D058BF">
              <w:rPr>
                <w:rFonts w:ascii="Calibri" w:hAnsi="Calibri" w:cs="Arial"/>
                <w:color w:val="000000"/>
                <w:sz w:val="20"/>
                <w:szCs w:val="20"/>
              </w:rPr>
              <w:t>100</w:t>
            </w:r>
            <w:r w:rsidR="00C93F30">
              <w:rPr>
                <w:rFonts w:ascii="Calibri" w:hAnsi="Calibri" w:cs="Arial"/>
                <w:color w:val="000000"/>
                <w:sz w:val="20"/>
                <w:szCs w:val="20"/>
              </w:rPr>
              <w:t xml:space="preserve"> </w:t>
            </w:r>
            <w:r w:rsidRPr="00D058BF">
              <w:rPr>
                <w:rFonts w:ascii="Calibri" w:hAnsi="Calibri" w:cs="Arial"/>
                <w:color w:val="000000"/>
                <w:sz w:val="20"/>
                <w:szCs w:val="20"/>
              </w:rPr>
              <w:t>% z hodnoty zmluvy o NFP</w:t>
            </w:r>
          </w:p>
        </w:tc>
      </w:tr>
      <w:tr w:rsidR="00B650E5" w:rsidRPr="00A30C60" w14:paraId="1BAEF8CB"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tcPr>
          <w:p w14:paraId="3565816E"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lastRenderedPageBreak/>
              <w:t>Kontrola dodatkov po podpise (VO)- Výdavky zo zmluvy s dodávateľom v znení dodatku sú oprávnené</w:t>
            </w:r>
          </w:p>
        </w:tc>
        <w:tc>
          <w:tcPr>
            <w:tcW w:w="993" w:type="dxa"/>
            <w:tcBorders>
              <w:top w:val="nil"/>
              <w:left w:val="nil"/>
              <w:bottom w:val="single" w:sz="4" w:space="0" w:color="auto"/>
              <w:right w:val="single" w:sz="4" w:space="0" w:color="auto"/>
            </w:tcBorders>
            <w:shd w:val="clear" w:color="000000" w:fill="92D050"/>
            <w:noWrap/>
            <w:vAlign w:val="center"/>
          </w:tcPr>
          <w:p w14:paraId="12231D39"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tcPr>
          <w:p w14:paraId="6824D963"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tcPr>
          <w:p w14:paraId="68B4A85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75AA2734"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dodatkov po podpise; bez zistení/ so zisteniami, ktoré nemali ani nemohli mať vplyv na postup vedúci k uzavretiu dodatku, RO kvalifikuje výdavky z dodatku ako oprávnené vo výške 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19A5D90F"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tcPr>
          <w:p w14:paraId="228B43D0"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dodatkov po podpise - Výdavky alebo ich časť zo zmluvy s dodávateľom v znení dodatku sú neoprávnené</w:t>
            </w:r>
          </w:p>
        </w:tc>
        <w:tc>
          <w:tcPr>
            <w:tcW w:w="993" w:type="dxa"/>
            <w:tcBorders>
              <w:top w:val="nil"/>
              <w:left w:val="nil"/>
              <w:bottom w:val="single" w:sz="4" w:space="0" w:color="auto"/>
              <w:right w:val="single" w:sz="4" w:space="0" w:color="auto"/>
            </w:tcBorders>
            <w:shd w:val="clear" w:color="000000" w:fill="FF0000"/>
            <w:noWrap/>
            <w:vAlign w:val="center"/>
          </w:tcPr>
          <w:p w14:paraId="53B541A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tcPr>
          <w:p w14:paraId="6BA47B42"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tcPr>
          <w:p w14:paraId="201979C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0C61A93A"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kontrola dodatkov po podpise; zistenia, ktoré mali alebo mohli mať vplyv na uzavretie dodatku, RO kvalifikuje výdavky z dodatku ako oprávnené vo výške menej ako </w:t>
            </w:r>
            <w:r w:rsidR="00C93F30">
              <w:rPr>
                <w:rFonts w:ascii="Calibri" w:hAnsi="Calibri" w:cs="Arial"/>
                <w:color w:val="000000"/>
                <w:sz w:val="20"/>
                <w:szCs w:val="20"/>
              </w:rPr>
              <w:t xml:space="preserve">             </w:t>
            </w:r>
            <w:r w:rsidRPr="000E286B">
              <w:rPr>
                <w:rFonts w:ascii="Calibri" w:hAnsi="Calibri" w:cs="Arial"/>
                <w:color w:val="000000"/>
                <w:sz w:val="20"/>
                <w:szCs w:val="20"/>
              </w:rPr>
              <w:t>100</w:t>
            </w:r>
            <w:r w:rsidR="00C93F30">
              <w:rPr>
                <w:rFonts w:ascii="Calibri" w:hAnsi="Calibri" w:cs="Arial"/>
                <w:color w:val="000000"/>
                <w:sz w:val="20"/>
                <w:szCs w:val="20"/>
              </w:rPr>
              <w:t xml:space="preserve"> </w:t>
            </w:r>
            <w:r w:rsidRPr="000E286B">
              <w:rPr>
                <w:rFonts w:ascii="Calibri" w:hAnsi="Calibri" w:cs="Arial"/>
                <w:color w:val="000000"/>
                <w:sz w:val="20"/>
                <w:szCs w:val="20"/>
              </w:rPr>
              <w:t>% z hodnoty zmluvy o NFP</w:t>
            </w:r>
          </w:p>
        </w:tc>
      </w:tr>
      <w:tr w:rsidR="00B650E5" w:rsidRPr="00A30C60" w14:paraId="2C48D6E4" w14:textId="77777777" w:rsidTr="00D11AFB">
        <w:trPr>
          <w:trHeight w:val="300"/>
        </w:trPr>
        <w:tc>
          <w:tcPr>
            <w:tcW w:w="3403" w:type="dxa"/>
            <w:tcBorders>
              <w:top w:val="nil"/>
              <w:left w:val="single" w:sz="4" w:space="0" w:color="auto"/>
              <w:bottom w:val="single" w:sz="4" w:space="0" w:color="auto"/>
              <w:right w:val="single" w:sz="4" w:space="0" w:color="auto"/>
            </w:tcBorders>
            <w:shd w:val="clear" w:color="000000" w:fill="92D050"/>
            <w:vAlign w:val="center"/>
          </w:tcPr>
          <w:p w14:paraId="0A84D6C4"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 xml:space="preserve">Administratívna finančná kontrola - ŽOP Schválená </w:t>
            </w:r>
          </w:p>
        </w:tc>
        <w:tc>
          <w:tcPr>
            <w:tcW w:w="993" w:type="dxa"/>
            <w:tcBorders>
              <w:top w:val="nil"/>
              <w:left w:val="nil"/>
              <w:bottom w:val="single" w:sz="4" w:space="0" w:color="auto"/>
              <w:right w:val="single" w:sz="4" w:space="0" w:color="auto"/>
            </w:tcBorders>
            <w:shd w:val="clear" w:color="000000" w:fill="92D050"/>
            <w:noWrap/>
            <w:vAlign w:val="center"/>
          </w:tcPr>
          <w:p w14:paraId="252FC72A"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92D050"/>
            <w:noWrap/>
            <w:vAlign w:val="center"/>
          </w:tcPr>
          <w:p w14:paraId="34F8654F"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92D050"/>
            <w:noWrap/>
            <w:vAlign w:val="center"/>
          </w:tcPr>
          <w:p w14:paraId="3853536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6FB2753F"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administratívna finančná kontrola; ŽOP schválená bez zistení, </w:t>
            </w:r>
          </w:p>
        </w:tc>
      </w:tr>
      <w:tr w:rsidR="00B650E5" w:rsidRPr="00A30C60" w14:paraId="766462A3" w14:textId="77777777" w:rsidTr="00D11AFB">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0168BCFA"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Administratívna finančná kontrola - ŽOP schválená v zníženej sume</w:t>
            </w:r>
          </w:p>
        </w:tc>
        <w:tc>
          <w:tcPr>
            <w:tcW w:w="993" w:type="dxa"/>
            <w:tcBorders>
              <w:top w:val="nil"/>
              <w:left w:val="nil"/>
              <w:bottom w:val="single" w:sz="4" w:space="0" w:color="auto"/>
              <w:right w:val="single" w:sz="4" w:space="0" w:color="auto"/>
            </w:tcBorders>
            <w:shd w:val="clear" w:color="000000" w:fill="F79646"/>
            <w:noWrap/>
            <w:vAlign w:val="center"/>
          </w:tcPr>
          <w:p w14:paraId="2A2675A0"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F79646"/>
            <w:noWrap/>
            <w:vAlign w:val="center"/>
          </w:tcPr>
          <w:p w14:paraId="207B3473"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F79646"/>
            <w:noWrap/>
            <w:vAlign w:val="center"/>
          </w:tcPr>
          <w:p w14:paraId="3197DD0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2A075569"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administratívna finančná kontrola; RO navrhuje schváliť nárokované finančné prostriedky/deklarované výdavky prijímateľa v zníženej sume o výšku neoprávnených výdavkov, resp. o sumu, ktorá prekračuje maximálnu výšku zálohovej platby.</w:t>
            </w:r>
          </w:p>
        </w:tc>
      </w:tr>
      <w:tr w:rsidR="00B650E5" w:rsidRPr="00A30C60" w14:paraId="7EAADFF8" w14:textId="77777777" w:rsidTr="00D11AFB">
        <w:trPr>
          <w:trHeight w:val="1275"/>
        </w:trPr>
        <w:tc>
          <w:tcPr>
            <w:tcW w:w="3403" w:type="dxa"/>
            <w:tcBorders>
              <w:top w:val="nil"/>
              <w:left w:val="single" w:sz="4" w:space="0" w:color="auto"/>
              <w:bottom w:val="single" w:sz="4" w:space="0" w:color="auto"/>
              <w:right w:val="single" w:sz="4" w:space="0" w:color="auto"/>
            </w:tcBorders>
            <w:shd w:val="clear" w:color="000000" w:fill="F79646"/>
            <w:vAlign w:val="center"/>
          </w:tcPr>
          <w:p w14:paraId="04290656"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Administratívna finančná kontrola - ŽOP Schválená  s vyňatím výdavkov</w:t>
            </w:r>
          </w:p>
        </w:tc>
        <w:tc>
          <w:tcPr>
            <w:tcW w:w="993" w:type="dxa"/>
            <w:tcBorders>
              <w:top w:val="nil"/>
              <w:left w:val="nil"/>
              <w:bottom w:val="single" w:sz="4" w:space="0" w:color="auto"/>
              <w:right w:val="single" w:sz="4" w:space="0" w:color="auto"/>
            </w:tcBorders>
            <w:shd w:val="clear" w:color="000000" w:fill="F79646"/>
            <w:noWrap/>
            <w:vAlign w:val="center"/>
          </w:tcPr>
          <w:p w14:paraId="34E4B78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F79646"/>
            <w:noWrap/>
            <w:vAlign w:val="center"/>
          </w:tcPr>
          <w:p w14:paraId="4561AF4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F79646"/>
            <w:noWrap/>
            <w:vAlign w:val="center"/>
          </w:tcPr>
          <w:p w14:paraId="4F8E0C96"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1785AF83"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administratívna finančná kontrola; RO navrhuje schváliť nárokované finančné prostriedky/deklarované výdavky bez výdavkov, pri ktorých počas kontroly rozhodol, že budú predmetom samostatnej kontroly z dôvodu doplnenia/zmeny/overenia skutočností na mieste a pod. </w:t>
            </w:r>
          </w:p>
        </w:tc>
      </w:tr>
      <w:tr w:rsidR="00B650E5" w:rsidRPr="00A30C60" w14:paraId="15F9F10E" w14:textId="77777777" w:rsidTr="00D11AFB">
        <w:trPr>
          <w:trHeight w:val="1365"/>
        </w:trPr>
        <w:tc>
          <w:tcPr>
            <w:tcW w:w="3403" w:type="dxa"/>
            <w:tcBorders>
              <w:top w:val="nil"/>
              <w:left w:val="single" w:sz="4" w:space="0" w:color="auto"/>
              <w:bottom w:val="single" w:sz="4" w:space="0" w:color="auto"/>
              <w:right w:val="single" w:sz="4" w:space="0" w:color="auto"/>
            </w:tcBorders>
            <w:shd w:val="clear" w:color="000000" w:fill="FF0000"/>
            <w:vAlign w:val="center"/>
          </w:tcPr>
          <w:p w14:paraId="7C5F33D0"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Administratívna finančná kontrola - ŽOP zamietnutá</w:t>
            </w:r>
          </w:p>
        </w:tc>
        <w:tc>
          <w:tcPr>
            <w:tcW w:w="993" w:type="dxa"/>
            <w:tcBorders>
              <w:top w:val="nil"/>
              <w:left w:val="nil"/>
              <w:bottom w:val="single" w:sz="4" w:space="0" w:color="auto"/>
              <w:right w:val="single" w:sz="4" w:space="0" w:color="auto"/>
            </w:tcBorders>
            <w:shd w:val="clear" w:color="000000" w:fill="FF0000"/>
            <w:noWrap/>
            <w:vAlign w:val="center"/>
          </w:tcPr>
          <w:p w14:paraId="6B53A32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ŽOP</w:t>
            </w:r>
          </w:p>
        </w:tc>
        <w:tc>
          <w:tcPr>
            <w:tcW w:w="1920" w:type="dxa"/>
            <w:tcBorders>
              <w:top w:val="nil"/>
              <w:left w:val="nil"/>
              <w:bottom w:val="single" w:sz="4" w:space="0" w:color="auto"/>
              <w:right w:val="single" w:sz="4" w:space="0" w:color="auto"/>
            </w:tcBorders>
            <w:shd w:val="clear" w:color="000000" w:fill="FF0000"/>
            <w:noWrap/>
            <w:vAlign w:val="center"/>
          </w:tcPr>
          <w:p w14:paraId="02A7F5DB"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FF0000"/>
            <w:noWrap/>
            <w:vAlign w:val="center"/>
          </w:tcPr>
          <w:p w14:paraId="008F737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1A4CF905"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administratívna finančná kontrola; Neschválená ŽoP. RO neschvaľuje všetky nárokované finančné prostriedky/deklarované výdavky.</w:t>
            </w:r>
          </w:p>
        </w:tc>
      </w:tr>
      <w:tr w:rsidR="00B650E5" w:rsidRPr="00A30C60" w14:paraId="75C46798"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30A16E4D"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projektu bez zistení</w:t>
            </w:r>
          </w:p>
        </w:tc>
        <w:tc>
          <w:tcPr>
            <w:tcW w:w="993" w:type="dxa"/>
            <w:tcBorders>
              <w:top w:val="nil"/>
              <w:left w:val="nil"/>
              <w:bottom w:val="single" w:sz="4" w:space="0" w:color="auto"/>
              <w:right w:val="single" w:sz="4" w:space="0" w:color="auto"/>
            </w:tcBorders>
            <w:shd w:val="clear" w:color="000000" w:fill="92D050"/>
            <w:noWrap/>
            <w:vAlign w:val="center"/>
          </w:tcPr>
          <w:p w14:paraId="3C113F32"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92D050"/>
            <w:noWrap/>
            <w:vAlign w:val="center"/>
          </w:tcPr>
          <w:p w14:paraId="7CB22831"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92D050"/>
            <w:noWrap/>
            <w:vAlign w:val="center"/>
          </w:tcPr>
          <w:p w14:paraId="59BCE77F"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3F09CB2E"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základná finančná kontrola/administratívna finančná kontrola/finančná kontrola na mieste; Kontrola bez zistení</w:t>
            </w:r>
          </w:p>
        </w:tc>
      </w:tr>
      <w:tr w:rsidR="00B650E5" w:rsidRPr="00A30C60" w14:paraId="102AA501" w14:textId="77777777" w:rsidTr="00D11AFB">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tcPr>
          <w:p w14:paraId="0AC721CA"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projektu so zisteniami - nezávažnými</w:t>
            </w:r>
          </w:p>
        </w:tc>
        <w:tc>
          <w:tcPr>
            <w:tcW w:w="993" w:type="dxa"/>
            <w:tcBorders>
              <w:top w:val="nil"/>
              <w:left w:val="nil"/>
              <w:bottom w:val="single" w:sz="4" w:space="0" w:color="auto"/>
              <w:right w:val="single" w:sz="4" w:space="0" w:color="auto"/>
            </w:tcBorders>
            <w:shd w:val="clear" w:color="000000" w:fill="F79646"/>
            <w:noWrap/>
            <w:vAlign w:val="center"/>
          </w:tcPr>
          <w:p w14:paraId="146807B2"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75FBEBD0"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5C927496"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Oranžové</w:t>
            </w:r>
          </w:p>
        </w:tc>
        <w:tc>
          <w:tcPr>
            <w:tcW w:w="3167" w:type="dxa"/>
            <w:tcBorders>
              <w:top w:val="nil"/>
              <w:left w:val="nil"/>
              <w:bottom w:val="single" w:sz="4" w:space="0" w:color="auto"/>
              <w:right w:val="single" w:sz="4" w:space="0" w:color="auto"/>
            </w:tcBorders>
            <w:shd w:val="clear" w:color="000000" w:fill="F79646"/>
            <w:vAlign w:val="bottom"/>
          </w:tcPr>
          <w:p w14:paraId="798F793A"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základná finančná kontrola/administratívna finančná kontrola/finančná kontrola na mieste; Zistené neoprávnené výdavky, nepodstatné porušenie zmluvy a pod.</w:t>
            </w:r>
          </w:p>
        </w:tc>
      </w:tr>
      <w:tr w:rsidR="00B650E5" w:rsidRPr="00A30C60" w14:paraId="75DFE844" w14:textId="77777777" w:rsidTr="00D11AFB">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tcPr>
          <w:p w14:paraId="4F08BF73" w14:textId="77777777" w:rsidR="00B650E5" w:rsidRPr="000E286B" w:rsidRDefault="00B650E5" w:rsidP="00D11AFB">
            <w:pPr>
              <w:rPr>
                <w:rFonts w:ascii="Calibri" w:hAnsi="Calibri" w:cs="Arial"/>
                <w:color w:val="000000"/>
              </w:rPr>
            </w:pPr>
            <w:r w:rsidRPr="000E286B">
              <w:rPr>
                <w:rFonts w:ascii="Calibri" w:hAnsi="Calibri" w:cs="Arial"/>
                <w:color w:val="000000"/>
                <w:sz w:val="22"/>
                <w:szCs w:val="22"/>
              </w:rPr>
              <w:t>Kontrola projektu so zisteniami - závažnými</w:t>
            </w:r>
          </w:p>
        </w:tc>
        <w:tc>
          <w:tcPr>
            <w:tcW w:w="993" w:type="dxa"/>
            <w:tcBorders>
              <w:top w:val="nil"/>
              <w:left w:val="nil"/>
              <w:bottom w:val="single" w:sz="4" w:space="0" w:color="auto"/>
              <w:right w:val="single" w:sz="4" w:space="0" w:color="auto"/>
            </w:tcBorders>
            <w:shd w:val="clear" w:color="000000" w:fill="FF0000"/>
            <w:noWrap/>
            <w:vAlign w:val="center"/>
          </w:tcPr>
          <w:p w14:paraId="1DA57F70"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F0000"/>
            <w:noWrap/>
            <w:vAlign w:val="center"/>
          </w:tcPr>
          <w:p w14:paraId="7116AB4D"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F0000"/>
            <w:noWrap/>
            <w:vAlign w:val="center"/>
          </w:tcPr>
          <w:p w14:paraId="0DB68AFB"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2EFE8924"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základná finančná kontrola/administratívna finančná kontrola/finančná kontrola na mieste; Zistené podstatné porušenie zmluvy</w:t>
            </w:r>
          </w:p>
        </w:tc>
      </w:tr>
      <w:tr w:rsidR="00B650E5" w:rsidRPr="00A30C60" w14:paraId="1CB13892" w14:textId="77777777" w:rsidTr="00D11AFB">
        <w:trPr>
          <w:trHeight w:val="765"/>
        </w:trPr>
        <w:tc>
          <w:tcPr>
            <w:tcW w:w="3403" w:type="dxa"/>
            <w:tcBorders>
              <w:top w:val="nil"/>
              <w:left w:val="single" w:sz="4" w:space="0" w:color="auto"/>
              <w:bottom w:val="single" w:sz="4" w:space="0" w:color="auto"/>
              <w:right w:val="single" w:sz="4" w:space="0" w:color="auto"/>
            </w:tcBorders>
            <w:shd w:val="clear" w:color="000000" w:fill="F79646"/>
            <w:vAlign w:val="center"/>
          </w:tcPr>
          <w:p w14:paraId="29DE6FC4"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lastRenderedPageBreak/>
              <w:t>Kontrola projektu ukončená z dôvodu pozastavenia realizácie projektu</w:t>
            </w:r>
          </w:p>
        </w:tc>
        <w:tc>
          <w:tcPr>
            <w:tcW w:w="993" w:type="dxa"/>
            <w:tcBorders>
              <w:top w:val="nil"/>
              <w:left w:val="nil"/>
              <w:bottom w:val="single" w:sz="4" w:space="0" w:color="auto"/>
              <w:right w:val="single" w:sz="4" w:space="0" w:color="auto"/>
            </w:tcBorders>
            <w:shd w:val="clear" w:color="000000" w:fill="F79646"/>
            <w:noWrap/>
            <w:vAlign w:val="center"/>
          </w:tcPr>
          <w:p w14:paraId="55727DCE"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tcPr>
          <w:p w14:paraId="24512C3E"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tcPr>
          <w:p w14:paraId="591B0949" w14:textId="77777777" w:rsidR="00B650E5" w:rsidRPr="000E286B" w:rsidRDefault="00B650E5" w:rsidP="00D11AFB">
            <w:pPr>
              <w:jc w:val="center"/>
              <w:rPr>
                <w:rFonts w:ascii="Calibri" w:hAnsi="Calibri" w:cs="Arial"/>
                <w:color w:val="000000"/>
                <w:sz w:val="20"/>
                <w:szCs w:val="20"/>
              </w:rPr>
            </w:pPr>
            <w:r w:rsidRPr="000E286B">
              <w:rPr>
                <w:rFonts w:ascii="Calibri" w:hAnsi="Calibri" w:cs="Arial"/>
                <w:color w:val="000000"/>
                <w:sz w:val="20"/>
                <w:szCs w:val="20"/>
              </w:rPr>
              <w:t>Oranžová</w:t>
            </w:r>
          </w:p>
        </w:tc>
        <w:tc>
          <w:tcPr>
            <w:tcW w:w="3167" w:type="dxa"/>
            <w:tcBorders>
              <w:top w:val="nil"/>
              <w:left w:val="nil"/>
              <w:bottom w:val="single" w:sz="4" w:space="0" w:color="auto"/>
              <w:right w:val="single" w:sz="4" w:space="0" w:color="auto"/>
            </w:tcBorders>
            <w:shd w:val="clear" w:color="000000" w:fill="F79646"/>
            <w:vAlign w:val="bottom"/>
          </w:tcPr>
          <w:p w14:paraId="7D400949"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 xml:space="preserve">základná finančná kontrola/administratívna finančná kontrola/finančná kontrola na mieste; RO aplikuje v prípade pozastavenia realizácie projektu. </w:t>
            </w:r>
          </w:p>
        </w:tc>
      </w:tr>
      <w:tr w:rsidR="00B650E5" w:rsidRPr="00A30C60" w14:paraId="575F6016"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tcPr>
          <w:p w14:paraId="55D4070A"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DP bez zistení</w:t>
            </w:r>
          </w:p>
        </w:tc>
        <w:tc>
          <w:tcPr>
            <w:tcW w:w="993" w:type="dxa"/>
            <w:tcBorders>
              <w:top w:val="nil"/>
              <w:left w:val="nil"/>
              <w:bottom w:val="single" w:sz="4" w:space="0" w:color="auto"/>
              <w:right w:val="single" w:sz="4" w:space="0" w:color="auto"/>
            </w:tcBorders>
            <w:shd w:val="clear" w:color="000000" w:fill="92D050"/>
            <w:noWrap/>
            <w:vAlign w:val="center"/>
          </w:tcPr>
          <w:p w14:paraId="421EE7D8"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92D050"/>
            <w:noWrap/>
            <w:vAlign w:val="center"/>
          </w:tcPr>
          <w:p w14:paraId="36B121CF"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DP</w:t>
            </w:r>
          </w:p>
        </w:tc>
        <w:tc>
          <w:tcPr>
            <w:tcW w:w="1008" w:type="dxa"/>
            <w:tcBorders>
              <w:top w:val="nil"/>
              <w:left w:val="nil"/>
              <w:bottom w:val="single" w:sz="4" w:space="0" w:color="auto"/>
              <w:right w:val="single" w:sz="4" w:space="0" w:color="auto"/>
            </w:tcBorders>
            <w:shd w:val="clear" w:color="000000" w:fill="92D050"/>
            <w:noWrap/>
            <w:vAlign w:val="center"/>
          </w:tcPr>
          <w:p w14:paraId="446AE1F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tcPr>
          <w:p w14:paraId="536B5316"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finančná kontrola na mieste; Kontrola delegovaných právomocí bez zistení</w:t>
            </w:r>
          </w:p>
        </w:tc>
      </w:tr>
      <w:tr w:rsidR="00B650E5" w:rsidRPr="00A30C60" w14:paraId="1DAE9DF2"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00F617D1"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DP so zisteniami - nezávažnými</w:t>
            </w:r>
          </w:p>
        </w:tc>
        <w:tc>
          <w:tcPr>
            <w:tcW w:w="993" w:type="dxa"/>
            <w:tcBorders>
              <w:top w:val="nil"/>
              <w:left w:val="nil"/>
              <w:bottom w:val="single" w:sz="4" w:space="0" w:color="auto"/>
              <w:right w:val="single" w:sz="4" w:space="0" w:color="auto"/>
            </w:tcBorders>
            <w:shd w:val="clear" w:color="000000" w:fill="F79646"/>
            <w:noWrap/>
            <w:vAlign w:val="center"/>
          </w:tcPr>
          <w:p w14:paraId="7BFC6F02"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1E3BA7E0"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DP</w:t>
            </w:r>
          </w:p>
        </w:tc>
        <w:tc>
          <w:tcPr>
            <w:tcW w:w="1008" w:type="dxa"/>
            <w:tcBorders>
              <w:top w:val="nil"/>
              <w:left w:val="nil"/>
              <w:bottom w:val="single" w:sz="4" w:space="0" w:color="auto"/>
              <w:right w:val="single" w:sz="4" w:space="0" w:color="auto"/>
            </w:tcBorders>
            <w:shd w:val="clear" w:color="000000" w:fill="F79646"/>
            <w:noWrap/>
            <w:vAlign w:val="center"/>
          </w:tcPr>
          <w:p w14:paraId="71A3FD09" w14:textId="77777777" w:rsidR="00B650E5" w:rsidRPr="000E286B" w:rsidRDefault="00B650E5" w:rsidP="00D11AFB">
            <w:pPr>
              <w:jc w:val="center"/>
              <w:rPr>
                <w:rFonts w:ascii="Calibri" w:hAnsi="Calibri" w:cs="Arial"/>
                <w:color w:val="000000"/>
                <w:sz w:val="20"/>
                <w:szCs w:val="20"/>
              </w:rPr>
            </w:pPr>
            <w:r w:rsidRPr="000E286B">
              <w:rPr>
                <w:rFonts w:ascii="Calibri" w:hAnsi="Calibri" w:cs="Arial"/>
                <w:color w:val="000000"/>
                <w:sz w:val="20"/>
                <w:szCs w:val="20"/>
              </w:rPr>
              <w:t>Oranžové</w:t>
            </w:r>
          </w:p>
        </w:tc>
        <w:tc>
          <w:tcPr>
            <w:tcW w:w="3167" w:type="dxa"/>
            <w:tcBorders>
              <w:top w:val="nil"/>
              <w:left w:val="nil"/>
              <w:bottom w:val="single" w:sz="4" w:space="0" w:color="auto"/>
              <w:right w:val="single" w:sz="4" w:space="0" w:color="auto"/>
            </w:tcBorders>
            <w:shd w:val="clear" w:color="000000" w:fill="F79646"/>
            <w:vAlign w:val="bottom"/>
          </w:tcPr>
          <w:p w14:paraId="3B2F391B"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finančná kontrola na mieste; Kontrola delegovaných právomocí s nezávažnými zisteniami</w:t>
            </w:r>
          </w:p>
        </w:tc>
      </w:tr>
      <w:tr w:rsidR="00B650E5" w:rsidRPr="00A30C60" w14:paraId="37560967"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FF0000"/>
            <w:vAlign w:val="center"/>
          </w:tcPr>
          <w:p w14:paraId="4EEE1E49"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DP so zisteniami - závažnými</w:t>
            </w:r>
          </w:p>
        </w:tc>
        <w:tc>
          <w:tcPr>
            <w:tcW w:w="993" w:type="dxa"/>
            <w:tcBorders>
              <w:top w:val="nil"/>
              <w:left w:val="nil"/>
              <w:bottom w:val="single" w:sz="4" w:space="0" w:color="auto"/>
              <w:right w:val="single" w:sz="4" w:space="0" w:color="auto"/>
            </w:tcBorders>
            <w:shd w:val="clear" w:color="000000" w:fill="FF0000"/>
            <w:noWrap/>
            <w:vAlign w:val="center"/>
          </w:tcPr>
          <w:p w14:paraId="200CBA67"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F0000"/>
            <w:noWrap/>
            <w:vAlign w:val="center"/>
          </w:tcPr>
          <w:p w14:paraId="2357B9C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kontrola DP</w:t>
            </w:r>
          </w:p>
        </w:tc>
        <w:tc>
          <w:tcPr>
            <w:tcW w:w="1008" w:type="dxa"/>
            <w:tcBorders>
              <w:top w:val="nil"/>
              <w:left w:val="nil"/>
              <w:bottom w:val="single" w:sz="4" w:space="0" w:color="auto"/>
              <w:right w:val="single" w:sz="4" w:space="0" w:color="auto"/>
            </w:tcBorders>
            <w:shd w:val="clear" w:color="000000" w:fill="FF0000"/>
            <w:noWrap/>
            <w:vAlign w:val="center"/>
          </w:tcPr>
          <w:p w14:paraId="777E5E74"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tcPr>
          <w:p w14:paraId="45FA8891"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finančná kontrola na mieste; Kontrola delegovaných právomocí so závažnými zisteniami</w:t>
            </w:r>
          </w:p>
        </w:tc>
      </w:tr>
      <w:tr w:rsidR="00B650E5" w:rsidRPr="00A30C60" w14:paraId="06355BE9"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tcPr>
          <w:p w14:paraId="7AB38F61"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Kontrola DP ukončená z dôvodu pozastavenia výkonu kompetencií</w:t>
            </w:r>
          </w:p>
        </w:tc>
        <w:tc>
          <w:tcPr>
            <w:tcW w:w="993" w:type="dxa"/>
            <w:tcBorders>
              <w:top w:val="nil"/>
              <w:left w:val="nil"/>
              <w:bottom w:val="single" w:sz="4" w:space="0" w:color="auto"/>
              <w:right w:val="single" w:sz="4" w:space="0" w:color="auto"/>
            </w:tcBorders>
            <w:shd w:val="clear" w:color="000000" w:fill="F79646"/>
            <w:noWrap/>
            <w:vAlign w:val="center"/>
          </w:tcPr>
          <w:p w14:paraId="559069B5"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tcPr>
          <w:p w14:paraId="20342D22" w14:textId="77777777" w:rsidR="00B650E5" w:rsidRPr="000E286B" w:rsidRDefault="00B650E5" w:rsidP="00D11AFB">
            <w:pPr>
              <w:jc w:val="center"/>
              <w:rPr>
                <w:rFonts w:ascii="Calibri" w:hAnsi="Calibri" w:cs="Arial"/>
                <w:color w:val="000000"/>
                <w:sz w:val="20"/>
                <w:szCs w:val="20"/>
              </w:rPr>
            </w:pPr>
            <w:r w:rsidRPr="000E286B">
              <w:rPr>
                <w:rFonts w:ascii="Calibri" w:hAnsi="Calibri" w:cs="Arial"/>
                <w:color w:val="000000"/>
                <w:sz w:val="20"/>
                <w:szCs w:val="20"/>
              </w:rPr>
              <w:t>kontrola DP</w:t>
            </w:r>
          </w:p>
        </w:tc>
        <w:tc>
          <w:tcPr>
            <w:tcW w:w="1008" w:type="dxa"/>
            <w:tcBorders>
              <w:top w:val="nil"/>
              <w:left w:val="nil"/>
              <w:bottom w:val="single" w:sz="4" w:space="0" w:color="auto"/>
              <w:right w:val="single" w:sz="4" w:space="0" w:color="auto"/>
            </w:tcBorders>
            <w:shd w:val="clear" w:color="000000" w:fill="F79646"/>
            <w:noWrap/>
            <w:vAlign w:val="center"/>
          </w:tcPr>
          <w:p w14:paraId="0CB425CE" w14:textId="77777777" w:rsidR="00B650E5" w:rsidRPr="000E286B" w:rsidRDefault="00B650E5" w:rsidP="00D11AFB">
            <w:pPr>
              <w:jc w:val="center"/>
              <w:rPr>
                <w:rFonts w:ascii="Calibri" w:hAnsi="Calibri" w:cs="Arial"/>
                <w:color w:val="000000"/>
              </w:rPr>
            </w:pPr>
            <w:r w:rsidRPr="000E286B">
              <w:rPr>
                <w:rFonts w:ascii="Calibri" w:hAnsi="Calibr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tcPr>
          <w:p w14:paraId="761B0901" w14:textId="77777777" w:rsidR="00B650E5" w:rsidRPr="000E286B" w:rsidRDefault="00B650E5" w:rsidP="00D11AFB">
            <w:pPr>
              <w:rPr>
                <w:rFonts w:ascii="Calibri" w:hAnsi="Calibri" w:cs="Arial"/>
                <w:color w:val="000000"/>
                <w:sz w:val="20"/>
                <w:szCs w:val="20"/>
              </w:rPr>
            </w:pPr>
            <w:r w:rsidRPr="000E286B">
              <w:rPr>
                <w:rFonts w:ascii="Calibri" w:hAnsi="Calibri" w:cs="Arial"/>
                <w:color w:val="000000"/>
                <w:sz w:val="20"/>
                <w:szCs w:val="20"/>
              </w:rPr>
              <w:t>finančná kontrola na mieste; Kontrola delegovaných právomocí ukončená bez meritórneho rozhodnutia</w:t>
            </w:r>
          </w:p>
        </w:tc>
      </w:tr>
    </w:tbl>
    <w:p w14:paraId="4813A687" w14:textId="77777777" w:rsidR="00B650E5" w:rsidRDefault="00B650E5">
      <w:pPr>
        <w:pStyle w:val="SRK5"/>
      </w:pPr>
      <w:bookmarkStart w:id="293" w:name="_Toc453234020"/>
      <w:bookmarkStart w:id="294" w:name="_Toc501630073"/>
      <w:r>
        <w:t>3.3.6.1.1 Základné povinnosti a oprávnenia riadiaceho orgánu pri výkone kontroly projektu</w:t>
      </w:r>
      <w:bookmarkEnd w:id="293"/>
      <w:bookmarkEnd w:id="294"/>
      <w:r>
        <w:t xml:space="preserve">  </w:t>
      </w:r>
    </w:p>
    <w:p w14:paraId="34E85B51" w14:textId="77777777" w:rsidR="00B650E5" w:rsidRDefault="00B650E5">
      <w:pPr>
        <w:pStyle w:val="Odsekzoznamu"/>
        <w:numPr>
          <w:ilvl w:val="0"/>
          <w:numId w:val="31"/>
        </w:numPr>
        <w:spacing w:before="120" w:after="120"/>
        <w:ind w:left="426" w:hanging="426"/>
        <w:contextualSpacing w:val="0"/>
        <w:jc w:val="both"/>
      </w:pPr>
      <w:r>
        <w:t xml:space="preserve">RO je povinný overiť, či prijímatelia vynakladajú finančné prostriedky v súlade so zásadami hospodárnosti, efektívnosti, účinnosti a účelnosti (zásada riadneho finančného hospodárenia). </w:t>
      </w:r>
    </w:p>
    <w:p w14:paraId="5103F6D6" w14:textId="77777777" w:rsidR="00B650E5" w:rsidRDefault="00B650E5">
      <w:pPr>
        <w:pStyle w:val="Odsekzoznamu"/>
        <w:numPr>
          <w:ilvl w:val="0"/>
          <w:numId w:val="30"/>
        </w:numPr>
        <w:spacing w:before="120" w:after="120"/>
        <w:ind w:left="851" w:hanging="425"/>
        <w:contextualSpacing w:val="0"/>
        <w:jc w:val="both"/>
      </w:pPr>
      <w:r>
        <w:rPr>
          <w:b/>
          <w:i/>
        </w:rPr>
        <w:t>Hospodárnosťou</w:t>
      </w:r>
      <w:r>
        <w:t xml:space="preserve"> sa rozumie vynaloženie verejných financií na vykonanie činnosti alebo obstaranie tovarov, prác a služieb v správnom čase, vo vhodnom množstve a kvalite za najlepšiu cenu</w:t>
      </w:r>
      <w:r w:rsidR="008F6E58">
        <w:t>.</w:t>
      </w:r>
      <w:r>
        <w:t xml:space="preserve">  Na úrovni projektu sa hospodárnosťou rozumie minimalizácia výdavkov nevyhnutných na realizáciu projektu pri rešpektovaní cieľov projektu pri zachovaní vyššie uvedených podmienok. </w:t>
      </w:r>
    </w:p>
    <w:p w14:paraId="2021435D" w14:textId="77777777" w:rsidR="00B650E5" w:rsidRDefault="00B650E5">
      <w:pPr>
        <w:pStyle w:val="Odsekzoznamu"/>
        <w:numPr>
          <w:ilvl w:val="0"/>
          <w:numId w:val="30"/>
        </w:numPr>
        <w:spacing w:before="120" w:after="120"/>
        <w:ind w:left="851" w:hanging="425"/>
        <w:contextualSpacing w:val="0"/>
        <w:jc w:val="both"/>
      </w:pPr>
      <w:r>
        <w:rPr>
          <w:b/>
          <w:i/>
        </w:rPr>
        <w:t>Efektívnosťou</w:t>
      </w:r>
      <w:r>
        <w:t xml:space="preserve"> sa rozumie najvýhodnejší vzájomný pomer medzi použitými verejnými financiami a dosiahnutými výsledkami. Na úrovni projektu sa efektívnosťou rozumie maximálne dosahovanie cieľov vo vzťahu k poskytnutým finančným prostriedkom. </w:t>
      </w:r>
    </w:p>
    <w:p w14:paraId="37221589" w14:textId="77777777" w:rsidR="00B650E5" w:rsidRDefault="00B650E5">
      <w:pPr>
        <w:pStyle w:val="Odsekzoznamu"/>
        <w:numPr>
          <w:ilvl w:val="0"/>
          <w:numId w:val="30"/>
        </w:numPr>
        <w:spacing w:before="120" w:after="120"/>
        <w:ind w:left="851" w:hanging="425"/>
        <w:contextualSpacing w:val="0"/>
        <w:jc w:val="both"/>
      </w:pPr>
      <w:r>
        <w:rPr>
          <w:b/>
          <w:i/>
        </w:rPr>
        <w:t>Účinnosťou</w:t>
      </w:r>
      <w:r>
        <w:t xml:space="preserve"> sa rozumie plnenie určených cieľov a dosahovanie plánovaných výsledkov vzhľadom na použité verejné financie. Na úrovni projektu sa účinnosťou rozumie vzťah medzi plánovanými výstupmi projektu a skutočnými výstupmi projektu. </w:t>
      </w:r>
    </w:p>
    <w:p w14:paraId="31A0FEF0" w14:textId="77777777" w:rsidR="00B650E5" w:rsidRDefault="00B650E5">
      <w:pPr>
        <w:pStyle w:val="Odsekzoznamu"/>
        <w:numPr>
          <w:ilvl w:val="0"/>
          <w:numId w:val="30"/>
        </w:numPr>
        <w:spacing w:before="120" w:after="120"/>
        <w:ind w:left="851" w:hanging="425"/>
        <w:contextualSpacing w:val="0"/>
        <w:jc w:val="both"/>
      </w:pPr>
      <w:r>
        <w:rPr>
          <w:b/>
          <w:i/>
        </w:rPr>
        <w:t>Účelnosťou</w:t>
      </w:r>
      <w:r>
        <w:t xml:space="preserve"> sa rozumie vzťah medzi určeným účelom použitia verejných financií a skutočným účelom ich použitia. Na úrovni projektu sa účelnosťou rozumie priamo väzba na projekt a nevyhnutnosť pre realizáciu projektu. </w:t>
      </w:r>
    </w:p>
    <w:p w14:paraId="086112AF" w14:textId="77777777" w:rsidR="00B650E5" w:rsidRDefault="00B650E5">
      <w:pPr>
        <w:pStyle w:val="Odsekzoznamu"/>
        <w:numPr>
          <w:ilvl w:val="0"/>
          <w:numId w:val="31"/>
        </w:numPr>
        <w:spacing w:before="120" w:after="120"/>
        <w:ind w:left="426" w:hanging="426"/>
        <w:contextualSpacing w:val="0"/>
        <w:jc w:val="both"/>
      </w:pPr>
      <w:r>
        <w:t xml:space="preserve">Dôležitou úlohou kontroly je nastaviť také účinné kontrolné mechanizmy, ktoré by pri porovnávaní plánovaného a reálneho stavu zabezpečili identifikáciu a nápravu možného nepriaznivého stavu pri plnení zmluvy o NFP a zároveň zabezpečili zákonnosť, oprávnenosť a správnosť vykázaných výdavkov.   </w:t>
      </w:r>
    </w:p>
    <w:p w14:paraId="0F1680B8" w14:textId="77777777" w:rsidR="00B650E5" w:rsidRDefault="00B650E5">
      <w:pPr>
        <w:pStyle w:val="Odsekzoznamu"/>
        <w:numPr>
          <w:ilvl w:val="0"/>
          <w:numId w:val="31"/>
        </w:numPr>
        <w:spacing w:before="120" w:after="120"/>
        <w:ind w:left="426" w:hanging="426"/>
        <w:contextualSpacing w:val="0"/>
        <w:jc w:val="both"/>
      </w:pP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p>
    <w:p w14:paraId="6D54CEB6" w14:textId="77777777" w:rsidR="00F72BC8" w:rsidRPr="006E78C3" w:rsidRDefault="00B650E5">
      <w:pPr>
        <w:pStyle w:val="Odsekzoznamu"/>
        <w:numPr>
          <w:ilvl w:val="0"/>
          <w:numId w:val="31"/>
        </w:numPr>
        <w:spacing w:before="120" w:after="120"/>
        <w:ind w:left="426" w:hanging="426"/>
        <w:contextualSpacing w:val="0"/>
        <w:jc w:val="both"/>
      </w:pPr>
      <w:r w:rsidRPr="001D1450">
        <w:t>RO je na vyžiadanie povinný poskytnúť informácie o vykonaných kontrolách vrátane ich záverov iným subjektom vykonávajúcim kontrolu v zmysle zmluvy o NFP a legislatívy EÚ a SR (najmä CO, OA, zástupcovia EK</w:t>
      </w:r>
      <w:r w:rsidRPr="002E3909">
        <w:t xml:space="preserve"> a EDA, NKÚ, osoby vykonávajúce vládny audit, ÚVA, CKO, OCKÚ OLAF a pod).</w:t>
      </w:r>
    </w:p>
    <w:p w14:paraId="698AFAF9" w14:textId="77777777" w:rsidR="00B650E5" w:rsidRDefault="00F72BC8" w:rsidP="001B709E">
      <w:pPr>
        <w:pStyle w:val="Odsekzoznamu"/>
        <w:numPr>
          <w:ilvl w:val="0"/>
          <w:numId w:val="31"/>
        </w:numPr>
        <w:spacing w:before="120" w:after="120"/>
        <w:ind w:left="426" w:hanging="426"/>
        <w:contextualSpacing w:val="0"/>
        <w:jc w:val="both"/>
      </w:pPr>
      <w:r>
        <w:lastRenderedPageBreak/>
        <w:t xml:space="preserve">Ak je to nevyhnutné </w:t>
      </w:r>
      <w:r w:rsidR="00AD73AC">
        <w:t>na</w:t>
      </w:r>
      <w:r>
        <w:t xml:space="preserve"> výkon kontroly projektu, RO je oprávnený požiadať iný subjekt  vykonávajúci kontrolu v zmysle legislatívy EÚ a SR (</w:t>
      </w:r>
      <w:r w:rsidR="001D1450">
        <w:t xml:space="preserve">najmä daňový poriadok, </w:t>
      </w:r>
      <w:r w:rsidR="001D1450" w:rsidRPr="001D1450">
        <w:t>stavebný zákon</w:t>
      </w:r>
      <w:r w:rsidR="00D853E2">
        <w:t>, zákon</w:t>
      </w:r>
      <w:r w:rsidR="001D1450">
        <w:t xml:space="preserve"> č. 125/2006 Z. z. o inšpekcii práce a o zmene a doplnení zákona č. 82/2005 Z. z. o</w:t>
      </w:r>
      <w:r w:rsidR="00471F4F">
        <w:t> </w:t>
      </w:r>
      <w:r w:rsidR="001D1450">
        <w:t xml:space="preserve">nelegálnej práci a nelegálnom zamestnávaní a o zmene a doplnení niektorých zákonov v znení neskorších predpisov, </w:t>
      </w:r>
      <w:r w:rsidR="00D853E2">
        <w:t>zákon č. 525/2003 Z. z.</w:t>
      </w:r>
      <w:r w:rsidR="00D853E2" w:rsidRPr="00D853E2">
        <w:t xml:space="preserve"> </w:t>
      </w:r>
      <w:r w:rsidR="00D853E2">
        <w:t xml:space="preserve">o </w:t>
      </w:r>
      <w:r w:rsidR="00D853E2" w:rsidRPr="00D853E2">
        <w:t>štátnej správe starostlivosti o životné prostredie a o zmene a doplnení niektorých zákonov</w:t>
      </w:r>
      <w:r w:rsidR="00D853E2">
        <w:t xml:space="preserve"> v znení neskorších predpisov a pod.</w:t>
      </w:r>
      <w:r>
        <w:t>) o</w:t>
      </w:r>
      <w:r w:rsidR="00471F4F">
        <w:t> </w:t>
      </w:r>
      <w:r>
        <w:t>vykonanie kontroly</w:t>
      </w:r>
      <w:r w:rsidR="008A679A">
        <w:t>.</w:t>
      </w:r>
      <w:r w:rsidR="00B650E5">
        <w:t xml:space="preserve"> </w:t>
      </w:r>
      <w:r w:rsidR="00AA3F51">
        <w:t>Kontrolu</w:t>
      </w:r>
      <w:r w:rsidR="001541DD">
        <w:t xml:space="preserve"> RO</w:t>
      </w:r>
      <w:r w:rsidR="00F64BDD">
        <w:t>,</w:t>
      </w:r>
      <w:r w:rsidR="001541DD">
        <w:t xml:space="preserve"> resp.</w:t>
      </w:r>
      <w:r w:rsidR="00AA3F51">
        <w:t xml:space="preserve"> iného subjektu</w:t>
      </w:r>
      <w:r w:rsidR="00F64BDD">
        <w:t>,</w:t>
      </w:r>
      <w:r w:rsidR="00AA3F51">
        <w:t xml:space="preserve"> ako aj závery kontroly</w:t>
      </w:r>
      <w:r w:rsidR="002E6BFF">
        <w:t xml:space="preserve"> (návrh správy/správu, kontrolný zoznam a</w:t>
      </w:r>
      <w:r w:rsidR="008A679A">
        <w:t xml:space="preserve"> </w:t>
      </w:r>
      <w:r w:rsidR="002E6BFF">
        <w:t>pod.)</w:t>
      </w:r>
      <w:r w:rsidR="00AA3F51">
        <w:t xml:space="preserve"> eviduje </w:t>
      </w:r>
      <w:r w:rsidR="001541DD">
        <w:t xml:space="preserve">RO </w:t>
      </w:r>
      <w:r w:rsidR="008A679A">
        <w:t>v rámci</w:t>
      </w:r>
      <w:r w:rsidR="00AA3F51">
        <w:t xml:space="preserve"> projektového spisu</w:t>
      </w:r>
      <w:r w:rsidR="006F3B93">
        <w:t xml:space="preserve">, </w:t>
      </w:r>
      <w:r w:rsidR="00AA3F51">
        <w:t xml:space="preserve"> ako aj </w:t>
      </w:r>
      <w:r w:rsidR="00CC0751">
        <w:t>v</w:t>
      </w:r>
      <w:r w:rsidR="00AA3F51">
        <w:t xml:space="preserve"> ITMS</w:t>
      </w:r>
      <w:r w:rsidR="0023261D">
        <w:t xml:space="preserve"> </w:t>
      </w:r>
      <w:r w:rsidR="00AA3F51">
        <w:t xml:space="preserve">2014+. </w:t>
      </w:r>
    </w:p>
    <w:p w14:paraId="13CB212A" w14:textId="547E79D0" w:rsidR="00B650E5" w:rsidRDefault="00B650E5">
      <w:pPr>
        <w:pStyle w:val="Odsekzoznamu"/>
        <w:numPr>
          <w:ilvl w:val="0"/>
          <w:numId w:val="31"/>
        </w:numPr>
        <w:spacing w:before="120" w:after="120"/>
        <w:ind w:left="426" w:hanging="426"/>
        <w:contextualSpacing w:val="0"/>
        <w:jc w:val="both"/>
      </w:pPr>
      <w:r>
        <w:t>RO je v súvislosti s výkonom kontroly projektu povinný zabezpečiť vykonávanie kontroly minimálne dvoma osobami (</w:t>
      </w:r>
      <w:r w:rsidR="00C93F30">
        <w:t xml:space="preserve">t. j. </w:t>
      </w:r>
      <w:r>
        <w:t xml:space="preserve">dodržanie princípu </w:t>
      </w:r>
      <w:r w:rsidR="008933F1">
        <w:t xml:space="preserve">4 </w:t>
      </w:r>
      <w:r>
        <w:t xml:space="preserve">očí). Týmto nie je dotknutá povinnosť vyplývajúca z § 7 ods. 2 zákona o finančnej kontrole, </w:t>
      </w:r>
      <w:r w:rsidR="00C93F30">
        <w:t xml:space="preserve">t. j. </w:t>
      </w:r>
      <w:r>
        <w:t xml:space="preserve"> v prípade, ak jednou z týchto dvoch osôb vykonávajúcich kontrolu nie je štatutárny orgán alebo ním určený vedúci zamestnanec, je potrebné vykonanie  tejto kontroly aj z úrovne štatutárneho orgánu alebo ním určeného vedúceho zamestnanca</w:t>
      </w:r>
      <w:r>
        <w:rPr>
          <w:rStyle w:val="Odkaznapoznmkupodiarou"/>
        </w:rPr>
        <w:footnoteReference w:id="80"/>
      </w:r>
      <w:r>
        <w:t xml:space="preserve">. </w:t>
      </w:r>
    </w:p>
    <w:p w14:paraId="72C401A6" w14:textId="77777777" w:rsidR="00B650E5" w:rsidRDefault="00B650E5">
      <w:pPr>
        <w:pStyle w:val="Odsekzoznamu"/>
        <w:numPr>
          <w:ilvl w:val="0"/>
          <w:numId w:val="31"/>
        </w:numPr>
        <w:spacing w:before="120" w:after="120"/>
        <w:ind w:left="426" w:hanging="426"/>
        <w:contextualSpacing w:val="0"/>
        <w:jc w:val="both"/>
      </w:pPr>
      <w:r>
        <w:t xml:space="preserve">RO je povinný v prípade akéhokoľvek podozrenia nasvedčujúceho počas alebo po vykonaní kontroly, že bol alebo mohol byť spáchaný trestný čin (napr. subvenčný podvod v súlade s § 225 Trestného zákona, poškodzovanie finančných záujmov </w:t>
      </w:r>
      <w:r w:rsidR="003D4A37">
        <w:t xml:space="preserve">Európskej únie </w:t>
      </w:r>
      <w:r>
        <w:t xml:space="preserve">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 </w:t>
      </w:r>
    </w:p>
    <w:p w14:paraId="648042C0" w14:textId="77777777" w:rsidR="00B650E5" w:rsidRDefault="00B650E5">
      <w:pPr>
        <w:pStyle w:val="Odsekzoznamu"/>
        <w:numPr>
          <w:ilvl w:val="0"/>
          <w:numId w:val="31"/>
        </w:numPr>
        <w:spacing w:before="120" w:after="120"/>
        <w:ind w:left="426" w:hanging="426"/>
        <w:contextualSpacing w:val="0"/>
        <w:jc w:val="both"/>
      </w:pPr>
      <w:r>
        <w:t>RO je povinný vypracovať z každej administratívnej finančnej kontroly a finančnej kontroly na mieste výstup, ktorým je návrh čiastkovej správy z kontroly</w:t>
      </w:r>
      <w:r>
        <w:rPr>
          <w:rStyle w:val="Odkaznapoznmkupodiarou"/>
        </w:rPr>
        <w:footnoteReference w:id="81"/>
      </w:r>
      <w:r>
        <w:t>/návrh správy z kontroly (v prípade zistenia nedostatkov) a čiastková správa z kontroly/správa z kontroly. Bližšie ustanovenia k návrhu čiastkovej správy z kontroly/návrhu správy z kontroly a k čiastkovej správe z kontroly/správe z kontroly sú uvedené v </w:t>
      </w:r>
      <w:hyperlink w:anchor="kapitola_33613" w:tooltip="kapitole 3.3.6.1.3" w:history="1">
        <w:r>
          <w:rPr>
            <w:rStyle w:val="Hypertextovprepojenie"/>
          </w:rPr>
          <w:t>kapitole 3.3.6.1.3</w:t>
        </w:r>
      </w:hyperlink>
      <w:r>
        <w:t xml:space="preserve">. </w:t>
      </w:r>
    </w:p>
    <w:p w14:paraId="278DACEC" w14:textId="77777777" w:rsidR="00B650E5" w:rsidRDefault="00B650E5">
      <w:pPr>
        <w:pStyle w:val="Odsekzoznamu"/>
        <w:numPr>
          <w:ilvl w:val="0"/>
          <w:numId w:val="31"/>
        </w:numPr>
        <w:spacing w:before="120" w:after="120"/>
        <w:ind w:left="426" w:hanging="426"/>
        <w:contextualSpacing w:val="0"/>
        <w:jc w:val="both"/>
      </w:pPr>
      <w:r>
        <w:t>RO je pri výkone kontroly projektu povinný vypĺňať kontrolný zoznam v závislosti od zvoleného predmetu kontroly. V procese schvaľovania žiadosti o NFP sa vypracovávajú aj dokumenty uvedené v časti 3.1. Vzor</w:t>
      </w:r>
      <w:r>
        <w:rPr>
          <w:rStyle w:val="Odkaznapoznmkupodiarou"/>
        </w:rPr>
        <w:footnoteReference w:id="82"/>
      </w:r>
      <w:r>
        <w:t xml:space="preserve"> pre rozdelenie predmetov kontroly a minimálny rozsah kontrolných otázok k zvolenému predmetu kontroly vydá CKO. Všetky ostatné kontrolné zoznamy, ktoré nie sú definované vo vzore vydanom CKO si RO vytvorí podľa predmetu kontroly za predpokladu dodržania povinností stanovený</w:t>
      </w:r>
      <w:bookmarkStart w:id="295" w:name="_GoBack"/>
      <w:bookmarkEnd w:id="295"/>
      <w:r>
        <w:t xml:space="preserve">ch v tejto časti pri zachovaní svojich vnútorných predpisov.     </w:t>
      </w:r>
    </w:p>
    <w:p w14:paraId="012FA62A" w14:textId="77777777" w:rsidR="00F86B5A" w:rsidRDefault="00F86B5A">
      <w:pPr>
        <w:pStyle w:val="Odsekzoznamu"/>
        <w:numPr>
          <w:ilvl w:val="0"/>
          <w:numId w:val="31"/>
        </w:numPr>
        <w:spacing w:before="120" w:after="120"/>
        <w:ind w:left="426" w:hanging="426"/>
        <w:contextualSpacing w:val="0"/>
        <w:jc w:val="both"/>
      </w:pPr>
      <w:bookmarkStart w:id="296" w:name="kapitola_33611_ods_9"/>
      <w:r w:rsidRPr="00F86B5A">
        <w:t>Ak RO vykonáva kontrolu opakovane, kontrolu vykonáva ako administratívnu finančnú kontrolu alebo finančnú kontrolu na mieste. Administratívna finančná kontrola začína prvým úkonom prijímateľa voči RO. Prvým úkonom prijímateľa sa v rámci opakovane vykonávanej kontroly môže rozumieť napr. aj predloženie dokumentácie RO (napr. dodatočná dokumentácia k ŽoP/VO a pod.), opakované predloženie súpisu kompletnej dokumentácie na základe žiadosti RO, predloženie výsledku kontroly iného orgánu, ktorý súvisí so skutočnosťami overovanými RO v</w:t>
      </w:r>
      <w:r w:rsidR="00471F4F">
        <w:t> </w:t>
      </w:r>
      <w:r w:rsidRPr="00F86B5A">
        <w:t xml:space="preserve">rámci kontroly, potvrdenie prijímateľa o tom, či nastali/nenastali nové skutočnosti, ktoré by mal RO zohľadniť pri opakovane vykonanej kontrole, ktoré je predložené na základe žiadosti RO. Ak RO plánuje opakovanú kontrolu vykonať ako administratívnu finančnú kontrolu, odporúča sa, aby RO o potrebe vykonať kontrolu opakovane informoval prijímateľa. Ak prijímateľ ako povinná osoba nevykoná úkon, ktorý by mohol byť v zmysle § 20 ods. 1 zákona o finančnej </w:t>
      </w:r>
      <w:r w:rsidRPr="00F86B5A">
        <w:lastRenderedPageBreak/>
        <w:t>kontrole považovaný za prvý úkon povinnej osoby, potom RO vykoná opakovanú kontrolu ako finančnú kontrolu na mieste. Finančná kontrola na mieste sa vykonáva spravidla na mieste realizácie projektu alebo v priestoroch prijímateľa a</w:t>
      </w:r>
      <w:r>
        <w:t> </w:t>
      </w:r>
      <w:r w:rsidRPr="00F86B5A">
        <w:t>pod</w:t>
      </w:r>
      <w:r>
        <w:t>.</w:t>
      </w:r>
      <w:r w:rsidR="007E05D5">
        <w:t xml:space="preserve"> </w:t>
      </w:r>
      <w:r w:rsidR="00B650E5">
        <w:t>RO je v tomto prípade povinný vypracovať novú čiastkovú správu/správu z kontroly (príp. aj návrh čiastkovej správy/návrh správy z kontroly v prípade zistenia nedostatkov), v ktorej je povinný okrem iného uviesť aj jasné prepojenie s pôvodnou kontrolou, ktorej sa týka výkon nápravy.</w:t>
      </w:r>
    </w:p>
    <w:p w14:paraId="1C06573A" w14:textId="77777777" w:rsidR="00B650E5" w:rsidRDefault="00B650E5">
      <w:pPr>
        <w:pStyle w:val="Odsekzoznamu"/>
        <w:numPr>
          <w:ilvl w:val="0"/>
          <w:numId w:val="31"/>
        </w:numPr>
        <w:spacing w:before="120" w:after="120"/>
        <w:ind w:left="426" w:hanging="426"/>
        <w:contextualSpacing w:val="0"/>
        <w:jc w:val="both"/>
      </w:pPr>
      <w:r w:rsidRPr="00DA7D9B">
        <w:t xml:space="preserve">Ak sú po skončení administratívnej finančnej kontroly, finančnej kontroly na mieste a auditu zistené chyby v písaní, počítaní alebo iné zrejmé nesprávnosti, čiastková správa alebo správa sa opraví a časť čiastkovej správy alebo správy, ktorej sa oprava týka, sa zašle </w:t>
      </w:r>
      <w:r>
        <w:t xml:space="preserve">prijímateľovi </w:t>
      </w:r>
      <w:r w:rsidRPr="00DA7D9B">
        <w:t>a všetkým, ktorým bola pôvodná čiastková správa alebo správa zaslaná.</w:t>
      </w:r>
      <w:r>
        <w:rPr>
          <w:rStyle w:val="Odkaznapoznmkupodiarou"/>
        </w:rPr>
        <w:footnoteReference w:id="83"/>
      </w:r>
    </w:p>
    <w:bookmarkEnd w:id="296"/>
    <w:p w14:paraId="3A4D07DD" w14:textId="77777777" w:rsidR="00B650E5" w:rsidRDefault="00B650E5">
      <w:pPr>
        <w:pStyle w:val="Odsekzoznamu"/>
        <w:numPr>
          <w:ilvl w:val="0"/>
          <w:numId w:val="31"/>
        </w:numPr>
        <w:spacing w:before="120" w:after="120"/>
        <w:ind w:left="426" w:hanging="426"/>
        <w:contextualSpacing w:val="0"/>
        <w:jc w:val="both"/>
      </w:pPr>
      <w:r>
        <w:t xml:space="preserve">Z  hľadiska časovej možnosti vykonania kontroly  projektu postupuje RO nasledovne: </w:t>
      </w:r>
    </w:p>
    <w:p w14:paraId="38338CAE" w14:textId="77777777" w:rsidR="00B650E5" w:rsidRDefault="00B650E5">
      <w:pPr>
        <w:pStyle w:val="Odsekzoznamu"/>
        <w:numPr>
          <w:ilvl w:val="0"/>
          <w:numId w:val="36"/>
        </w:numPr>
        <w:spacing w:before="120" w:after="120"/>
        <w:ind w:left="851" w:hanging="425"/>
        <w:contextualSpacing w:val="0"/>
        <w:jc w:val="both"/>
        <w:rPr>
          <w:b/>
        </w:rPr>
      </w:pPr>
      <w:r>
        <w:rPr>
          <w:b/>
        </w:rPr>
        <w:t>Výkon kontroly do účinnosti zmluvy o NFP</w:t>
      </w:r>
    </w:p>
    <w:p w14:paraId="2CA8B3D9" w14:textId="131406D8" w:rsidR="00B650E5" w:rsidRDefault="00B650E5" w:rsidP="003120E4">
      <w:pPr>
        <w:pStyle w:val="Odsekzoznamu"/>
        <w:spacing w:before="120" w:after="120"/>
        <w:ind w:left="851"/>
        <w:contextualSpacing w:val="0"/>
        <w:jc w:val="both"/>
        <w:rPr>
          <w:b/>
        </w:rPr>
      </w:pPr>
      <w:r>
        <w:t xml:space="preserve">Zákon o finančnej kontrole určuje orgánom verejnej správy povinnosť overovať vždy súlad každej pripravovanej finančnej operácie alebo jej časti so skutočnosťami uvedenými v § 6 ods. 4 zákona o finančnej kontrole. Pred účinnosťou zmluvy o NFP/rozhodnutia o schválení NFP </w:t>
      </w:r>
      <w:r w:rsidRPr="00E3686E">
        <w:t xml:space="preserve">v prípadoch, ak </w:t>
      </w:r>
      <w:r w:rsidR="00412FD4">
        <w:t>žiad</w:t>
      </w:r>
      <w:r w:rsidR="00412FD4" w:rsidRPr="00E3686E">
        <w:t xml:space="preserve">ateľ </w:t>
      </w:r>
      <w:r w:rsidRPr="00E3686E">
        <w:t xml:space="preserve">a RO je tá istá osoba </w:t>
      </w:r>
      <w:r>
        <w:t xml:space="preserve">je finančná kontrola vykonávaná formou základnej finančnej kontroly (napr. finančná kontrola VO – </w:t>
      </w:r>
      <w:r w:rsidR="00FB1D18">
        <w:t>ex ante</w:t>
      </w:r>
      <w:r>
        <w:t xml:space="preserve">).  </w:t>
      </w:r>
    </w:p>
    <w:p w14:paraId="5F084DFE" w14:textId="77777777" w:rsidR="00B650E5" w:rsidRDefault="00B650E5">
      <w:pPr>
        <w:pStyle w:val="Odsekzoznamu"/>
        <w:numPr>
          <w:ilvl w:val="0"/>
          <w:numId w:val="36"/>
        </w:numPr>
        <w:spacing w:before="120" w:after="120"/>
        <w:ind w:left="851" w:hanging="425"/>
        <w:contextualSpacing w:val="0"/>
        <w:jc w:val="both"/>
        <w:rPr>
          <w:b/>
        </w:rPr>
      </w:pPr>
      <w:r>
        <w:rPr>
          <w:b/>
        </w:rPr>
        <w:t>Výkon kontroly projektu od účinnosti zmluvy o  NFP do momentu ukončenia realizácie projektu</w:t>
      </w:r>
    </w:p>
    <w:p w14:paraId="5CA4F206" w14:textId="77777777" w:rsidR="00B650E5" w:rsidRDefault="00B650E5">
      <w:pPr>
        <w:pStyle w:val="Odsekzoznamu"/>
        <w:spacing w:before="120" w:after="120"/>
        <w:ind w:left="851"/>
        <w:contextualSpacing w:val="0"/>
        <w:jc w:val="both"/>
      </w:pPr>
      <w:r>
        <w:t>Počas realizácie projektu sa vykonávajú všetky formy finančnej kontroly</w:t>
      </w:r>
      <w:r w:rsidR="007324D5">
        <w:t xml:space="preserve">, </w:t>
      </w:r>
      <w:r>
        <w:t xml:space="preserve"> a to základná finančná  kontrola, administratívna finančná kontrola a finančná kontrola na mieste. </w:t>
      </w:r>
    </w:p>
    <w:p w14:paraId="3EE5A779" w14:textId="77777777" w:rsidR="00B650E5" w:rsidRDefault="00B650E5">
      <w:pPr>
        <w:pStyle w:val="Odsekzoznamu"/>
        <w:numPr>
          <w:ilvl w:val="0"/>
          <w:numId w:val="36"/>
        </w:numPr>
        <w:spacing w:before="120" w:after="120"/>
        <w:ind w:left="851" w:hanging="425"/>
        <w:contextualSpacing w:val="0"/>
        <w:jc w:val="both"/>
        <w:rPr>
          <w:b/>
        </w:rPr>
      </w:pPr>
      <w:r>
        <w:rPr>
          <w:b/>
        </w:rPr>
        <w:t>Výkon kontroly po ukončení realizácie projektu do skončenia účinnosti zmluvy o NFP</w:t>
      </w:r>
    </w:p>
    <w:p w14:paraId="0B5697E4" w14:textId="77777777" w:rsidR="00B650E5" w:rsidRDefault="00B650E5">
      <w:pPr>
        <w:pStyle w:val="Odsekzoznamu"/>
        <w:spacing w:before="120" w:after="120"/>
        <w:ind w:left="851"/>
        <w:contextualSpacing w:val="0"/>
        <w:jc w:val="both"/>
      </w:pPr>
      <w:r>
        <w:t xml:space="preserve">RO je oprávnený po ukončení realizácie projektu do skončenia účinnosti zmluvy o NFP vykonať administratívnu finančnú kontrolu a finančnú kontrolu na mieste, ktorej súčasťou je aj základná finančná kontrola v súlade s </w:t>
      </w:r>
      <w:hyperlink w:anchor="kapitola_33611_ods_11" w:tooltip="ods. 11 tejto kapitoly" w:history="1">
        <w:r>
          <w:rPr>
            <w:rStyle w:val="Hypertextovprepojenie"/>
          </w:rPr>
          <w:t xml:space="preserve">ods. </w:t>
        </w:r>
        <w:r w:rsidRPr="00C10700">
          <w:rPr>
            <w:rStyle w:val="Hypertextovprepojenie"/>
          </w:rPr>
          <w:t>1</w:t>
        </w:r>
        <w:r w:rsidR="00F56909">
          <w:rPr>
            <w:rStyle w:val="Hypertextovprepojenie"/>
          </w:rPr>
          <w:t>3</w:t>
        </w:r>
        <w:r>
          <w:rPr>
            <w:rStyle w:val="Hypertextovprepojenie"/>
          </w:rPr>
          <w:t xml:space="preserve"> tejto kapitoly</w:t>
        </w:r>
      </w:hyperlink>
      <w:r>
        <w:rPr>
          <w:rStyle w:val="Hypertextovprepojenie"/>
        </w:rPr>
        <w:t xml:space="preserve">, </w:t>
      </w:r>
      <w:r w:rsidRPr="001B709E">
        <w:t xml:space="preserve">v rámci ktorej je vyjadrenie, či </w:t>
      </w:r>
      <w:r w:rsidR="0076096E" w:rsidRPr="001B709E">
        <w:t xml:space="preserve">je potrebné </w:t>
      </w:r>
      <w:r w:rsidRPr="001B709E">
        <w:t xml:space="preserve"> vymáhať</w:t>
      </w:r>
      <w:r w:rsidR="0076096E" w:rsidRPr="001B709E">
        <w:t xml:space="preserve"> poskytnuté plnenie, ak sa finančná operácia alebo jej časť už vykonala,</w:t>
      </w:r>
      <w:r w:rsidRPr="001B709E">
        <w:t xml:space="preserve"> pokiaľ by boli zistené akékoľvek nedostatky</w:t>
      </w:r>
      <w:r>
        <w:t xml:space="preserve">. </w:t>
      </w:r>
    </w:p>
    <w:p w14:paraId="140DAB85" w14:textId="02573DA0" w:rsidR="00B650E5" w:rsidRDefault="0053588C">
      <w:pPr>
        <w:pStyle w:val="Odsekzoznamu"/>
        <w:numPr>
          <w:ilvl w:val="0"/>
          <w:numId w:val="31"/>
        </w:numPr>
        <w:spacing w:before="120" w:after="120"/>
        <w:ind w:left="426" w:hanging="426"/>
        <w:contextualSpacing w:val="0"/>
        <w:jc w:val="both"/>
      </w:pPr>
      <w:bookmarkStart w:id="297" w:name="kapitola_33611_ods_11"/>
      <w:r>
        <w:rPr>
          <w:noProof/>
        </w:rPr>
        <w:lastRenderedPageBreak/>
        <w:drawing>
          <wp:anchor distT="0" distB="0" distL="138684" distR="132588" simplePos="0" relativeHeight="251653120" behindDoc="0" locked="0" layoutInCell="1" allowOverlap="1" wp14:anchorId="120B1D53" wp14:editId="4F70BB8A">
            <wp:simplePos x="0" y="0"/>
            <wp:positionH relativeFrom="column">
              <wp:posOffset>397129</wp:posOffset>
            </wp:positionH>
            <wp:positionV relativeFrom="paragraph">
              <wp:posOffset>-69977</wp:posOffset>
            </wp:positionV>
            <wp:extent cx="5485765" cy="4647565"/>
            <wp:effectExtent l="57150" t="0" r="57785" b="0"/>
            <wp:wrapTopAndBottom/>
            <wp:docPr id="66" name="Diagram 113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2" r:lo="rId173" r:qs="rId174" r:cs="rId175"/>
              </a:graphicData>
            </a:graphic>
            <wp14:sizeRelH relativeFrom="page">
              <wp14:pctWidth>0</wp14:pctWidth>
            </wp14:sizeRelH>
            <wp14:sizeRelV relativeFrom="page">
              <wp14:pctHeight>0</wp14:pctHeight>
            </wp14:sizeRelV>
          </wp:anchor>
        </w:drawing>
      </w:r>
      <w:r w:rsidR="00B650E5">
        <w:t>Ak projekt podlieha povinnosti udržateľnosti v zmysle článku 71 všeobecného nariadenia, RO je povinný overiť súlad s predmetným článkom minimálne jednou finančnou kontrolou na mieste aj po ukončení realizácie projektu (</w:t>
      </w:r>
      <w:r w:rsidR="00C93F30">
        <w:t xml:space="preserve">t. j. </w:t>
      </w:r>
      <w:r w:rsidR="00B650E5">
        <w:t xml:space="preserve"> po fyzickom aj finančnom ukončení projektu). Uvedeným nie je dotknuté oprávnenie RO vykonať aj základnú finančnú kontrolu a administratívnu finančnú  kontrolu kontrolovanej osoby s predmetom kontroly, ktorý si určí RO.</w:t>
      </w:r>
      <w:bookmarkEnd w:id="297"/>
      <w:r w:rsidR="00B650E5">
        <w:t xml:space="preserve"> RO je povinný mať na overovanie udržateľnosti nastavený mechanizmus, ktorým získa dostatočné uistenie o splnení všetkých podmienok udržateľnosti v zmysle článku 71 všeobecného nariadenia.</w:t>
      </w:r>
    </w:p>
    <w:p w14:paraId="6B79CECD" w14:textId="77777777" w:rsidR="00B650E5" w:rsidRDefault="00B650E5">
      <w:pPr>
        <w:pStyle w:val="Odsekzoznamu"/>
        <w:numPr>
          <w:ilvl w:val="0"/>
          <w:numId w:val="31"/>
        </w:numPr>
        <w:spacing w:before="120" w:after="120"/>
        <w:ind w:left="426" w:hanging="426"/>
        <w:contextualSpacing w:val="0"/>
        <w:jc w:val="both"/>
      </w:pPr>
      <w:r>
        <w:t>V prípade zistenia nezrovnalosti pri výkone kontroly projektu postupuje RO v súlade s postupmi upravenými vo vecne príslušných záväzných dokumentoch (najmä postupy stanovené v Systéme finančného riadenia a metodickými usmerneniami CO k nezrovnalostiam).</w:t>
      </w:r>
    </w:p>
    <w:p w14:paraId="3AFF853C" w14:textId="77777777" w:rsidR="00B650E5" w:rsidRDefault="00E33653" w:rsidP="001B709E">
      <w:pPr>
        <w:pStyle w:val="Odsekzoznamu"/>
        <w:numPr>
          <w:ilvl w:val="0"/>
          <w:numId w:val="31"/>
        </w:numPr>
        <w:spacing w:before="120" w:after="120"/>
        <w:ind w:left="426" w:hanging="426"/>
        <w:contextualSpacing w:val="0"/>
        <w:jc w:val="both"/>
      </w:pPr>
      <w:r w:rsidRPr="00E33653">
        <w:t xml:space="preserve">V zmysle ustanovenia § 24 zákona o finančnej kontrole je RO oprávnený </w:t>
      </w:r>
      <w:r w:rsidR="00B650E5">
        <w:t xml:space="preserve">prizvať právnickú alebo fyzickú osobu na vykonanie kontroly projektu v prípade, že je to potrebné pre efektívnejšie vykonanie kontroly projektu (napr. znalcov a expertov vo vzťahu k jednotlivým aspektom projektov, gestorov HP, zástupcov OCKÚ OLAF, orgány činné v trestnom konaní a pod.). Prizvanie má formu písomného poverenia na vykonanie kontroly projektu a je </w:t>
      </w:r>
      <w:r w:rsidR="00B650E5" w:rsidRPr="00C10700">
        <w:t>vydané štatutárnym orgánom alebo ním písomne povereným</w:t>
      </w:r>
      <w:r w:rsidR="00B650E5">
        <w:t xml:space="preserve"> vedúcim zamestnancom RO. Prizvaná osoba vykoná kontrolu projektu spolu s RO. </w:t>
      </w:r>
    </w:p>
    <w:p w14:paraId="77A724E3" w14:textId="77777777" w:rsidR="00B650E5" w:rsidRDefault="00B650E5">
      <w:pPr>
        <w:pStyle w:val="Odsekzoznamu"/>
        <w:numPr>
          <w:ilvl w:val="0"/>
          <w:numId w:val="31"/>
        </w:numPr>
        <w:spacing w:before="120" w:after="120"/>
        <w:ind w:left="426" w:hanging="426"/>
        <w:contextualSpacing w:val="0"/>
        <w:jc w:val="both"/>
      </w:pPr>
      <w:r>
        <w:t>RO je oprávnený overovať  vybrané skutočnosti aj opakovane, pokiaľ je to potrebné pre</w:t>
      </w:r>
      <w:r w:rsidR="00E33653">
        <w:t> </w:t>
      </w:r>
      <w:r>
        <w:t xml:space="preserve">správne stanovenie oprávnenosti výdavkov, alebo je výkon uvedenej činnosti potrebný z iných relevantných dôvodov (napr. podozrenie z nezrovnalosti, žiadosť EK, žiadosť vnútroštátnych orgánov, atď. ). Pri výkone opakovanej kontroly vykonáva RO kontrolu projektu v závislosti od zvoleného predmetu kontroly a podnetu na základe ktorého sa opakovaná kontrola vykonáva </w:t>
      </w:r>
      <w:hyperlink w:anchor="kapitola_33611_ods_9" w:history="1">
        <w:r w:rsidRPr="00D11A8F">
          <w:rPr>
            <w:rStyle w:val="Hypertextovprepojenie"/>
          </w:rPr>
          <w:t>(</w:t>
        </w:r>
        <w:r>
          <w:rPr>
            <w:rStyle w:val="Hypertextovprepojenie"/>
          </w:rPr>
          <w:t>kapitola 3.3.6.1.1 ods.</w:t>
        </w:r>
        <w:r w:rsidR="004E0189">
          <w:rPr>
            <w:rStyle w:val="Hypertextovprepojenie"/>
          </w:rPr>
          <w:t>10</w:t>
        </w:r>
        <w:r>
          <w:rPr>
            <w:rStyle w:val="Hypertextovprepojenie"/>
          </w:rPr>
          <w:t>)</w:t>
        </w:r>
      </w:hyperlink>
      <w:r>
        <w:t xml:space="preserve">. </w:t>
      </w:r>
    </w:p>
    <w:p w14:paraId="623F0D5A" w14:textId="67E3DC98" w:rsidR="00B650E5" w:rsidRDefault="00B650E5">
      <w:pPr>
        <w:pStyle w:val="Odsekzoznamu"/>
        <w:numPr>
          <w:ilvl w:val="0"/>
          <w:numId w:val="31"/>
        </w:numPr>
        <w:spacing w:before="120" w:after="120"/>
        <w:ind w:left="426" w:hanging="426"/>
        <w:contextualSpacing w:val="0"/>
        <w:jc w:val="both"/>
      </w:pPr>
      <w:r>
        <w:lastRenderedPageBreak/>
        <w:t>RO je povinný v zmysle § 46 zákona o príspevku z EŠIF v rámci výkonu kontroly projektov zabezpečiť vylúčenie konfliktu záujmov zamestnancov vykonávajúcich túto kontrolu</w:t>
      </w:r>
      <w:r w:rsidR="001B709E">
        <w:t>, napríklad zadefinovaním povinnosti v manuáli procedúr</w:t>
      </w:r>
      <w:r>
        <w:t xml:space="preserve">. </w:t>
      </w:r>
    </w:p>
    <w:p w14:paraId="27F01D53" w14:textId="77777777" w:rsidR="00B650E5" w:rsidRDefault="00B650E5">
      <w:pPr>
        <w:pStyle w:val="Odsekzoznamu"/>
        <w:numPr>
          <w:ilvl w:val="0"/>
          <w:numId w:val="31"/>
        </w:numPr>
        <w:spacing w:before="120" w:after="120"/>
        <w:ind w:left="426" w:hanging="426"/>
        <w:contextualSpacing w:val="0"/>
        <w:jc w:val="both"/>
      </w:pPr>
      <w:r>
        <w:t>RO si v závislosti od rozsahu skutočností, ktoré je potrebné preveriť určí predmet kontroly projektu. Stanovenie predmetu kontroly projektu je kľúčovým prvkom pre určenie rozsahu povinností, ktoré musí RO vykonať na uskutočnenie kontroly. Základná databáza osobitných predmetov kontroly je uvedená v </w:t>
      </w:r>
      <w:hyperlink w:anchor="kapitola_33621" w:tooltip="kapitole 3.3.6.2.1" w:history="1">
        <w:r>
          <w:rPr>
            <w:rStyle w:val="Hypertextovprepojenie"/>
          </w:rPr>
          <w:t>kapitole 3.3.6.2.1</w:t>
        </w:r>
      </w:hyperlink>
      <w:r>
        <w:t xml:space="preserve">, pričom RO je oprávnený rozšíriť jednotlivé osobitné predmety kontroly, príp. určiť nové osobitné predmety kontroly v závislosti od potrieb OP, PO a pod.  </w:t>
      </w:r>
    </w:p>
    <w:p w14:paraId="41A1B4A5" w14:textId="77777777" w:rsidR="00B650E5" w:rsidRDefault="00B650E5">
      <w:pPr>
        <w:pStyle w:val="Odsekzoznamu"/>
        <w:numPr>
          <w:ilvl w:val="0"/>
          <w:numId w:val="31"/>
        </w:numPr>
        <w:spacing w:before="120" w:after="120"/>
        <w:ind w:left="426" w:hanging="426"/>
        <w:contextualSpacing w:val="0"/>
        <w:jc w:val="both"/>
      </w:pPr>
      <w:r w:rsidRPr="0070333D">
        <w:t>V súvislosti s aplikáciou zákona</w:t>
      </w:r>
      <w:r>
        <w:t xml:space="preserve"> o finančnej kontrole je RO pri vykonávaní kontroly formou </w:t>
      </w:r>
      <w:r>
        <w:rPr>
          <w:i/>
        </w:rPr>
        <w:t xml:space="preserve">administratívnej finančnej kontroly a finančnej kontroly na mieste </w:t>
      </w:r>
      <w:r>
        <w:t xml:space="preserve">v nevyhnutnom rozsahu </w:t>
      </w:r>
      <w:r w:rsidRPr="0070333D">
        <w:t xml:space="preserve">oprávnený  od </w:t>
      </w:r>
      <w:r>
        <w:t>kontrolovanej osoby (</w:t>
      </w:r>
      <w:r w:rsidRPr="0070333D">
        <w:t>prijímateľa</w:t>
      </w:r>
      <w:r>
        <w:t>)</w:t>
      </w:r>
      <w:r w:rsidRPr="0070333D">
        <w:t xml:space="preserve"> </w:t>
      </w:r>
      <w:r w:rsidRPr="006820D9">
        <w:t>alebo</w:t>
      </w:r>
      <w:r>
        <w:t xml:space="preserve"> od osoby, ktorá je vo vzťahu k finančnej operácií alebo jej časti dodávateľom výkonov, tovarov, prác alebo služieb alebo akejkoľvek inej osoby, ktorá má informácie, doklady alebo iné podklady, ktoré sú potrebné pre výkon finančnej kontroly, ak ich poskytnutiu nebráni osobitný predpis</w:t>
      </w:r>
      <w:r>
        <w:rPr>
          <w:rStyle w:val="Odkaznapoznmkupodiarou"/>
        </w:rPr>
        <w:footnoteReference w:id="84"/>
      </w:r>
      <w:r>
        <w:t xml:space="preserve"> (ďalej aj „tretia osoba“):</w:t>
      </w:r>
    </w:p>
    <w:p w14:paraId="739C0052" w14:textId="77777777" w:rsidR="00B650E5" w:rsidRDefault="00B650E5">
      <w:pPr>
        <w:pStyle w:val="Odsekzoznamu"/>
        <w:numPr>
          <w:ilvl w:val="0"/>
          <w:numId w:val="37"/>
        </w:numPr>
        <w:autoSpaceDE w:val="0"/>
        <w:autoSpaceDN w:val="0"/>
        <w:adjustRightInd w:val="0"/>
        <w:spacing w:before="120" w:after="120"/>
        <w:ind w:left="850" w:hanging="425"/>
        <w:contextualSpacing w:val="0"/>
        <w:jc w:val="both"/>
      </w:pPr>
      <w:r>
        <w:t>vyžadovať a odoberať, v určenej lehote originály alebo úradne osvedčené kópie dokladov, písomností, záznamy dát na pamäťových médiách prostriedkov výpočtovej techniky, ich výpisov, výstupov, vyjadrenia, informácie, dokumenty a iné podklady súvisiace s administratívnou finančnou kontrolou alebo finančnou kontrolou na mieste,</w:t>
      </w:r>
      <w:r w:rsidRPr="00AC3767">
        <w:t xml:space="preserve"> </w:t>
      </w:r>
    </w:p>
    <w:p w14:paraId="42C53696" w14:textId="77777777" w:rsidR="00B650E5" w:rsidRDefault="00B650E5">
      <w:pPr>
        <w:pStyle w:val="Odsekzoznamu"/>
        <w:numPr>
          <w:ilvl w:val="0"/>
          <w:numId w:val="37"/>
        </w:numPr>
        <w:autoSpaceDE w:val="0"/>
        <w:autoSpaceDN w:val="0"/>
        <w:adjustRightInd w:val="0"/>
        <w:spacing w:before="120" w:after="120"/>
        <w:ind w:left="850" w:hanging="425"/>
        <w:contextualSpacing w:val="0"/>
        <w:jc w:val="both"/>
      </w:pPr>
      <w:r>
        <w:t>vyžadovať od kontrolovanej osoby alebo od tretej osoby súčinnosť v rozsahu oprávnení podľa zákona o finančnej kontrole,</w:t>
      </w:r>
    </w:p>
    <w:p w14:paraId="22CBE871" w14:textId="320EEC0C" w:rsidR="00B650E5" w:rsidRDefault="00B650E5">
      <w:pPr>
        <w:pStyle w:val="Odsekzoznamu"/>
        <w:numPr>
          <w:ilvl w:val="0"/>
          <w:numId w:val="37"/>
        </w:numPr>
        <w:autoSpaceDE w:val="0"/>
        <w:autoSpaceDN w:val="0"/>
        <w:adjustRightInd w:val="0"/>
        <w:spacing w:before="120" w:after="120"/>
        <w:ind w:left="850" w:hanging="425"/>
        <w:contextualSpacing w:val="0"/>
        <w:jc w:val="both"/>
      </w:pPr>
      <w:r>
        <w:t>vyžadovať od prijímateľa prepracovanie prijatých opatrení na nápravu nedostatkov a na</w:t>
      </w:r>
      <w:r w:rsidR="00412FD4">
        <w:t> </w:t>
      </w:r>
      <w:r>
        <w:t>odstránenie príčin ich vzniku, ak riadiaci orgán  odôvodnene predpokladá vzhľadom na</w:t>
      </w:r>
      <w:r w:rsidR="00412FD4">
        <w:t> </w:t>
      </w:r>
      <w:r>
        <w:t>závažnosť nedostatkov, že prijaté opatrenia nie sú účinné, a vyžadovať predloženie nového písomného zoznamu opatrení v lehote určenej riadiacim orgánom,</w:t>
      </w:r>
    </w:p>
    <w:p w14:paraId="03A109A0" w14:textId="01824521" w:rsidR="00B650E5" w:rsidRPr="002576AF" w:rsidRDefault="00B650E5">
      <w:pPr>
        <w:pStyle w:val="Odsekzoznamu"/>
        <w:numPr>
          <w:ilvl w:val="0"/>
          <w:numId w:val="37"/>
        </w:numPr>
        <w:autoSpaceDE w:val="0"/>
        <w:autoSpaceDN w:val="0"/>
        <w:adjustRightInd w:val="0"/>
        <w:spacing w:before="120" w:after="120"/>
        <w:ind w:left="850" w:hanging="425"/>
        <w:contextualSpacing w:val="0"/>
        <w:jc w:val="both"/>
      </w:pPr>
      <w:r w:rsidRPr="0070333D">
        <w:t>osoby poverené na výkon kontroly sú oprávnené v nevyhnutnom rozsahu za podmienok ustanovených v osobitných predpisoch</w:t>
      </w:r>
      <w:r w:rsidRPr="0070333D">
        <w:rPr>
          <w:rStyle w:val="Odkaznapoznmkupodiarou"/>
        </w:rPr>
        <w:footnoteReference w:id="85"/>
      </w:r>
      <w:r w:rsidRPr="0070333D">
        <w:t xml:space="preserve"> okrem oprávnení uvedených v písmenách a) až c) vstupovať do objektu, zariadenia, prevádzky, dopravného prostriedku, na pozemok povinnej osoby alebo tretej osoby, alebo vstupovať do obydlia, ak sa používa aj na podnikanie alebo na vykonávanie inej hospodárskej činnosti</w:t>
      </w:r>
      <w:r w:rsidR="00412FD4">
        <w:t>,</w:t>
      </w:r>
      <w:r w:rsidRPr="0070333D">
        <w:t xml:space="preserve"> </w:t>
      </w:r>
    </w:p>
    <w:p w14:paraId="53FAF90B" w14:textId="7DA2C260" w:rsidR="00B650E5" w:rsidRPr="002576AF" w:rsidRDefault="00B650E5">
      <w:pPr>
        <w:pStyle w:val="Odsekzoznamu"/>
        <w:numPr>
          <w:ilvl w:val="0"/>
          <w:numId w:val="37"/>
        </w:numPr>
        <w:autoSpaceDE w:val="0"/>
        <w:autoSpaceDN w:val="0"/>
        <w:adjustRightInd w:val="0"/>
        <w:spacing w:before="120" w:after="120"/>
        <w:ind w:left="850" w:hanging="425"/>
        <w:contextualSpacing w:val="0"/>
        <w:jc w:val="both"/>
      </w:pPr>
      <w:r w:rsidRPr="002576AF">
        <w:t>vyžadovať od kontrolovanej osoby vytvorenie podmienok na výkon finančnej kontroly na</w:t>
      </w:r>
      <w:r w:rsidR="00412FD4">
        <w:t> </w:t>
      </w:r>
      <w:r w:rsidRPr="002576AF">
        <w:t>mieste a zdržať sa konania, ktoré by mohlo ohroziť ich začatie a riadny priebeh,</w:t>
      </w:r>
    </w:p>
    <w:p w14:paraId="5E31047E" w14:textId="6807D057" w:rsidR="00B650E5" w:rsidRPr="002576AF" w:rsidRDefault="00B650E5">
      <w:pPr>
        <w:pStyle w:val="Odsekzoznamu"/>
        <w:numPr>
          <w:ilvl w:val="0"/>
          <w:numId w:val="37"/>
        </w:numPr>
        <w:autoSpaceDE w:val="0"/>
        <w:autoSpaceDN w:val="0"/>
        <w:adjustRightInd w:val="0"/>
        <w:spacing w:before="120" w:after="120"/>
        <w:ind w:left="850" w:hanging="425"/>
        <w:contextualSpacing w:val="0"/>
        <w:jc w:val="both"/>
      </w:pPr>
      <w:r w:rsidRPr="002576AF">
        <w:t>oboznámiť sa  pri začatí finančnej kontroly na mieste s bezpečnostnými predpismi, ktoré sa vzťahujú na priestory v ktorých sa vykonáva finančná kontrola  na mieste</w:t>
      </w:r>
      <w:r w:rsidR="00412FD4">
        <w:t>.</w:t>
      </w:r>
    </w:p>
    <w:p w14:paraId="19864C63" w14:textId="77777777" w:rsidR="00B650E5" w:rsidRDefault="00B650E5">
      <w:pPr>
        <w:pStyle w:val="Odsekzoznamu"/>
        <w:numPr>
          <w:ilvl w:val="0"/>
          <w:numId w:val="31"/>
        </w:numPr>
        <w:spacing w:before="120" w:after="120"/>
        <w:ind w:left="426" w:hanging="426"/>
        <w:contextualSpacing w:val="0"/>
        <w:jc w:val="both"/>
      </w:pPr>
      <w:bookmarkStart w:id="298" w:name="kapitola_33611_ods_18"/>
      <w:bookmarkEnd w:id="298"/>
      <w:r>
        <w:t xml:space="preserve">V súvislosti s aplikáciou zákona o finančnej kontrole je RO pri vykonávaní kontroly formou </w:t>
      </w:r>
      <w:r>
        <w:rPr>
          <w:i/>
        </w:rPr>
        <w:t>administratívnej finančnej kontroly a finančnej kontroly na mieste</w:t>
      </w:r>
      <w:r>
        <w:t xml:space="preserve"> povinný:</w:t>
      </w:r>
    </w:p>
    <w:p w14:paraId="502D3A0C" w14:textId="77777777" w:rsidR="00B650E5" w:rsidRDefault="00B650E5">
      <w:pPr>
        <w:pStyle w:val="Odsekzoznamu"/>
        <w:numPr>
          <w:ilvl w:val="0"/>
          <w:numId w:val="230"/>
        </w:numPr>
        <w:autoSpaceDE w:val="0"/>
        <w:autoSpaceDN w:val="0"/>
        <w:adjustRightInd w:val="0"/>
        <w:spacing w:before="120" w:after="120"/>
        <w:ind w:left="851" w:hanging="425"/>
        <w:contextualSpacing w:val="0"/>
        <w:jc w:val="both"/>
      </w:pPr>
      <w:r>
        <w:lastRenderedPageBreak/>
        <w:t>potvrdiť prijímateľovi alebo tretej osobe odobratie poskytnutých originálov alebo úradne osvedčených kópií dokladov</w:t>
      </w:r>
      <w:r>
        <w:rPr>
          <w:rStyle w:val="Odkaznapoznmkupodiarou"/>
        </w:rPr>
        <w:footnoteReference w:id="86"/>
      </w:r>
      <w:r>
        <w:t>, písomností, záznamov dát na pamäťových médiách prostriedkov výpočtovej techniky, ich výpisov, výstupov, vyjadrení, informácií, dokumentov a iných podkladov súvisiacich s administratívnou finančnou kontrolou alebo finančnou kontrolou na mieste a zabezpečiť ich riadnu ochranu pred stratou, zničením, poškodením a zneužitím (uvedené potvrdenie sa vydáva, ak RO žiada o poskytnutie podkladov nad rámec definovaný zmluvou o NFP); tieto veci RO vráti bezodkladne tomu, od koho sa vyžiadali, ak nie sú potrebné na konanie podľa Trestného poriadku, alebo na iné konanie podľa osobitných predpisov</w:t>
      </w:r>
      <w:r>
        <w:rPr>
          <w:rStyle w:val="Odkaznapoznmkupodiarou"/>
        </w:rPr>
        <w:footnoteReference w:id="87"/>
      </w:r>
      <w:r>
        <w:t xml:space="preserve">, </w:t>
      </w:r>
    </w:p>
    <w:p w14:paraId="7218AE28" w14:textId="0ED07B8A" w:rsidR="00B650E5" w:rsidRDefault="00B650E5">
      <w:pPr>
        <w:pStyle w:val="Odsekzoznamu"/>
        <w:numPr>
          <w:ilvl w:val="0"/>
          <w:numId w:val="230"/>
        </w:numPr>
        <w:autoSpaceDE w:val="0"/>
        <w:autoSpaceDN w:val="0"/>
        <w:adjustRightInd w:val="0"/>
        <w:spacing w:before="120" w:after="120"/>
        <w:ind w:left="851" w:hanging="425"/>
        <w:contextualSpacing w:val="0"/>
        <w:jc w:val="both"/>
      </w:pPr>
      <w:r>
        <w:t>oboznámiť prijímateľa s návrhom čiastkovej správy z kontroly/návrhom správy z kontroly jeho doručením, ak boli zistené nedostatky a vyžiadať od neho v lehote určenej RO písomné námietky k zisteným nedostatkom, navrhnutým odporúčaniam alebo k opatreniam a k lehote na predloženie písomného zoznamu splnených opatrení prijatých na nápravu zistených nedostatkov a na odstránenie príčin ich vzniku, uvedených v návrhu čiastkovej správy z</w:t>
      </w:r>
      <w:r w:rsidR="00412FD4">
        <w:t> </w:t>
      </w:r>
      <w:r>
        <w:t>kontroly/návrhu správy z kontroly,</w:t>
      </w:r>
    </w:p>
    <w:p w14:paraId="37DE1F88" w14:textId="3E7D0793" w:rsidR="00B650E5" w:rsidRDefault="00B650E5">
      <w:pPr>
        <w:pStyle w:val="Odsekzoznamu"/>
        <w:numPr>
          <w:ilvl w:val="0"/>
          <w:numId w:val="230"/>
        </w:numPr>
        <w:autoSpaceDE w:val="0"/>
        <w:autoSpaceDN w:val="0"/>
        <w:adjustRightInd w:val="0"/>
        <w:spacing w:before="120" w:after="120"/>
        <w:ind w:left="851" w:hanging="425"/>
        <w:contextualSpacing w:val="0"/>
        <w:jc w:val="both"/>
      </w:pPr>
      <w:r>
        <w:t>preveriť opodstatnenosť námietok k zisteným nedostatkom, navrhnutým odporúčaniam alebo k opatreniam a k lehote na predloženie písomného zoznamu splnených opatrení  prijatých na nápravu zistených nedostatkov a na odstránenie príčin ich vzniku uvedených v návrhu čiastkovej správy/návrhu správy z kontroly a neopodstatnenosť námietok spolu s odôvodnením neopodstatnenosti oznámiť prijímateľovi v čiastkovej správe/ správe z</w:t>
      </w:r>
      <w:r w:rsidR="00412FD4">
        <w:t> </w:t>
      </w:r>
      <w:r>
        <w:t>kontroly</w:t>
      </w:r>
      <w:r w:rsidR="00412FD4">
        <w:t>,</w:t>
      </w:r>
    </w:p>
    <w:p w14:paraId="5F6C6691" w14:textId="5D9862CD" w:rsidR="00B650E5" w:rsidRDefault="00B650E5">
      <w:pPr>
        <w:pStyle w:val="Odsekzoznamu"/>
        <w:numPr>
          <w:ilvl w:val="0"/>
          <w:numId w:val="230"/>
        </w:numPr>
        <w:autoSpaceDE w:val="0"/>
        <w:autoSpaceDN w:val="0"/>
        <w:adjustRightInd w:val="0"/>
        <w:spacing w:before="120" w:after="120"/>
        <w:ind w:left="851" w:hanging="425"/>
        <w:contextualSpacing w:val="0"/>
        <w:jc w:val="both"/>
      </w:pPr>
      <w:r>
        <w:t>zaslať čiastkovú správu/ správu z kontroly prijímateľovi</w:t>
      </w:r>
      <w:r w:rsidR="00412FD4">
        <w:t>,</w:t>
      </w:r>
    </w:p>
    <w:p w14:paraId="5CA7B16D" w14:textId="77777777" w:rsidR="00B650E5" w:rsidRPr="006820D9" w:rsidRDefault="00B650E5">
      <w:pPr>
        <w:pStyle w:val="Odsekzoznamu"/>
        <w:numPr>
          <w:ilvl w:val="0"/>
          <w:numId w:val="230"/>
        </w:numPr>
        <w:autoSpaceDE w:val="0"/>
        <w:autoSpaceDN w:val="0"/>
        <w:adjustRightInd w:val="0"/>
        <w:spacing w:before="120" w:after="120"/>
        <w:ind w:left="851" w:hanging="425"/>
        <w:contextualSpacing w:val="0"/>
        <w:jc w:val="both"/>
      </w:pPr>
      <w:r>
        <w:t>oznámiť podozrenie zo spáchania trestného činu, priestupku alebo zo spáchania iného správneho deliktu orgánom príslušným podľa trestného poriadku, alebo podľa osobitných predpisov pričom tieto podozrenia sa v návrhu čiastkovej správy, návrhu správy, čiastkovej správe alebo v </w:t>
      </w:r>
      <w:r w:rsidRPr="0070333D">
        <w:t xml:space="preserve">správe </w:t>
      </w:r>
      <w:r>
        <w:t xml:space="preserve">z kontroly </w:t>
      </w:r>
      <w:r w:rsidRPr="0070333D">
        <w:t>neuvádzajú.</w:t>
      </w:r>
    </w:p>
    <w:p w14:paraId="284E79E4" w14:textId="77777777" w:rsidR="00B650E5" w:rsidRDefault="00B650E5">
      <w:pPr>
        <w:pStyle w:val="Odsekzoznamu"/>
        <w:numPr>
          <w:ilvl w:val="0"/>
          <w:numId w:val="31"/>
        </w:numPr>
        <w:spacing w:before="120" w:after="120"/>
        <w:ind w:left="426" w:hanging="426"/>
        <w:contextualSpacing w:val="0"/>
        <w:jc w:val="both"/>
      </w:pPr>
      <w:r>
        <w:t xml:space="preserve">V súvislosti s aplikáciou zákona o finančnej kontrole je RO pri vykonávaní kontroly formou administratívnej finančnej kontroly a finančnej kontroly na mieste, okrem povinností uvedených v  </w:t>
      </w:r>
      <w:hyperlink w:anchor="kapitola_33611_ods_18" w:history="1">
        <w:r w:rsidRPr="00513AFB">
          <w:rPr>
            <w:rStyle w:val="Hypertextovprepojenie"/>
          </w:rPr>
          <w:t xml:space="preserve">ods. </w:t>
        </w:r>
        <w:r w:rsidR="007E05D5">
          <w:rPr>
            <w:rStyle w:val="Hypertextovprepojenie"/>
          </w:rPr>
          <w:t>20</w:t>
        </w:r>
      </w:hyperlink>
      <w:r>
        <w:t xml:space="preserve"> povinný:</w:t>
      </w:r>
    </w:p>
    <w:p w14:paraId="65A6EAC1" w14:textId="0C053155" w:rsidR="00B650E5" w:rsidRDefault="00B650E5">
      <w:pPr>
        <w:pStyle w:val="Odsekzoznamu"/>
        <w:numPr>
          <w:ilvl w:val="0"/>
          <w:numId w:val="232"/>
        </w:numPr>
        <w:autoSpaceDE w:val="0"/>
        <w:autoSpaceDN w:val="0"/>
        <w:adjustRightInd w:val="0"/>
        <w:spacing w:before="120" w:after="120"/>
        <w:ind w:left="851" w:hanging="425"/>
        <w:contextualSpacing w:val="0"/>
        <w:jc w:val="both"/>
      </w:pPr>
      <w:r>
        <w:t>vopred oznámiť prijímateľovi a tretej osobe termín a cieľ výkonu finančnej  kontroly na</w:t>
      </w:r>
      <w:r w:rsidR="00412FD4">
        <w:t> </w:t>
      </w:r>
      <w:r>
        <w:t>mieste; ak by oznámením o výkone finančnej kontroly na mieste mohlo dôjsť k zmareniu cieľa finančnej kontroly na mieste alebo ak hrozí, že doklady alebo iné podklady budú znehodnotené, zničené alebo pozmenené, je RO povinný oznámenie urobiť najneskôr pri</w:t>
      </w:r>
      <w:r w:rsidR="00412FD4">
        <w:t> </w:t>
      </w:r>
      <w:r>
        <w:t>vstupe do objektu, zariadenia, prevádzky, dopravného prostriedku, na pozemok prijímateľa alebo tretej osoby, alebo pri vstupe do obydlia, ak sa používa aj na podnikanie alebo na vykonávanie inej hospodárskej činnosti,</w:t>
      </w:r>
    </w:p>
    <w:p w14:paraId="4F88E087" w14:textId="3E424F43" w:rsidR="00B650E5" w:rsidRDefault="00B650E5">
      <w:pPr>
        <w:pStyle w:val="Odsekzoznamu"/>
        <w:numPr>
          <w:ilvl w:val="0"/>
          <w:numId w:val="232"/>
        </w:numPr>
        <w:autoSpaceDE w:val="0"/>
        <w:autoSpaceDN w:val="0"/>
        <w:adjustRightInd w:val="0"/>
        <w:spacing w:before="120" w:after="120"/>
        <w:ind w:left="851" w:hanging="425"/>
        <w:contextualSpacing w:val="0"/>
        <w:jc w:val="both"/>
      </w:pPr>
      <w:r>
        <w:t>preukázať sa oprávnením na vykonanie finančnej kontroly na mieste a umožniť na základe požiadavky povinnej osoby nahliadnuť do preukazu totožnosti alebo služobného preukazu</w:t>
      </w:r>
      <w:r w:rsidR="00412FD4">
        <w:t>.</w:t>
      </w:r>
    </w:p>
    <w:p w14:paraId="511A82E5" w14:textId="77777777" w:rsidR="00B650E5" w:rsidRDefault="00B650E5">
      <w:pPr>
        <w:pStyle w:val="SRK5"/>
      </w:pPr>
      <w:bookmarkStart w:id="299" w:name="_Toc453234021"/>
      <w:bookmarkStart w:id="300" w:name="_Toc501630074"/>
      <w:r>
        <w:t>3.3.6.1.2 Predmet a cieľ kontroly projektu</w:t>
      </w:r>
      <w:bookmarkEnd w:id="299"/>
      <w:bookmarkEnd w:id="300"/>
    </w:p>
    <w:p w14:paraId="011C5B98" w14:textId="77777777" w:rsidR="00B650E5" w:rsidRPr="008A679A" w:rsidRDefault="00B650E5">
      <w:pPr>
        <w:numPr>
          <w:ilvl w:val="0"/>
          <w:numId w:val="28"/>
        </w:numPr>
        <w:spacing w:before="120" w:after="120"/>
        <w:ind w:left="426" w:hanging="426"/>
        <w:jc w:val="both"/>
      </w:pPr>
      <w:r w:rsidRPr="008A679A">
        <w:t>RO je oprávnený kontrolovať akékoľvek skutočnosti súvisiace s</w:t>
      </w:r>
      <w:r w:rsidR="007324D5">
        <w:t> </w:t>
      </w:r>
      <w:r w:rsidRPr="008A679A">
        <w:t>projektom</w:t>
      </w:r>
      <w:r w:rsidR="007324D5">
        <w:t>,</w:t>
      </w:r>
      <w:r w:rsidRPr="008A679A">
        <w:t xml:space="preserve"> a to kedykoľvek počas účinnosti zmluvy o NFP. Predmet kontroly si určí RO v nadväznosti na požiadavky, ktoré </w:t>
      </w:r>
      <w:r w:rsidRPr="008A679A">
        <w:lastRenderedPageBreak/>
        <w:t>vzniknú počas implementácie projektu. RO vykonáva kontrolu ako zmluvná strana zmluvy o</w:t>
      </w:r>
      <w:r w:rsidR="000F7D38">
        <w:t> </w:t>
      </w:r>
      <w:r w:rsidRPr="008A679A">
        <w:t>NFP.</w:t>
      </w:r>
    </w:p>
    <w:p w14:paraId="37F285E0" w14:textId="77777777" w:rsidR="00B650E5" w:rsidRDefault="00B650E5" w:rsidP="00D13207">
      <w:pPr>
        <w:numPr>
          <w:ilvl w:val="0"/>
          <w:numId w:val="28"/>
        </w:numPr>
        <w:spacing w:before="120" w:after="120"/>
        <w:ind w:left="426" w:hanging="426"/>
        <w:jc w:val="both"/>
      </w:pPr>
      <w:r>
        <w:t xml:space="preserve">Základný rozsah možných osobitných predmetov kontroly je uvedený v </w:t>
      </w:r>
      <w:hyperlink w:anchor="kapitola_33621" w:tooltip="kapitole 3.3.6.2.1" w:history="1">
        <w:r>
          <w:rPr>
            <w:rStyle w:val="Hypertextovprepojenie"/>
          </w:rPr>
          <w:t>kapitole 3.3.6.2.1</w:t>
        </w:r>
      </w:hyperlink>
      <w:r>
        <w:t xml:space="preserve">. RO je oprávnený určiť si predmet kontroly mimo okruhov osobitných predmetov kontroly stanovených v </w:t>
      </w:r>
      <w:hyperlink w:anchor="kapitola_33621" w:tooltip="kapitole 3.3.6.2.1" w:history="1">
        <w:r>
          <w:rPr>
            <w:rStyle w:val="Hypertextovprepojenie"/>
          </w:rPr>
          <w:t>kapitole 3.3.6.2.1</w:t>
        </w:r>
      </w:hyperlink>
      <w:r>
        <w:t xml:space="preserve">  v prípade, ak nie je vecne totožný s už zadefinovaným predmetom kontroly. V prípade, že predmetom kontroly je viacero skutočností uvedených v rámci viacerých osobitných predmetov kontroly, RO vytvorí ad hoc kontrolný zoznam zložený z viacerých vopred preddefinovaných otázok, príp. doplní ďalšie ad hoc kontrolné otázky v závislosti od zvoleného predmetu kontroly. Ad hoc kontrolný zoznam zapracuje RO vopred taktiež do manuálu procedúr. Ak k vytvoreniu ad hoc kontrolného zoznamu dôjde počas výkonu kontroly je RO povinný zapracovať ho do manuálu procedúr najneskôr do 3 mesiacov od jeho aplikovania.</w:t>
      </w:r>
    </w:p>
    <w:p w14:paraId="6E06A9EE" w14:textId="77777777" w:rsidR="00B650E5" w:rsidRDefault="00B650E5">
      <w:pPr>
        <w:numPr>
          <w:ilvl w:val="0"/>
          <w:numId w:val="28"/>
        </w:numPr>
        <w:spacing w:before="120" w:after="120"/>
        <w:ind w:left="426" w:hanging="426"/>
        <w:jc w:val="both"/>
      </w:pPr>
      <w:r>
        <w:t>RO vykonáva ďalšie kontroly na základe analýzy rizík, na základe výberu vzorky, z vlastného podnetu, z  podnetu tretích osôb alebo iného podnetu.</w:t>
      </w:r>
    </w:p>
    <w:p w14:paraId="10B206AD" w14:textId="77777777" w:rsidR="00B650E5" w:rsidRPr="008A679A" w:rsidRDefault="00B650E5" w:rsidP="001B709E">
      <w:pPr>
        <w:numPr>
          <w:ilvl w:val="0"/>
          <w:numId w:val="28"/>
        </w:numPr>
        <w:spacing w:before="120" w:after="120"/>
        <w:ind w:left="426" w:hanging="426"/>
        <w:jc w:val="both"/>
      </w:pPr>
      <w:r w:rsidRPr="008A679A">
        <w:t xml:space="preserve">Predmetom kontroly projektu môže byť aj skutočnosť, ktorá už bola predmetom inej kontroly (napr. kontrola deklarovaných výdavkov, finančná kontrola VO, kontrola tej istej skutočnosti na mieste). Predchádzajúce vykonanie kontroly nie je prekážkou pre vykonanie </w:t>
      </w:r>
      <w:r w:rsidR="008A679A">
        <w:t xml:space="preserve">opakovanej </w:t>
      </w:r>
      <w:r w:rsidRPr="008A679A">
        <w:t>kontroly tých istých skutočností.</w:t>
      </w:r>
      <w:r w:rsidR="0089120A" w:rsidRPr="0089120A">
        <w:t>Pri výkone takejto kontroly postupuje RO podľa ustanovení zákona o</w:t>
      </w:r>
      <w:r w:rsidR="002458C7">
        <w:t> </w:t>
      </w:r>
      <w:r w:rsidR="0089120A" w:rsidRPr="0089120A">
        <w:t>finančnej kontrole.</w:t>
      </w:r>
    </w:p>
    <w:p w14:paraId="18B6CE07" w14:textId="77777777" w:rsidR="00B650E5" w:rsidRDefault="00B650E5">
      <w:pPr>
        <w:numPr>
          <w:ilvl w:val="0"/>
          <w:numId w:val="28"/>
        </w:numPr>
        <w:spacing w:before="120" w:after="120"/>
        <w:ind w:left="426" w:hanging="426"/>
        <w:jc w:val="both"/>
      </w:pPr>
      <w:r>
        <w:t xml:space="preserve">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w:t>
      </w:r>
      <w:r w:rsidR="008B7D1F">
        <w:t>Ide</w:t>
      </w:r>
      <w:r>
        <w:t xml:space="preserve"> napr. o nasledovné skutočnosti:</w:t>
      </w:r>
    </w:p>
    <w:p w14:paraId="380A9858" w14:textId="77777777" w:rsidR="00B650E5" w:rsidRDefault="00B650E5">
      <w:pPr>
        <w:pStyle w:val="Odsekzoznamu"/>
        <w:numPr>
          <w:ilvl w:val="0"/>
          <w:numId w:val="35"/>
        </w:numPr>
        <w:spacing w:before="120" w:after="120"/>
        <w:ind w:left="851" w:hanging="425"/>
        <w:contextualSpacing w:val="0"/>
        <w:jc w:val="both"/>
      </w:pPr>
      <w:r>
        <w:t>kontrola ŽoP,</w:t>
      </w:r>
    </w:p>
    <w:p w14:paraId="09832B7C" w14:textId="77777777" w:rsidR="00B650E5" w:rsidRDefault="00B650E5">
      <w:pPr>
        <w:pStyle w:val="Odsekzoznamu"/>
        <w:numPr>
          <w:ilvl w:val="0"/>
          <w:numId w:val="35"/>
        </w:numPr>
        <w:spacing w:before="120" w:after="120"/>
        <w:ind w:left="851" w:hanging="425"/>
        <w:contextualSpacing w:val="0"/>
        <w:jc w:val="both"/>
      </w:pPr>
      <w:r>
        <w:t>finančná kontrola VO alebo obstarávania, na ktoré sa ZVO nevzťahuje,</w:t>
      </w:r>
    </w:p>
    <w:p w14:paraId="0827DA6A" w14:textId="77777777" w:rsidR="00B650E5" w:rsidRDefault="00B650E5">
      <w:pPr>
        <w:pStyle w:val="Odsekzoznamu"/>
        <w:numPr>
          <w:ilvl w:val="0"/>
          <w:numId w:val="35"/>
        </w:numPr>
        <w:spacing w:before="120" w:after="120"/>
        <w:ind w:left="851" w:hanging="425"/>
        <w:contextualSpacing w:val="0"/>
        <w:jc w:val="both"/>
      </w:pPr>
      <w:r>
        <w:t>identifikácia a odpočet opatrení, ktoré sú pre realizáciu projektu alebo dosiahnutie cieľov projektu nevyhnutné a ktoré prijímateľ prijal alebo mal prijať na základe záverov  predchádzajúcich kontrol projektu,</w:t>
      </w:r>
    </w:p>
    <w:p w14:paraId="7BF2C7FB" w14:textId="77777777" w:rsidR="00B650E5" w:rsidRDefault="00B650E5">
      <w:pPr>
        <w:pStyle w:val="Odsekzoznamu"/>
        <w:numPr>
          <w:ilvl w:val="0"/>
          <w:numId w:val="35"/>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14:paraId="2BEEE038" w14:textId="77777777" w:rsidR="00B650E5" w:rsidRDefault="00B650E5">
      <w:pPr>
        <w:pStyle w:val="Odsekzoznamu"/>
        <w:numPr>
          <w:ilvl w:val="0"/>
          <w:numId w:val="35"/>
        </w:numPr>
        <w:spacing w:before="120" w:after="120"/>
        <w:ind w:left="851" w:hanging="425"/>
        <w:contextualSpacing w:val="0"/>
        <w:jc w:val="both"/>
      </w:pPr>
      <w:r>
        <w:t>zisťovanie výšky čistých príjmov prijímateľa vytvorených projektom,</w:t>
      </w:r>
    </w:p>
    <w:p w14:paraId="061C9DE3" w14:textId="77777777" w:rsidR="00B650E5" w:rsidRDefault="00B650E5">
      <w:pPr>
        <w:pStyle w:val="Odsekzoznamu"/>
        <w:numPr>
          <w:ilvl w:val="0"/>
          <w:numId w:val="35"/>
        </w:numPr>
        <w:spacing w:before="120" w:after="120"/>
        <w:ind w:left="851" w:hanging="425"/>
        <w:contextualSpacing w:val="0"/>
        <w:jc w:val="both"/>
      </w:pPr>
      <w:r>
        <w:t>účtovníctvo prijímateľa</w:t>
      </w:r>
      <w:r>
        <w:rPr>
          <w:rStyle w:val="Odkaznapoznmkupodiarou"/>
        </w:rPr>
        <w:footnoteReference w:id="88"/>
      </w:r>
      <w:r>
        <w:t>,</w:t>
      </w:r>
    </w:p>
    <w:p w14:paraId="12E1C344" w14:textId="77777777" w:rsidR="00B650E5" w:rsidRDefault="00B650E5">
      <w:pPr>
        <w:pStyle w:val="Odsekzoznamu"/>
        <w:numPr>
          <w:ilvl w:val="0"/>
          <w:numId w:val="35"/>
        </w:numPr>
        <w:spacing w:before="120" w:after="120"/>
        <w:ind w:left="851" w:hanging="425"/>
        <w:contextualSpacing w:val="0"/>
        <w:jc w:val="both"/>
      </w:pPr>
      <w:r>
        <w:t xml:space="preserve">kontrola realizácie/plnenia výstupov projektu, </w:t>
      </w:r>
    </w:p>
    <w:p w14:paraId="7A0CCB36" w14:textId="77777777" w:rsidR="00B650E5" w:rsidRDefault="00B650E5">
      <w:pPr>
        <w:pStyle w:val="Odsekzoznamu"/>
        <w:numPr>
          <w:ilvl w:val="0"/>
          <w:numId w:val="35"/>
        </w:numPr>
        <w:spacing w:before="120" w:after="120"/>
        <w:ind w:left="851" w:hanging="425"/>
        <w:contextualSpacing w:val="0"/>
        <w:jc w:val="both"/>
      </w:pPr>
      <w:r>
        <w:t>skutočné dodanie tovarov, poskytnutie služieb a vykonanie stavebných prác s plným súladom s požiadavkami a podmienkami stanovenými v zmluve o NFP</w:t>
      </w:r>
      <w:r>
        <w:rPr>
          <w:rStyle w:val="Odkaznapoznmkupodiarou"/>
        </w:rPr>
        <w:footnoteReference w:id="89"/>
      </w:r>
      <w:r>
        <w:t xml:space="preserve">, </w:t>
      </w:r>
    </w:p>
    <w:p w14:paraId="57DCC9B5" w14:textId="77777777" w:rsidR="00B650E5" w:rsidRDefault="00B650E5">
      <w:pPr>
        <w:pStyle w:val="Odsekzoznamu"/>
        <w:numPr>
          <w:ilvl w:val="0"/>
          <w:numId w:val="35"/>
        </w:numPr>
        <w:spacing w:before="120" w:after="120"/>
        <w:ind w:left="851" w:hanging="425"/>
        <w:contextualSpacing w:val="0"/>
        <w:jc w:val="both"/>
      </w:pPr>
      <w:r>
        <w:t>overenie, či sa spolufinancované výrobky dodávajú a spolufinancované služby poskytujú a či výdavky deklarované prijímateľom boli zaplatené,</w:t>
      </w:r>
    </w:p>
    <w:p w14:paraId="4C32FE98" w14:textId="77777777" w:rsidR="00B650E5" w:rsidRDefault="00B650E5">
      <w:pPr>
        <w:pStyle w:val="Odsekzoznamu"/>
        <w:numPr>
          <w:ilvl w:val="0"/>
          <w:numId w:val="35"/>
        </w:numPr>
        <w:spacing w:before="120" w:after="120"/>
        <w:ind w:left="851" w:hanging="425"/>
        <w:contextualSpacing w:val="0"/>
        <w:jc w:val="both"/>
      </w:pPr>
      <w:r>
        <w:t>overenie, či výdavky deklarované prijímateľom sú v súlade s legislatívou SR a EÚ, OP a či spĺňajú podmienky poskytnutia príspevku na projekt,</w:t>
      </w:r>
    </w:p>
    <w:p w14:paraId="5B5DDEE4" w14:textId="77777777" w:rsidR="00B650E5" w:rsidRDefault="0089120A" w:rsidP="001B709E">
      <w:pPr>
        <w:pStyle w:val="Odsekzoznamu"/>
        <w:numPr>
          <w:ilvl w:val="0"/>
          <w:numId w:val="35"/>
        </w:numPr>
        <w:spacing w:before="120" w:after="120"/>
        <w:ind w:left="709" w:hanging="283"/>
        <w:contextualSpacing w:val="0"/>
        <w:jc w:val="both"/>
      </w:pPr>
      <w:r>
        <w:lastRenderedPageBreak/>
        <w:t xml:space="preserve">uistenie sa, že </w:t>
      </w:r>
      <w:r w:rsidR="00B650E5">
        <w:t>prijímatelia</w:t>
      </w:r>
      <w:r>
        <w:t>,</w:t>
      </w:r>
      <w:r w:rsidR="00B650E5">
        <w:t xml:space="preserve"> zapojení do realizácie projektov, ktoré sa implementujú na základe </w:t>
      </w:r>
      <w:r>
        <w:t xml:space="preserve">preukázania </w:t>
      </w:r>
      <w:r w:rsidR="00B650E5">
        <w:t xml:space="preserve">skutočne vzniknutých oprávnených nákladov, </w:t>
      </w:r>
      <w:r w:rsidRPr="0089120A">
        <w:t>účtujú o skutočnostiach týkajúcich sa projektu, resp. evidujú skutočnosti týkajúce sa projektu v zmysle ustanovenia § 39 zákona o</w:t>
      </w:r>
      <w:r w:rsidR="002458C7">
        <w:t> </w:t>
      </w:r>
      <w:r w:rsidRPr="0089120A">
        <w:t>príspevku EŠIF,</w:t>
      </w:r>
    </w:p>
    <w:p w14:paraId="3B3CAA38" w14:textId="77777777" w:rsidR="00B650E5" w:rsidRDefault="00B650E5">
      <w:pPr>
        <w:pStyle w:val="Odsekzoznamu"/>
        <w:numPr>
          <w:ilvl w:val="0"/>
          <w:numId w:val="35"/>
        </w:numPr>
        <w:spacing w:before="120" w:after="120"/>
        <w:ind w:left="851" w:hanging="425"/>
        <w:contextualSpacing w:val="0"/>
        <w:jc w:val="both"/>
      </w:pPr>
      <w:r>
        <w:t>zavedenie účinných a primeraných opatrení proti podvodom pri zohľadnení identifikovaných rizík,</w:t>
      </w:r>
    </w:p>
    <w:p w14:paraId="215AF492" w14:textId="77777777" w:rsidR="00B650E5" w:rsidRDefault="00B650E5">
      <w:pPr>
        <w:pStyle w:val="Odsekzoznamu"/>
        <w:numPr>
          <w:ilvl w:val="0"/>
          <w:numId w:val="35"/>
        </w:numPr>
        <w:spacing w:before="120" w:after="120"/>
        <w:ind w:left="851" w:hanging="425"/>
        <w:contextualSpacing w:val="0"/>
        <w:jc w:val="both"/>
      </w:pPr>
      <w:r>
        <w:t>stanovenie postupov na zabezpečenie toho, aby sa všetky doklady týkajúce sa výdavkov a auditov, ktoré sú potrebné na účely adekvátneho audítorského záznamu (audit trail) uchovávali v súlade s podmienkami stanovenými v článku 140 všeobecného nariadenia,</w:t>
      </w:r>
    </w:p>
    <w:p w14:paraId="396550CB" w14:textId="77777777" w:rsidR="00B650E5" w:rsidRDefault="00B650E5">
      <w:pPr>
        <w:pStyle w:val="Odsekzoznamu"/>
        <w:numPr>
          <w:ilvl w:val="0"/>
          <w:numId w:val="35"/>
        </w:numPr>
        <w:spacing w:before="120" w:after="120"/>
        <w:ind w:left="851" w:hanging="425"/>
        <w:contextualSpacing w:val="0"/>
        <w:jc w:val="both"/>
      </w:pPr>
      <w:r>
        <w:t xml:space="preserve">overenie, či výdavky projektu vznikli počas obdobia oprávnenosti a došlo k ich vyplateniu, </w:t>
      </w:r>
    </w:p>
    <w:p w14:paraId="7ED947B8" w14:textId="77777777" w:rsidR="00B650E5" w:rsidRDefault="00B650E5">
      <w:pPr>
        <w:pStyle w:val="Odsekzoznamu"/>
        <w:numPr>
          <w:ilvl w:val="0"/>
          <w:numId w:val="35"/>
        </w:numPr>
        <w:spacing w:before="120" w:after="120"/>
        <w:ind w:left="851" w:hanging="425"/>
        <w:contextualSpacing w:val="0"/>
        <w:jc w:val="both"/>
      </w:pPr>
      <w:r>
        <w:t>overenie, či výdavky projektu sú v súlade so schváleným projektom,</w:t>
      </w:r>
    </w:p>
    <w:p w14:paraId="70A16516" w14:textId="77777777" w:rsidR="00B650E5" w:rsidRDefault="00B650E5">
      <w:pPr>
        <w:pStyle w:val="Odsekzoznamu"/>
        <w:numPr>
          <w:ilvl w:val="0"/>
          <w:numId w:val="35"/>
        </w:numPr>
        <w:spacing w:before="120" w:after="120"/>
        <w:ind w:left="851" w:hanging="425"/>
        <w:contextualSpacing w:val="0"/>
        <w:jc w:val="both"/>
      </w:pPr>
      <w:r>
        <w:t>overenie súladu s pravidlami stanovenými v projekte vrátane súladu so schválenou mierou spolufinancovania,</w:t>
      </w:r>
    </w:p>
    <w:p w14:paraId="7AAFF7F2" w14:textId="77777777" w:rsidR="00B650E5" w:rsidRDefault="00B650E5">
      <w:pPr>
        <w:pStyle w:val="Odsekzoznamu"/>
        <w:numPr>
          <w:ilvl w:val="0"/>
          <w:numId w:val="35"/>
        </w:numPr>
        <w:spacing w:before="120" w:after="120"/>
        <w:ind w:left="851" w:hanging="425"/>
        <w:contextualSpacing w:val="0"/>
        <w:jc w:val="both"/>
      </w:pPr>
      <w:r>
        <w:t>overenie súladu s pravidlami oprávnenosti výdavkov na národnej úrovni aj na úrovni EÚ,</w:t>
      </w:r>
    </w:p>
    <w:p w14:paraId="4BC801F7" w14:textId="77777777" w:rsidR="00B650E5" w:rsidRDefault="00B650E5">
      <w:pPr>
        <w:pStyle w:val="Odsekzoznamu"/>
        <w:numPr>
          <w:ilvl w:val="0"/>
          <w:numId w:val="35"/>
        </w:numPr>
        <w:spacing w:before="120" w:after="120"/>
        <w:ind w:left="851" w:hanging="425"/>
        <w:contextualSpacing w:val="0"/>
        <w:jc w:val="both"/>
      </w:pPr>
      <w:r>
        <w:t>overenie adekvátnosti  podporných dokumentov a existencia adekvátneho audit trialu,</w:t>
      </w:r>
    </w:p>
    <w:p w14:paraId="53002EBB" w14:textId="77777777" w:rsidR="00B650E5" w:rsidRDefault="00B650E5">
      <w:pPr>
        <w:pStyle w:val="Odsekzoznamu"/>
        <w:numPr>
          <w:ilvl w:val="0"/>
          <w:numId w:val="35"/>
        </w:numPr>
        <w:spacing w:before="120" w:after="120"/>
        <w:ind w:left="851" w:hanging="425"/>
        <w:contextualSpacing w:val="0"/>
        <w:jc w:val="both"/>
      </w:pPr>
      <w:r>
        <w:t>overenie súladu s podmienkami štátnej pomoci/pomoci de minimis a požiadavkami na udržateľný rozvoj, rovnosť príležitostí a nediskrimináciu,</w:t>
      </w:r>
    </w:p>
    <w:p w14:paraId="490D9925" w14:textId="77777777" w:rsidR="00B650E5" w:rsidRDefault="00B650E5">
      <w:pPr>
        <w:pStyle w:val="Odsekzoznamu"/>
        <w:numPr>
          <w:ilvl w:val="0"/>
          <w:numId w:val="35"/>
        </w:numPr>
        <w:spacing w:before="120" w:after="120"/>
        <w:ind w:left="851" w:hanging="425"/>
        <w:contextualSpacing w:val="0"/>
        <w:jc w:val="both"/>
      </w:pPr>
      <w:r>
        <w:t>overenie súladu s pravidlami publicity na národnej úrovni aj na úrovni EÚ,</w:t>
      </w:r>
    </w:p>
    <w:p w14:paraId="29B8F8C9" w14:textId="77777777" w:rsidR="00B650E5" w:rsidRDefault="00B650E5">
      <w:pPr>
        <w:pStyle w:val="Odsekzoznamu"/>
        <w:numPr>
          <w:ilvl w:val="0"/>
          <w:numId w:val="35"/>
        </w:numPr>
        <w:spacing w:before="120" w:after="120"/>
        <w:ind w:left="851" w:hanging="425"/>
        <w:contextualSpacing w:val="0"/>
        <w:jc w:val="both"/>
      </w:pPr>
      <w:r>
        <w:t>overenie súladu vykazovania zjednodušených foriem vykazovania výdavkov s nastavenými pravidlami,</w:t>
      </w:r>
    </w:p>
    <w:p w14:paraId="382CF06A" w14:textId="77777777" w:rsidR="00B650E5" w:rsidRDefault="00B650E5">
      <w:pPr>
        <w:pStyle w:val="Odsekzoznamu"/>
        <w:numPr>
          <w:ilvl w:val="0"/>
          <w:numId w:val="35"/>
        </w:numPr>
        <w:spacing w:before="120" w:after="120"/>
        <w:ind w:left="851" w:hanging="425"/>
        <w:contextualSpacing w:val="0"/>
        <w:jc w:val="both"/>
      </w:pPr>
      <w:r>
        <w:t>overenie fyzického pokroku projektu vo vzťahu k merateľným ukazovateľom projektu a dátam, ktoré sú povinne poskytované na úrovni projektu,</w:t>
      </w:r>
    </w:p>
    <w:p w14:paraId="2F0FF198" w14:textId="77777777" w:rsidR="00B650E5" w:rsidRDefault="00B650E5" w:rsidP="00AD5656">
      <w:pPr>
        <w:pStyle w:val="Odsekzoznamu"/>
        <w:numPr>
          <w:ilvl w:val="0"/>
          <w:numId w:val="35"/>
        </w:numPr>
        <w:spacing w:before="120" w:after="120"/>
        <w:ind w:left="851" w:hanging="425"/>
        <w:contextualSpacing w:val="0"/>
        <w:jc w:val="both"/>
      </w:pPr>
      <w:r>
        <w:t xml:space="preserve">overenie nakladania s majetkom nadobudnutom z prostriedkov NFP a podmienok, na základe ktorých s ním môžu nakladať ďalšie osoby. </w:t>
      </w:r>
    </w:p>
    <w:p w14:paraId="11B41AF4" w14:textId="77777777" w:rsidR="00B650E5" w:rsidRPr="005D1036" w:rsidRDefault="00B650E5" w:rsidP="00AB2DCC">
      <w:pPr>
        <w:spacing w:after="200"/>
        <w:ind w:left="426" w:hanging="426"/>
        <w:jc w:val="both"/>
      </w:pPr>
      <w:r>
        <w:t xml:space="preserve">6. </w:t>
      </w:r>
      <w:r>
        <w:tab/>
        <w:t xml:space="preserve">Cieľom finančnej kontroly je </w:t>
      </w:r>
      <w:r w:rsidRPr="005D1036">
        <w:t>zabezpečiť najmä</w:t>
      </w:r>
      <w:r>
        <w:t>:</w:t>
      </w:r>
    </w:p>
    <w:p w14:paraId="457AC819"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hospodárnosti, efektívnosti, účinnosti a účelnosti pri hospodárení s verejnými financiami a realizácii finančnej operácie alebo jej časti,</w:t>
      </w:r>
    </w:p>
    <w:p w14:paraId="125B4F89"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rozpočtu orgánu verejnej správy,</w:t>
      </w:r>
    </w:p>
    <w:p w14:paraId="5406F630"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zákona</w:t>
      </w:r>
      <w:r>
        <w:t xml:space="preserve"> o finančnej kontrole</w:t>
      </w:r>
      <w:r w:rsidRPr="005D1036">
        <w:t>, všeobecne záväzných právnych predpisov vydaných na jeho vykonanie, osobitných predpisov, medzinárodných zmlúv, ktorými je Slovenská republika viazaná</w:t>
      </w:r>
      <w:r w:rsidRPr="003120E4">
        <w:rPr>
          <w:rStyle w:val="Odkaznapoznmkupodiarou"/>
        </w:rPr>
        <w:footnoteReference w:id="90"/>
      </w:r>
      <w:r w:rsidRPr="00C03CE9">
        <w:rPr>
          <w:vertAlign w:val="superscript"/>
        </w:rPr>
        <w:t>)</w:t>
      </w:r>
      <w:r w:rsidRPr="005D1036">
        <w:t xml:space="preserve"> a na základe ktorých sa Slovenskej republike poskytujú </w:t>
      </w:r>
      <w:r w:rsidRPr="005D1036">
        <w:lastRenderedPageBreak/>
        <w:t>finančné prostriedky zo zahraničia, rozhodnutí vydaných na základe osobitných predpisov</w:t>
      </w:r>
      <w:bookmarkStart w:id="301" w:name="_Ref424744070"/>
      <w:r w:rsidRPr="005D1036">
        <w:rPr>
          <w:rStyle w:val="Odkaznapoznmkupodiarou"/>
        </w:rPr>
        <w:footnoteReference w:id="91"/>
      </w:r>
      <w:bookmarkEnd w:id="301"/>
      <w:r w:rsidRPr="005D1036">
        <w:t>) alebo vnútorných predpisov,</w:t>
      </w:r>
    </w:p>
    <w:p w14:paraId="2A1F6ADA"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uzatvorených zmlúv</w:t>
      </w:r>
      <w:bookmarkStart w:id="302" w:name="_Ref424740961"/>
      <w:r w:rsidRPr="005D1036">
        <w:rPr>
          <w:rStyle w:val="Odkaznapoznmkupodiarou"/>
        </w:rPr>
        <w:footnoteReference w:id="92"/>
      </w:r>
      <w:bookmarkEnd w:id="302"/>
      <w:r w:rsidRPr="005D1036">
        <w:t>) orgánom verejnej správy,</w:t>
      </w:r>
    </w:p>
    <w:p w14:paraId="1252F7C1" w14:textId="77777777" w:rsidR="00B650E5" w:rsidRPr="005D1036" w:rsidRDefault="00B650E5" w:rsidP="009D6DF9">
      <w:pPr>
        <w:pStyle w:val="Odsekzoznamu"/>
        <w:numPr>
          <w:ilvl w:val="0"/>
          <w:numId w:val="391"/>
        </w:numPr>
        <w:spacing w:after="120"/>
        <w:ind w:left="851" w:hanging="426"/>
        <w:contextualSpacing w:val="0"/>
        <w:jc w:val="both"/>
      </w:pPr>
      <w:r w:rsidRPr="005D1036">
        <w:t>dodržiavanie podmienok na poskytnutie a použitie verejných financií,</w:t>
      </w:r>
    </w:p>
    <w:p w14:paraId="13F75054" w14:textId="77777777" w:rsidR="00B650E5" w:rsidRPr="005D1036" w:rsidRDefault="00B650E5" w:rsidP="009D6DF9">
      <w:pPr>
        <w:pStyle w:val="Odsekzoznamu"/>
        <w:numPr>
          <w:ilvl w:val="0"/>
          <w:numId w:val="391"/>
        </w:numPr>
        <w:spacing w:after="120"/>
        <w:ind w:left="851" w:hanging="426"/>
        <w:contextualSpacing w:val="0"/>
        <w:jc w:val="both"/>
      </w:pPr>
      <w:r w:rsidRPr="005D1036">
        <w:t>správnosť a preukázateľnosť vykonávania finančnej operácie alebo jej časti, spoľahlivosť výkazníctva,</w:t>
      </w:r>
    </w:p>
    <w:p w14:paraId="11D15640" w14:textId="77777777" w:rsidR="00B650E5" w:rsidRPr="005D1036" w:rsidRDefault="00B650E5" w:rsidP="009D6DF9">
      <w:pPr>
        <w:pStyle w:val="Odsekzoznamu"/>
        <w:numPr>
          <w:ilvl w:val="0"/>
          <w:numId w:val="391"/>
        </w:numPr>
        <w:spacing w:after="120"/>
        <w:ind w:left="851" w:hanging="426"/>
        <w:contextualSpacing w:val="0"/>
        <w:jc w:val="both"/>
      </w:pPr>
      <w:r w:rsidRPr="005D1036">
        <w:t>ochranu majetku v správe alebo vo vlastníctve orgánu verejnej správy,</w:t>
      </w:r>
    </w:p>
    <w:p w14:paraId="26E67D6A" w14:textId="77777777" w:rsidR="00B650E5" w:rsidRPr="005D1036" w:rsidRDefault="00B650E5" w:rsidP="009D6DF9">
      <w:pPr>
        <w:pStyle w:val="Odsekzoznamu"/>
        <w:numPr>
          <w:ilvl w:val="0"/>
          <w:numId w:val="391"/>
        </w:numPr>
        <w:spacing w:after="120"/>
        <w:ind w:left="851" w:hanging="426"/>
        <w:contextualSpacing w:val="0"/>
        <w:jc w:val="both"/>
      </w:pPr>
      <w:r w:rsidRPr="005D1036">
        <w:t>predchádzanie podvodom a nezrovnalostiam,</w:t>
      </w:r>
      <w:r>
        <w:rPr>
          <w:rStyle w:val="Odkaznapoznmkupodiarou"/>
        </w:rPr>
        <w:footnoteReference w:id="93"/>
      </w:r>
      <w:r w:rsidRPr="005D1036">
        <w:t>)</w:t>
      </w:r>
    </w:p>
    <w:p w14:paraId="73660CC4" w14:textId="77777777" w:rsidR="00B650E5" w:rsidRPr="005D1036" w:rsidRDefault="00B650E5" w:rsidP="009D6DF9">
      <w:pPr>
        <w:pStyle w:val="Odsekzoznamu"/>
        <w:numPr>
          <w:ilvl w:val="0"/>
          <w:numId w:val="391"/>
        </w:numPr>
        <w:spacing w:after="120"/>
        <w:ind w:left="851" w:hanging="426"/>
        <w:contextualSpacing w:val="0"/>
        <w:jc w:val="both"/>
      </w:pPr>
      <w:r w:rsidRPr="005D1036">
        <w:t>včasné a spoľahlivé informovanie štatutárneho orgánu verejnej správy o úrovni hospodárenia s verejnými financiami a o vykonávaných finančných operáciách alebo ich častiach,</w:t>
      </w:r>
    </w:p>
    <w:p w14:paraId="2D04C36D" w14:textId="77777777" w:rsidR="00B650E5" w:rsidRPr="005D1036" w:rsidRDefault="00B650E5" w:rsidP="009D6DF9">
      <w:pPr>
        <w:pStyle w:val="Odsekzoznamu"/>
        <w:numPr>
          <w:ilvl w:val="0"/>
          <w:numId w:val="391"/>
        </w:numPr>
        <w:spacing w:after="120"/>
        <w:ind w:left="851" w:hanging="426"/>
        <w:contextualSpacing w:val="0"/>
        <w:jc w:val="both"/>
      </w:pPr>
      <w:r w:rsidRPr="005D1036">
        <w:t>overova</w:t>
      </w:r>
      <w:r>
        <w:t>nie</w:t>
      </w:r>
      <w:r w:rsidRPr="005D1036">
        <w:t xml:space="preserve"> plneni</w:t>
      </w:r>
      <w:r>
        <w:t>a</w:t>
      </w:r>
      <w:r w:rsidRPr="005D1036">
        <w:t xml:space="preserve"> opatrení prijatých na nápravu nedostatkov zistených administratívnou finančnou kontrolu alebo finančnou kontrolou na mieste a na odstránenie príčin ich vzniku,</w:t>
      </w:r>
    </w:p>
    <w:p w14:paraId="2AC9E8C4" w14:textId="77777777" w:rsidR="00B650E5" w:rsidRPr="005D1036" w:rsidRDefault="00B650E5" w:rsidP="009D6DF9">
      <w:pPr>
        <w:pStyle w:val="Odsekzoznamu"/>
        <w:numPr>
          <w:ilvl w:val="0"/>
          <w:numId w:val="391"/>
        </w:numPr>
        <w:spacing w:after="120"/>
        <w:ind w:left="851" w:hanging="426"/>
        <w:contextualSpacing w:val="0"/>
        <w:jc w:val="both"/>
      </w:pPr>
      <w:r w:rsidRPr="005D1036">
        <w:t>overova</w:t>
      </w:r>
      <w:r>
        <w:t>nie</w:t>
      </w:r>
      <w:r w:rsidRPr="005D1036">
        <w:t xml:space="preserve"> ďalš</w:t>
      </w:r>
      <w:r>
        <w:t>ích</w:t>
      </w:r>
      <w:r w:rsidRPr="005D1036">
        <w:t xml:space="preserve"> skutočnost</w:t>
      </w:r>
      <w:r>
        <w:t>í</w:t>
      </w:r>
      <w:r w:rsidRPr="005D1036">
        <w:t xml:space="preserve"> súvisiac</w:t>
      </w:r>
      <w:r>
        <w:t>ich</w:t>
      </w:r>
      <w:r w:rsidRPr="005D1036">
        <w:t xml:space="preserve"> s finančnou operáciou alebo jej časťou a finančným riadením.</w:t>
      </w:r>
    </w:p>
    <w:p w14:paraId="1EF37B93" w14:textId="77777777" w:rsidR="00B650E5" w:rsidRDefault="00B650E5" w:rsidP="003120E4">
      <w:pPr>
        <w:pStyle w:val="SRK5"/>
        <w:numPr>
          <w:ilvl w:val="4"/>
          <w:numId w:val="289"/>
        </w:numPr>
      </w:pPr>
      <w:bookmarkStart w:id="303" w:name="_Toc442884036"/>
      <w:bookmarkStart w:id="304" w:name="_Toc453234022"/>
      <w:bookmarkStart w:id="305" w:name="_Toc501630075"/>
      <w:bookmarkStart w:id="306" w:name="kapitola_33613"/>
      <w:bookmarkEnd w:id="303"/>
      <w:r>
        <w:t>Výstup z finančnej kontroly projektu a ukončenie kontroly projektu</w:t>
      </w:r>
      <w:bookmarkEnd w:id="304"/>
      <w:bookmarkEnd w:id="305"/>
    </w:p>
    <w:bookmarkEnd w:id="306"/>
    <w:p w14:paraId="7DD87E1B" w14:textId="77777777" w:rsidR="00B650E5" w:rsidRDefault="00B650E5" w:rsidP="005475B5">
      <w:pPr>
        <w:pStyle w:val="Odsekzoznamu"/>
        <w:numPr>
          <w:ilvl w:val="0"/>
          <w:numId w:val="32"/>
        </w:numPr>
        <w:spacing w:before="120" w:after="120"/>
        <w:ind w:left="425" w:hanging="425"/>
        <w:contextualSpacing w:val="0"/>
        <w:jc w:val="both"/>
      </w:pPr>
      <w:r>
        <w:t>Výstupom z každej administratívnej finančnej kontroly a finančnej kontroly na mieste je návrh čiastkovej správy/ návrh správy z kontroly (v prípade zistených nedostatkov) a čiastková správa z kontroly/ správa z kontroly. Legislatívnym rámcom pre ich vypracovanie je § 22 zákona o finančnej kontrole.</w:t>
      </w:r>
    </w:p>
    <w:p w14:paraId="756ACB7D" w14:textId="77777777" w:rsidR="00B650E5" w:rsidRDefault="00B650E5" w:rsidP="005475B5">
      <w:pPr>
        <w:pStyle w:val="Odsekzoznamu"/>
        <w:numPr>
          <w:ilvl w:val="0"/>
          <w:numId w:val="32"/>
        </w:numPr>
        <w:spacing w:before="120" w:after="120"/>
        <w:ind w:left="425" w:hanging="425"/>
        <w:contextualSpacing w:val="0"/>
        <w:jc w:val="both"/>
      </w:pPr>
      <w:bookmarkStart w:id="307" w:name="kapitola_33613_ods_2"/>
      <w:bookmarkEnd w:id="307"/>
      <w:r>
        <w:t>Záverom z každej vykonanej základnej  finančnej kontroly, je na základe overených skutočností jedno z nasledovných vyjadrení osôb, ktoré kontrolu vykonali:</w:t>
      </w:r>
    </w:p>
    <w:p w14:paraId="1D0D7A04" w14:textId="77777777" w:rsidR="00B650E5" w:rsidRDefault="00B650E5" w:rsidP="001B709E">
      <w:pPr>
        <w:pStyle w:val="Odsekzoznamu"/>
        <w:numPr>
          <w:ilvl w:val="1"/>
          <w:numId w:val="32"/>
        </w:numPr>
        <w:tabs>
          <w:tab w:val="left" w:pos="851"/>
        </w:tabs>
        <w:spacing w:before="120" w:after="120"/>
        <w:ind w:left="851" w:hanging="425"/>
        <w:contextualSpacing w:val="0"/>
        <w:jc w:val="both"/>
      </w:pPr>
      <w:r>
        <w:t>vo finančnej operácií je možné pokračovať – v prípade, ak je overené splnenie všetkých podmienok overovaných v rámci vykonávanej kontroly/ administratívnom overení a nedochádza k dožadovaniu údajov ani k zastaveniu konania, resp. k vydaniu rozhodnutia o neschválení, resp. k inému postupu v dôsledku ktorého dôjde k nepokračovaniu vo</w:t>
      </w:r>
      <w:r w:rsidR="002458C7">
        <w:t> </w:t>
      </w:r>
      <w:r>
        <w:t xml:space="preserve">finančnej operácii alebo k jej pozastaveniu do doby odstránenia dôvodov, pre ktoré nie je </w:t>
      </w:r>
      <w:r>
        <w:lastRenderedPageBreak/>
        <w:t>možné vo finančnej operácii pokračovať;</w:t>
      </w:r>
      <w:r w:rsidRPr="00517B1D">
        <w:t xml:space="preserve"> </w:t>
      </w:r>
      <w:r>
        <w:t>v</w:t>
      </w:r>
      <w:r w:rsidRPr="008B6CAA">
        <w:t> </w:t>
      </w:r>
      <w:r w:rsidRPr="00EE61C2">
        <w:t>prípade identifikovania neoprávnených výdavkov v</w:t>
      </w:r>
      <w:r w:rsidRPr="002F0FAA">
        <w:t> procese administratívneho overovania ŽoNFP je potrebné k vyjadreniu doplniť text s</w:t>
      </w:r>
      <w:r w:rsidR="008F6E58">
        <w:t xml:space="preserve"> uvedením </w:t>
      </w:r>
      <w:r w:rsidRPr="002F0FAA">
        <w:t>podmienk</w:t>
      </w:r>
      <w:r w:rsidR="008F6E58">
        <w:t>y</w:t>
      </w:r>
      <w:r>
        <w:t>,</w:t>
      </w:r>
      <w:r w:rsidRPr="002F0FAA">
        <w:t xml:space="preserve"> za </w:t>
      </w:r>
      <w:r w:rsidR="009407C8">
        <w:t xml:space="preserve">splnenia </w:t>
      </w:r>
      <w:r w:rsidRPr="002F0FAA">
        <w:t>ktorej je možné vo</w:t>
      </w:r>
      <w:r>
        <w:t> </w:t>
      </w:r>
      <w:r w:rsidRPr="002F0FAA">
        <w:t>finančnej operáci</w:t>
      </w:r>
      <w:r>
        <w:t>i</w:t>
      </w:r>
      <w:r w:rsidRPr="002F0FAA">
        <w:t xml:space="preserve"> pokračovať;</w:t>
      </w:r>
    </w:p>
    <w:p w14:paraId="290EABD1" w14:textId="77777777" w:rsidR="00B650E5" w:rsidRDefault="00B650E5" w:rsidP="001B709E">
      <w:pPr>
        <w:pStyle w:val="Odsekzoznamu"/>
        <w:numPr>
          <w:ilvl w:val="1"/>
          <w:numId w:val="32"/>
        </w:numPr>
        <w:tabs>
          <w:tab w:val="left" w:pos="851"/>
        </w:tabs>
        <w:spacing w:before="120" w:after="120"/>
        <w:ind w:left="851" w:hanging="425"/>
        <w:contextualSpacing w:val="0"/>
        <w:jc w:val="both"/>
      </w:pPr>
      <w:r>
        <w:t>vo finančnej operácií nie je možné pokračovať – ak v rámci administratívneho overenia/vykonávanej kontroly boli identifikované také dôvody, ktoré neumožňujú pokračovať vo finančnej operácií, a je potrebné ju ukončiť (napr. ak dochádza k zastaveniu konania alebo k vydaniu rozhodnutia o neschválení, k nevyhláseniu výzvy a pod.);</w:t>
      </w:r>
    </w:p>
    <w:p w14:paraId="2E8630F0" w14:textId="52BE8521" w:rsidR="00B650E5" w:rsidRDefault="00B650E5" w:rsidP="001B709E">
      <w:pPr>
        <w:pStyle w:val="Odsekzoznamu"/>
        <w:numPr>
          <w:ilvl w:val="1"/>
          <w:numId w:val="32"/>
        </w:numPr>
        <w:tabs>
          <w:tab w:val="left" w:pos="851"/>
        </w:tabs>
        <w:spacing w:before="120" w:after="120"/>
        <w:ind w:left="851" w:hanging="425"/>
        <w:contextualSpacing w:val="0"/>
        <w:jc w:val="both"/>
      </w:pPr>
      <w:r w:rsidRPr="00594B46">
        <w:t>je potrebné vymáhať poskytnuté plnenie - ak sa finančná operácia alebo jej časť už vykonala, pričom bola zistená nezrovnalosť s finančným dopadom (napr. pri spätnom overení ŽoP, pri</w:t>
      </w:r>
      <w:r w:rsidR="008D24EF">
        <w:t> </w:t>
      </w:r>
      <w:r w:rsidRPr="00594B46">
        <w:t>výkone finančnej kontroly na mieste po vykonaní úhrady ŽoP a pod.</w:t>
      </w:r>
    </w:p>
    <w:p w14:paraId="376186E0" w14:textId="4D0093BE" w:rsidR="002B386E" w:rsidRDefault="002B386E" w:rsidP="00F05094">
      <w:pPr>
        <w:pStyle w:val="Odsekzoznamu"/>
        <w:numPr>
          <w:ilvl w:val="0"/>
          <w:numId w:val="32"/>
        </w:numPr>
        <w:spacing w:before="120" w:after="120"/>
        <w:ind w:left="426" w:hanging="426"/>
        <w:contextualSpacing w:val="0"/>
        <w:jc w:val="both"/>
      </w:pPr>
      <w:r>
        <w:t xml:space="preserve">V  prípade, ak je kontrolovanej osobe zasielaná výzva na doplnenie, opravu alebo vyjadrenie,  alebo ak nastali iné skutočnosti, ktoré do doby ich pominutia neumožňujú vyslovenie jednoznačného vyjadrenia o možnosti/nemožnosti pokračovania vo finančnej operácií, možno k dátumu zastavenia konania alebo prerušenia kontroly vypracovať kontrolný zoznam s vyjadrením, že finančnú operáciu je potrebné zastaviť. Takto vypracovaný kontrolný zoznam nie je výstupom z finančnej kontroly a slúži len na zachytenie skontrolovaných skutočností do okamihu keď došlo ku skutočnosti, ktoré bránia vysloveniu vyjadrenia podľa ustanovenia § 7 ods. 3 zákona o finančnej kontrole, a to z dôvodu,  aby nebolo potrebné opätovne overovať skutočnosti, ktoré pred prerušením už boli overené. Uvedené vyjadrenie je len dočasným, nie trvalým výrokom. Po pominutí dôvodov alebo uplynutím lehoty na doplnenie, opravu alebo vyjadrenie je potrebné vypracovať kompletný kontrolný zoznam s jedným z vyjadrení uvedených </w:t>
      </w:r>
      <w:hyperlink w:anchor="kapitola_33613_ods_2" w:history="1">
        <w:r w:rsidRPr="00703E58">
          <w:rPr>
            <w:rStyle w:val="Hypertextovprepojenie"/>
          </w:rPr>
          <w:t>v ods. 2 písm. a) až c) tejto kapitoly</w:t>
        </w:r>
      </w:hyperlink>
      <w:r>
        <w:t>.</w:t>
      </w:r>
    </w:p>
    <w:p w14:paraId="6D10291F" w14:textId="77777777" w:rsidR="00B650E5" w:rsidRDefault="00B650E5" w:rsidP="00F05094">
      <w:pPr>
        <w:pStyle w:val="Odsekzoznamu"/>
        <w:numPr>
          <w:ilvl w:val="0"/>
          <w:numId w:val="32"/>
        </w:numPr>
        <w:spacing w:before="120" w:after="120"/>
        <w:ind w:left="426" w:hanging="426"/>
        <w:contextualSpacing w:val="0"/>
        <w:jc w:val="both"/>
      </w:pPr>
      <w:r>
        <w:t xml:space="preserve">Minimálnymi obsahovými náležitosťami </w:t>
      </w:r>
      <w:r w:rsidRPr="00F05094">
        <w:rPr>
          <w:b/>
        </w:rPr>
        <w:t>návrhu čiastkovej správy z</w:t>
      </w:r>
      <w:r w:rsidRPr="005475B5">
        <w:rPr>
          <w:b/>
        </w:rPr>
        <w:t> kontroly/návrhu správy z kontroly</w:t>
      </w:r>
      <w:r>
        <w:t xml:space="preserve"> sú: </w:t>
      </w:r>
    </w:p>
    <w:p w14:paraId="20068479" w14:textId="77777777" w:rsidR="00B650E5" w:rsidRDefault="00B650E5">
      <w:pPr>
        <w:pStyle w:val="Odsekzoznamu"/>
        <w:numPr>
          <w:ilvl w:val="1"/>
          <w:numId w:val="26"/>
        </w:numPr>
        <w:tabs>
          <w:tab w:val="clear" w:pos="1069"/>
        </w:tabs>
        <w:spacing w:before="120" w:after="120"/>
        <w:ind w:left="851" w:hanging="425"/>
        <w:contextualSpacing w:val="0"/>
        <w:jc w:val="both"/>
      </w:pPr>
      <w:r>
        <w:t>označenie RO, ktorý kontrolu vykonal;</w:t>
      </w:r>
    </w:p>
    <w:p w14:paraId="3514D353" w14:textId="77777777" w:rsidR="00B650E5" w:rsidRDefault="00B650E5">
      <w:pPr>
        <w:numPr>
          <w:ilvl w:val="1"/>
          <w:numId w:val="26"/>
        </w:numPr>
        <w:tabs>
          <w:tab w:val="clear" w:pos="1069"/>
          <w:tab w:val="num" w:pos="1134"/>
        </w:tabs>
        <w:spacing w:before="120" w:after="120"/>
        <w:ind w:left="851" w:hanging="425"/>
        <w:jc w:val="both"/>
      </w:pPr>
      <w:r>
        <w:t>mená, priezviská a podpisy zamestnancov RO a prizvaných osôb, ktorí vykonali kontrolu;</w:t>
      </w:r>
    </w:p>
    <w:p w14:paraId="7AFBE7EC" w14:textId="77777777" w:rsidR="00B650E5" w:rsidRDefault="00B650E5">
      <w:pPr>
        <w:numPr>
          <w:ilvl w:val="1"/>
          <w:numId w:val="26"/>
        </w:numPr>
        <w:tabs>
          <w:tab w:val="clear" w:pos="1069"/>
          <w:tab w:val="num" w:pos="1134"/>
        </w:tabs>
        <w:spacing w:before="120" w:after="120"/>
        <w:ind w:left="851" w:hanging="425"/>
        <w:jc w:val="both"/>
      </w:pPr>
      <w:r>
        <w:t>označenie kontrolovanej osoby;</w:t>
      </w:r>
    </w:p>
    <w:p w14:paraId="2CFD4198" w14:textId="77777777" w:rsidR="00B650E5" w:rsidRDefault="00B650E5">
      <w:pPr>
        <w:numPr>
          <w:ilvl w:val="1"/>
          <w:numId w:val="26"/>
        </w:numPr>
        <w:tabs>
          <w:tab w:val="clear" w:pos="1069"/>
          <w:tab w:val="num" w:pos="1134"/>
        </w:tabs>
        <w:spacing w:before="120" w:after="120"/>
        <w:ind w:left="851" w:hanging="425"/>
        <w:jc w:val="both"/>
      </w:pPr>
      <w:r>
        <w:t>označenie formy kontroly (administratívna finančná kontrola/finančná kontrola na mieste);</w:t>
      </w:r>
    </w:p>
    <w:p w14:paraId="0ACA3D9D" w14:textId="77777777" w:rsidR="00B650E5" w:rsidRDefault="00B650E5">
      <w:pPr>
        <w:numPr>
          <w:ilvl w:val="1"/>
          <w:numId w:val="26"/>
        </w:numPr>
        <w:tabs>
          <w:tab w:val="clear" w:pos="1069"/>
          <w:tab w:val="left" w:pos="1134"/>
        </w:tabs>
        <w:spacing w:before="120" w:after="120"/>
        <w:ind w:left="851" w:hanging="425"/>
        <w:jc w:val="both"/>
      </w:pPr>
      <w:r>
        <w:t xml:space="preserve">identifikačné údaje projektu (názov a kód projektu); </w:t>
      </w:r>
    </w:p>
    <w:p w14:paraId="0BAA57E7" w14:textId="77777777" w:rsidR="00B650E5" w:rsidRDefault="00B650E5">
      <w:pPr>
        <w:numPr>
          <w:ilvl w:val="1"/>
          <w:numId w:val="26"/>
        </w:numPr>
        <w:tabs>
          <w:tab w:val="clear" w:pos="1069"/>
          <w:tab w:val="num" w:pos="1134"/>
        </w:tabs>
        <w:spacing w:before="120" w:after="120"/>
        <w:ind w:left="851" w:hanging="425"/>
        <w:jc w:val="both"/>
      </w:pPr>
      <w:r>
        <w:t>predmet kontroly;</w:t>
      </w:r>
    </w:p>
    <w:p w14:paraId="20FADE4F" w14:textId="77777777" w:rsidR="00B650E5" w:rsidRDefault="00B650E5">
      <w:pPr>
        <w:numPr>
          <w:ilvl w:val="1"/>
          <w:numId w:val="26"/>
        </w:numPr>
        <w:tabs>
          <w:tab w:val="clear" w:pos="1069"/>
          <w:tab w:val="num" w:pos="1134"/>
        </w:tabs>
        <w:spacing w:before="120" w:after="120"/>
        <w:ind w:left="851" w:hanging="425"/>
        <w:jc w:val="both"/>
      </w:pPr>
      <w:r>
        <w:t>cieľ kontroly</w:t>
      </w:r>
      <w:r w:rsidR="008C2015">
        <w:t>;</w:t>
      </w:r>
    </w:p>
    <w:p w14:paraId="532F48AD" w14:textId="77777777" w:rsidR="00B650E5" w:rsidRDefault="00B650E5">
      <w:pPr>
        <w:numPr>
          <w:ilvl w:val="1"/>
          <w:numId w:val="26"/>
        </w:numPr>
        <w:tabs>
          <w:tab w:val="clear" w:pos="1069"/>
          <w:tab w:val="num" w:pos="1134"/>
        </w:tabs>
        <w:spacing w:before="120" w:after="120"/>
        <w:ind w:left="851" w:hanging="425"/>
        <w:jc w:val="both"/>
      </w:pPr>
      <w:r>
        <w:t>opis zistených nedostatkov a pri porušení osobitných predpisov alebo medzinárodných zmlúv, ktorými je Slovenská republika viazaná a na základe ktorých sa Slovenskej republike poskytujú finančné prostriedky zo zahraničia označenie konkrétnych ustanovení, ktoré boli porušené spolu s návrhmi odporúčaní alebo opatrení na nápravu zistených nedostatkov a na odstránenie príčin ich vzniku, (vrátane kvalifikácie zistených nezrovnalostí alebo zisteného podozrenia z nezrovnalosti) spolu s návrhmi opatrení na nápravu zistených nedostatkov a na odstránenie príčin ich vzniku;</w:t>
      </w:r>
    </w:p>
    <w:p w14:paraId="5803F5BB" w14:textId="77777777" w:rsidR="00B650E5" w:rsidRDefault="00B650E5" w:rsidP="00736062">
      <w:pPr>
        <w:numPr>
          <w:ilvl w:val="1"/>
          <w:numId w:val="26"/>
        </w:numPr>
        <w:tabs>
          <w:tab w:val="clear" w:pos="1069"/>
          <w:tab w:val="num" w:pos="1134"/>
        </w:tabs>
        <w:spacing w:before="120" w:after="120"/>
        <w:ind w:left="851" w:hanging="425"/>
        <w:jc w:val="both"/>
      </w:pPr>
      <w:r>
        <w:t>zoznam príloh preukazujúcich nedostatky zistené kontrolou;</w:t>
      </w:r>
    </w:p>
    <w:p w14:paraId="2AF6DB74" w14:textId="77777777" w:rsidR="00B650E5" w:rsidRDefault="00B650E5" w:rsidP="00736062">
      <w:pPr>
        <w:numPr>
          <w:ilvl w:val="1"/>
          <w:numId w:val="26"/>
        </w:numPr>
        <w:tabs>
          <w:tab w:val="clear" w:pos="1069"/>
          <w:tab w:val="num" w:pos="1134"/>
        </w:tabs>
        <w:spacing w:before="120" w:after="120"/>
        <w:ind w:left="851" w:hanging="425"/>
        <w:jc w:val="both"/>
      </w:pPr>
      <w:r>
        <w:t>dátum vyhotovenia návrhu čiastkovej správy z kontroly/návrhu správy z  kontroly;</w:t>
      </w:r>
    </w:p>
    <w:p w14:paraId="5B4DC6C8" w14:textId="77777777" w:rsidR="00B650E5" w:rsidRDefault="00B650E5">
      <w:pPr>
        <w:numPr>
          <w:ilvl w:val="1"/>
          <w:numId w:val="26"/>
        </w:numPr>
        <w:tabs>
          <w:tab w:val="clear" w:pos="1069"/>
          <w:tab w:val="num" w:pos="1134"/>
        </w:tabs>
        <w:spacing w:before="120" w:after="120"/>
        <w:ind w:left="851" w:hanging="425"/>
        <w:jc w:val="both"/>
      </w:pPr>
      <w:r>
        <w:t>závery kontroly; </w:t>
      </w:r>
    </w:p>
    <w:p w14:paraId="51CFD819" w14:textId="77777777" w:rsidR="00B650E5" w:rsidRDefault="00B650E5">
      <w:pPr>
        <w:numPr>
          <w:ilvl w:val="1"/>
          <w:numId w:val="26"/>
        </w:numPr>
        <w:tabs>
          <w:tab w:val="clear" w:pos="1069"/>
          <w:tab w:val="num" w:pos="1134"/>
        </w:tabs>
        <w:spacing w:before="120" w:after="120"/>
        <w:ind w:left="851" w:hanging="425"/>
        <w:jc w:val="both"/>
      </w:pPr>
      <w:r>
        <w:t>zoznam dokladov a iných písomností vzťahujúcich sa k predmetu kontroly;</w:t>
      </w:r>
    </w:p>
    <w:p w14:paraId="2DA21113" w14:textId="77777777" w:rsidR="00B650E5" w:rsidRPr="005D1036" w:rsidRDefault="00B650E5" w:rsidP="00AB2DCC">
      <w:pPr>
        <w:numPr>
          <w:ilvl w:val="1"/>
          <w:numId w:val="26"/>
        </w:numPr>
        <w:tabs>
          <w:tab w:val="clear" w:pos="1069"/>
          <w:tab w:val="num" w:pos="1134"/>
        </w:tabs>
        <w:spacing w:before="120" w:after="120"/>
        <w:ind w:left="851" w:hanging="425"/>
        <w:jc w:val="both"/>
      </w:pPr>
      <w:r>
        <w:lastRenderedPageBreak/>
        <w:t>lehota na podanie námietok k zisteným nedostatkom</w:t>
      </w:r>
      <w:r w:rsidRPr="005D1036">
        <w:t>, navrhnutým odporúčaniam alebo opatreniam  a k lehote na predloženie písomného zoznamu splnených opatrení prijatých na nápravu zistených nedostatkov a na odstránenie príčin ich vzniku</w:t>
      </w:r>
      <w:r w:rsidR="008C2015">
        <w:t>;</w:t>
      </w:r>
    </w:p>
    <w:p w14:paraId="3D75BF26" w14:textId="77777777" w:rsidR="00B650E5" w:rsidRDefault="006F6B80" w:rsidP="009D6DF9">
      <w:pPr>
        <w:numPr>
          <w:ilvl w:val="1"/>
          <w:numId w:val="26"/>
        </w:numPr>
        <w:tabs>
          <w:tab w:val="clear" w:pos="1069"/>
          <w:tab w:val="num" w:pos="1134"/>
        </w:tabs>
        <w:spacing w:before="120" w:after="120"/>
        <w:ind w:left="851" w:hanging="425"/>
        <w:jc w:val="both"/>
      </w:pPr>
      <w:r>
        <w:t>l</w:t>
      </w:r>
      <w:r w:rsidRPr="006F6B80">
        <w:t>ehota na predloženie písomného zoznamu splnených opatrení prijatých na nápravu zistených nedostatkov a na odstránenie príčin ich</w:t>
      </w:r>
      <w:r w:rsidR="006B163F">
        <w:t xml:space="preserve"> </w:t>
      </w:r>
      <w:r w:rsidR="00B650E5">
        <w:t>vzniku.</w:t>
      </w:r>
    </w:p>
    <w:p w14:paraId="6932E5F3" w14:textId="77777777" w:rsidR="00B650E5" w:rsidRDefault="00B650E5">
      <w:pPr>
        <w:pStyle w:val="Odsekzoznamu"/>
        <w:numPr>
          <w:ilvl w:val="0"/>
          <w:numId w:val="32"/>
        </w:numPr>
        <w:spacing w:before="120" w:after="120"/>
        <w:ind w:left="426" w:hanging="426"/>
        <w:contextualSpacing w:val="0"/>
        <w:jc w:val="both"/>
      </w:pPr>
      <w:r>
        <w:t xml:space="preserve">Ak je kontrola vykonaná formou </w:t>
      </w:r>
      <w:r w:rsidRPr="00AB2DCC">
        <w:rPr>
          <w:i/>
        </w:rPr>
        <w:t>finančnej</w:t>
      </w:r>
      <w:r>
        <w:t xml:space="preserve"> </w:t>
      </w:r>
      <w:r>
        <w:rPr>
          <w:i/>
        </w:rPr>
        <w:t>kontroly na mieste</w:t>
      </w:r>
      <w:r>
        <w:t>, minimálnymi náležitosťami návrhu čiastkovej správy z kontroly/správy z kontroly sú okrem náležitostí uvedených v predchádzajúcom odseku aj:</w:t>
      </w:r>
    </w:p>
    <w:p w14:paraId="60AC909D" w14:textId="77777777" w:rsidR="00B650E5" w:rsidRDefault="00B650E5">
      <w:pPr>
        <w:pStyle w:val="Odsekzoznamu"/>
        <w:numPr>
          <w:ilvl w:val="3"/>
          <w:numId w:val="8"/>
        </w:numPr>
        <w:spacing w:before="120" w:after="120"/>
        <w:ind w:left="851" w:hanging="425"/>
        <w:contextualSpacing w:val="0"/>
        <w:jc w:val="both"/>
      </w:pPr>
      <w:r>
        <w:t>dátum fyzického výkonu finančnej kontroly na mieste;</w:t>
      </w:r>
    </w:p>
    <w:p w14:paraId="5734C21B" w14:textId="77777777" w:rsidR="00B650E5" w:rsidRDefault="00B650E5">
      <w:pPr>
        <w:pStyle w:val="Odsekzoznamu"/>
        <w:numPr>
          <w:ilvl w:val="3"/>
          <w:numId w:val="8"/>
        </w:numPr>
        <w:spacing w:before="120" w:after="120"/>
        <w:ind w:left="851" w:hanging="425"/>
        <w:contextualSpacing w:val="0"/>
        <w:jc w:val="both"/>
      </w:pPr>
      <w:r>
        <w:t>miesto fyzického výkonu finančnej kontroly na mieste;</w:t>
      </w:r>
    </w:p>
    <w:p w14:paraId="1E07754E" w14:textId="77777777" w:rsidR="00B650E5" w:rsidRDefault="00B650E5">
      <w:pPr>
        <w:pStyle w:val="Odsekzoznamu"/>
        <w:numPr>
          <w:ilvl w:val="3"/>
          <w:numId w:val="8"/>
        </w:numPr>
        <w:spacing w:before="120" w:after="120"/>
        <w:ind w:left="851" w:hanging="425"/>
        <w:contextualSpacing w:val="0"/>
        <w:jc w:val="both"/>
      </w:pPr>
      <w:r>
        <w:t>objem skontrolovaných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 finančnej 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t>
      </w:r>
    </w:p>
    <w:p w14:paraId="1F2BEF9B" w14:textId="77777777" w:rsidR="00B650E5" w:rsidRDefault="00B650E5">
      <w:pPr>
        <w:pStyle w:val="Odsekzoznamu"/>
        <w:numPr>
          <w:ilvl w:val="3"/>
          <w:numId w:val="8"/>
        </w:numPr>
        <w:spacing w:before="120" w:after="120"/>
        <w:ind w:left="851" w:hanging="425"/>
        <w:contextualSpacing w:val="0"/>
        <w:jc w:val="both"/>
      </w:pPr>
      <w:r>
        <w:t>popis použitej metodológie na výber vzorky kontrolovaných finančných prostriedkov (v</w:t>
      </w:r>
      <w:r w:rsidR="002458C7">
        <w:t> </w:t>
      </w:r>
      <w:r>
        <w:t>prípade, ak nebola vykonaná 100</w:t>
      </w:r>
      <w:r w:rsidR="00C93F30">
        <w:t xml:space="preserve"> </w:t>
      </w:r>
      <w:r>
        <w:t>% kontrola deklarovaných výdavkov prijímateľa).</w:t>
      </w:r>
    </w:p>
    <w:p w14:paraId="7393BE9C" w14:textId="77777777" w:rsidR="00B650E5" w:rsidRDefault="00B650E5">
      <w:pPr>
        <w:pStyle w:val="Odsekzoznamu"/>
        <w:numPr>
          <w:ilvl w:val="0"/>
          <w:numId w:val="32"/>
        </w:numPr>
        <w:spacing w:before="120" w:after="120"/>
        <w:ind w:left="426" w:hanging="426"/>
        <w:contextualSpacing w:val="0"/>
        <w:jc w:val="both"/>
      </w:pPr>
      <w:r>
        <w:t>Vzor</w:t>
      </w:r>
      <w:r>
        <w:rPr>
          <w:rStyle w:val="Odkaznapoznmkupodiarou"/>
        </w:rPr>
        <w:footnoteReference w:id="94"/>
      </w:r>
      <w:r>
        <w:t xml:space="preserve"> návrhu čiastkovej správy z kontroly/návrhu správy z kontroly vydáva CKO.</w:t>
      </w:r>
    </w:p>
    <w:p w14:paraId="06045472" w14:textId="77777777" w:rsidR="00B650E5" w:rsidRPr="000659CD" w:rsidRDefault="00B650E5">
      <w:pPr>
        <w:numPr>
          <w:ilvl w:val="0"/>
          <w:numId w:val="32"/>
        </w:numPr>
        <w:spacing w:before="120" w:after="120"/>
        <w:ind w:left="426" w:hanging="426"/>
        <w:jc w:val="both"/>
      </w:pPr>
      <w:r w:rsidRPr="000659CD">
        <w:t xml:space="preserve">Minimálnymi obsahovými náležitosťami </w:t>
      </w:r>
      <w:r w:rsidRPr="00AB2DCC">
        <w:rPr>
          <w:b/>
        </w:rPr>
        <w:t>čiastkovej správy</w:t>
      </w:r>
      <w:r>
        <w:rPr>
          <w:b/>
        </w:rPr>
        <w:t xml:space="preserve"> z kontroly/</w:t>
      </w:r>
      <w:r w:rsidRPr="000659CD">
        <w:rPr>
          <w:b/>
        </w:rPr>
        <w:t>správy z kontroly</w:t>
      </w:r>
      <w:r w:rsidRPr="000659CD">
        <w:t xml:space="preserve"> sú:</w:t>
      </w:r>
    </w:p>
    <w:p w14:paraId="6F2850EF" w14:textId="77777777" w:rsidR="00B650E5" w:rsidRPr="00E81986" w:rsidRDefault="00B650E5">
      <w:pPr>
        <w:pStyle w:val="Odsekzoznamu"/>
        <w:numPr>
          <w:ilvl w:val="0"/>
          <w:numId w:val="39"/>
        </w:numPr>
        <w:spacing w:before="120" w:after="120"/>
        <w:ind w:left="851" w:hanging="425"/>
        <w:contextualSpacing w:val="0"/>
        <w:jc w:val="both"/>
      </w:pPr>
      <w:r w:rsidRPr="00704702">
        <w:t>označenie RO, ktorý kontrolu</w:t>
      </w:r>
      <w:r w:rsidRPr="00F8221C">
        <w:t xml:space="preserve"> vykonal;</w:t>
      </w:r>
    </w:p>
    <w:p w14:paraId="78B5D183" w14:textId="77777777" w:rsidR="00B650E5" w:rsidRPr="00342CF6" w:rsidRDefault="00B650E5">
      <w:pPr>
        <w:pStyle w:val="Odsekzoznamu"/>
        <w:numPr>
          <w:ilvl w:val="0"/>
          <w:numId w:val="39"/>
        </w:numPr>
        <w:spacing w:before="120" w:after="120"/>
        <w:ind w:left="851" w:hanging="425"/>
        <w:contextualSpacing w:val="0"/>
        <w:jc w:val="both"/>
      </w:pPr>
      <w:r w:rsidRPr="009D27EA">
        <w:t>mená a priezviská za</w:t>
      </w:r>
      <w:r w:rsidRPr="002D40A7">
        <w:t>mestnancov</w:t>
      </w:r>
      <w:r w:rsidRPr="00342CF6">
        <w:t xml:space="preserve"> RO a prizvaných osôb, ktorí vykonali kontrolu;</w:t>
      </w:r>
    </w:p>
    <w:p w14:paraId="723395FC" w14:textId="77777777" w:rsidR="00B650E5" w:rsidRPr="00A94623" w:rsidRDefault="00B650E5">
      <w:pPr>
        <w:pStyle w:val="Odsekzoznamu"/>
        <w:numPr>
          <w:ilvl w:val="0"/>
          <w:numId w:val="39"/>
        </w:numPr>
        <w:spacing w:before="120" w:after="120"/>
        <w:ind w:left="851" w:hanging="425"/>
        <w:contextualSpacing w:val="0"/>
        <w:jc w:val="both"/>
      </w:pPr>
      <w:r w:rsidRPr="00B46F8B">
        <w:t>označenie kontrolovanej osoby</w:t>
      </w:r>
      <w:r w:rsidRPr="00A35FB0">
        <w:t>;</w:t>
      </w:r>
    </w:p>
    <w:p w14:paraId="400DC714" w14:textId="77777777" w:rsidR="00B650E5" w:rsidRPr="00F17AC2" w:rsidRDefault="00B650E5">
      <w:pPr>
        <w:pStyle w:val="Odsekzoznamu"/>
        <w:numPr>
          <w:ilvl w:val="0"/>
          <w:numId w:val="39"/>
        </w:numPr>
        <w:spacing w:before="120" w:after="120"/>
        <w:ind w:left="851" w:hanging="425"/>
        <w:contextualSpacing w:val="0"/>
        <w:jc w:val="both"/>
      </w:pPr>
      <w:r w:rsidRPr="0005078E">
        <w:t xml:space="preserve">označenie formy kontroly (administratívna </w:t>
      </w:r>
      <w:r w:rsidRPr="00CB7B8D">
        <w:t xml:space="preserve">finančná </w:t>
      </w:r>
      <w:r w:rsidRPr="00F17AC2">
        <w:t>kontrola/finančná kontrola na mieste);</w:t>
      </w:r>
    </w:p>
    <w:p w14:paraId="6B9B1EB5" w14:textId="77777777" w:rsidR="00B650E5" w:rsidRPr="003425F6" w:rsidRDefault="00B650E5">
      <w:pPr>
        <w:pStyle w:val="Odsekzoznamu"/>
        <w:numPr>
          <w:ilvl w:val="0"/>
          <w:numId w:val="39"/>
        </w:numPr>
        <w:spacing w:before="120" w:after="120"/>
        <w:ind w:left="851" w:hanging="425"/>
        <w:contextualSpacing w:val="0"/>
        <w:jc w:val="both"/>
      </w:pPr>
      <w:r w:rsidRPr="007E4476">
        <w:t xml:space="preserve">identifikačné údaje projektu (názov a kód projektu); </w:t>
      </w:r>
    </w:p>
    <w:p w14:paraId="38F5FACB" w14:textId="77777777" w:rsidR="00B650E5" w:rsidRPr="002576AF" w:rsidRDefault="00B650E5">
      <w:pPr>
        <w:pStyle w:val="Odsekzoznamu"/>
        <w:numPr>
          <w:ilvl w:val="0"/>
          <w:numId w:val="39"/>
        </w:numPr>
        <w:spacing w:before="120" w:after="120"/>
        <w:ind w:left="851" w:hanging="425"/>
        <w:contextualSpacing w:val="0"/>
        <w:jc w:val="both"/>
      </w:pPr>
      <w:r w:rsidRPr="003425F6">
        <w:t>predmet kontroly;</w:t>
      </w:r>
    </w:p>
    <w:p w14:paraId="4FA30D18" w14:textId="77777777" w:rsidR="00B650E5" w:rsidRPr="000659CD" w:rsidRDefault="00B650E5">
      <w:pPr>
        <w:pStyle w:val="Odsekzoznamu"/>
        <w:numPr>
          <w:ilvl w:val="0"/>
          <w:numId w:val="39"/>
        </w:numPr>
        <w:spacing w:before="120" w:after="120"/>
        <w:ind w:left="851" w:hanging="425"/>
        <w:contextualSpacing w:val="0"/>
        <w:jc w:val="both"/>
      </w:pPr>
      <w:r w:rsidRPr="000659CD">
        <w:t>cieľ kontroly;</w:t>
      </w:r>
    </w:p>
    <w:p w14:paraId="3D3A3945" w14:textId="77777777" w:rsidR="00B650E5" w:rsidRPr="000659CD" w:rsidRDefault="00B650E5">
      <w:pPr>
        <w:pStyle w:val="Odsekzoznamu"/>
        <w:numPr>
          <w:ilvl w:val="0"/>
          <w:numId w:val="39"/>
        </w:numPr>
        <w:spacing w:before="120" w:after="120"/>
        <w:ind w:left="851" w:hanging="425"/>
        <w:contextualSpacing w:val="0"/>
        <w:jc w:val="both"/>
      </w:pPr>
      <w:r w:rsidRPr="000659CD">
        <w:t>opis zistených nedostatkov a pri porušení osobitných predpisov, alebo medzinárodných zmlúv, ktorými je Slovenská republika viazaná a na základe ktorých sa Slovenskej republike poskytujú finančné prostriedky zo zahraničia, označenie konkrétnych ustanovení, ktoré boli porušené spolu s odporúčaniami alebo opatreniami navrhnutými na nápravu zistených nedostatkov a na odstránenie príčin ich vzniku so zohľadnením opodstatnenosti podaných námietok,  (vrátane kvalifikácie zistených nezrovnalostí alebo zisteného podozrenia z nezrovnalosti) spolu s návrhmi opatrení na nápravu zistených nedostatkov a na odstránenie príčin ich vzniku so zohľadnením výsledkov opodstatnenosti podaných námietok (ak relevantné);</w:t>
      </w:r>
    </w:p>
    <w:p w14:paraId="7DB3E6F3" w14:textId="77777777" w:rsidR="00B650E5" w:rsidRPr="000659CD" w:rsidRDefault="00B650E5">
      <w:pPr>
        <w:pStyle w:val="Odsekzoznamu"/>
        <w:numPr>
          <w:ilvl w:val="0"/>
          <w:numId w:val="39"/>
        </w:numPr>
        <w:spacing w:before="120" w:after="120"/>
        <w:ind w:left="851" w:hanging="425"/>
        <w:contextualSpacing w:val="0"/>
        <w:jc w:val="both"/>
      </w:pPr>
      <w:r w:rsidRPr="000659CD">
        <w:t>závery kontroly; </w:t>
      </w:r>
    </w:p>
    <w:p w14:paraId="79B00524" w14:textId="77777777" w:rsidR="00B650E5" w:rsidRPr="000659CD" w:rsidRDefault="00B650E5">
      <w:pPr>
        <w:pStyle w:val="Odsekzoznamu"/>
        <w:numPr>
          <w:ilvl w:val="0"/>
          <w:numId w:val="39"/>
        </w:numPr>
        <w:spacing w:before="120" w:after="120"/>
        <w:ind w:left="851" w:hanging="425"/>
        <w:contextualSpacing w:val="0"/>
        <w:jc w:val="both"/>
      </w:pPr>
      <w:r w:rsidRPr="000659CD">
        <w:lastRenderedPageBreak/>
        <w:t>zoznam dokladov a iných písomností vzťahujúcich sa k predmetu kontroly;</w:t>
      </w:r>
    </w:p>
    <w:p w14:paraId="70C2227F" w14:textId="77777777" w:rsidR="00B650E5" w:rsidRPr="000659CD" w:rsidRDefault="00B650E5">
      <w:pPr>
        <w:pStyle w:val="Odsekzoznamu"/>
        <w:numPr>
          <w:ilvl w:val="0"/>
          <w:numId w:val="39"/>
        </w:numPr>
        <w:spacing w:before="120" w:after="120"/>
        <w:ind w:left="851" w:hanging="425"/>
        <w:contextualSpacing w:val="0"/>
        <w:jc w:val="both"/>
      </w:pPr>
      <w:r w:rsidRPr="000659CD">
        <w:t xml:space="preserve">dátum vyhotovenia čiastkovej správy </w:t>
      </w:r>
      <w:r>
        <w:t>z kontroly/</w:t>
      </w:r>
      <w:r w:rsidRPr="000659CD">
        <w:t>správy z  kontroly;</w:t>
      </w:r>
    </w:p>
    <w:p w14:paraId="62B25C0B" w14:textId="77777777" w:rsidR="00B650E5" w:rsidRPr="000659CD" w:rsidRDefault="00B650E5">
      <w:pPr>
        <w:pStyle w:val="Odsekzoznamu"/>
        <w:numPr>
          <w:ilvl w:val="0"/>
          <w:numId w:val="39"/>
        </w:numPr>
        <w:spacing w:before="120" w:after="120"/>
        <w:ind w:left="851" w:hanging="425"/>
        <w:contextualSpacing w:val="0"/>
        <w:jc w:val="both"/>
      </w:pPr>
      <w:r w:rsidRPr="000659CD">
        <w:t>podpisy zamestnancov RO a prizvaných osôb, ktorí vykonali kontrolu;</w:t>
      </w:r>
    </w:p>
    <w:p w14:paraId="6F820037" w14:textId="77777777" w:rsidR="00B650E5" w:rsidRPr="003425F6" w:rsidRDefault="00B650E5">
      <w:pPr>
        <w:pStyle w:val="Odsekzoznamu"/>
        <w:numPr>
          <w:ilvl w:val="0"/>
          <w:numId w:val="39"/>
        </w:numPr>
        <w:spacing w:before="120" w:after="120"/>
        <w:ind w:left="851" w:hanging="425"/>
        <w:contextualSpacing w:val="0"/>
        <w:jc w:val="both"/>
      </w:pPr>
      <w:r w:rsidRPr="000659CD">
        <w:t>dátum doručenia návrhu čiastkovej správy</w:t>
      </w:r>
      <w:r>
        <w:t xml:space="preserve"> z kontroly/</w:t>
      </w:r>
      <w:r w:rsidRPr="00F17AC2">
        <w:t>návrhu správy z  kontroly na</w:t>
      </w:r>
      <w:r w:rsidR="002458C7">
        <w:t> </w:t>
      </w:r>
      <w:r w:rsidRPr="00F17AC2">
        <w:t>oboznámenie kontro</w:t>
      </w:r>
      <w:r w:rsidRPr="007E4476">
        <w:t>lovanej osobe (napr. prijímateľovi), ak relevantné;</w:t>
      </w:r>
    </w:p>
    <w:p w14:paraId="694F1F3C" w14:textId="77777777" w:rsidR="00B650E5" w:rsidRPr="002576AF" w:rsidRDefault="00B650E5">
      <w:pPr>
        <w:pStyle w:val="Odsekzoznamu"/>
        <w:numPr>
          <w:ilvl w:val="0"/>
          <w:numId w:val="39"/>
        </w:numPr>
        <w:spacing w:before="120" w:after="120"/>
        <w:ind w:left="851" w:hanging="425"/>
        <w:contextualSpacing w:val="0"/>
        <w:jc w:val="both"/>
      </w:pPr>
      <w:r w:rsidRPr="003425F6">
        <w:t>informáciu o tom, či kontrolovaná osoba</w:t>
      </w:r>
      <w:r>
        <w:t xml:space="preserve"> </w:t>
      </w:r>
      <w:r w:rsidRPr="003425F6">
        <w:t xml:space="preserve">podala námietky </w:t>
      </w:r>
      <w:r w:rsidRPr="002576AF">
        <w:t>k zisteným nedostatkom, navrhnutým odporúčaniam alebo opatreniam alebo k lehote na predloženie písomného zoznamu splnených opatrení prijatých na náp</w:t>
      </w:r>
      <w:r w:rsidRPr="000659CD">
        <w:t>ravu zistených nedostatkov a na odstránenie príčin ich vzniku uvedených v návrhu čiastkovej správy</w:t>
      </w:r>
      <w:r>
        <w:t xml:space="preserve"> z kontroly/</w:t>
      </w:r>
      <w:r w:rsidRPr="00F17AC2">
        <w:t xml:space="preserve">v návrhu správy </w:t>
      </w:r>
      <w:r>
        <w:t xml:space="preserve">z kontroly </w:t>
      </w:r>
      <w:r w:rsidRPr="00F17AC2">
        <w:t>a spôsob vysporiadania týchto námietok</w:t>
      </w:r>
      <w:r w:rsidRPr="003425F6">
        <w:t xml:space="preserve"> (ak relevantné);</w:t>
      </w:r>
    </w:p>
    <w:p w14:paraId="6E72FDAC" w14:textId="714D2E83" w:rsidR="00B650E5" w:rsidRPr="000659CD" w:rsidRDefault="00B650E5" w:rsidP="00556762">
      <w:pPr>
        <w:pStyle w:val="Odsekzoznamu"/>
        <w:numPr>
          <w:ilvl w:val="0"/>
          <w:numId w:val="39"/>
        </w:numPr>
        <w:spacing w:before="120" w:after="120"/>
        <w:ind w:left="851" w:hanging="425"/>
        <w:contextualSpacing w:val="0"/>
        <w:jc w:val="both"/>
      </w:pPr>
      <w:r w:rsidRPr="000659CD">
        <w:t>spôsob vysporiadania námietok (ak relevantné);</w:t>
      </w:r>
    </w:p>
    <w:p w14:paraId="4C7A9A8E" w14:textId="38FE3A6C" w:rsidR="00B650E5" w:rsidRPr="00F8221C" w:rsidRDefault="00B650E5">
      <w:pPr>
        <w:pStyle w:val="Odsekzoznamu"/>
        <w:numPr>
          <w:ilvl w:val="0"/>
          <w:numId w:val="39"/>
        </w:numPr>
        <w:spacing w:before="120" w:after="120"/>
        <w:ind w:left="851" w:hanging="425"/>
        <w:contextualSpacing w:val="0"/>
        <w:jc w:val="both"/>
      </w:pPr>
      <w:r w:rsidRPr="000659CD">
        <w:t xml:space="preserve">zoznam príloh preukazujúcich </w:t>
      </w:r>
      <w:r w:rsidRPr="00AB2DCC">
        <w:t xml:space="preserve">zistené </w:t>
      </w:r>
      <w:r w:rsidRPr="000659CD">
        <w:t>nedostatky</w:t>
      </w:r>
      <w:r w:rsidR="00412FD4">
        <w:t>;</w:t>
      </w:r>
    </w:p>
    <w:p w14:paraId="16882928" w14:textId="77777777" w:rsidR="00B650E5" w:rsidRPr="00A94623" w:rsidRDefault="00B650E5">
      <w:pPr>
        <w:pStyle w:val="Odsekzoznamu"/>
        <w:numPr>
          <w:ilvl w:val="0"/>
          <w:numId w:val="39"/>
        </w:numPr>
        <w:spacing w:before="120" w:after="120"/>
        <w:ind w:left="851" w:hanging="425"/>
        <w:contextualSpacing w:val="0"/>
        <w:jc w:val="both"/>
      </w:pPr>
      <w:r w:rsidRPr="009D27EA">
        <w:t>lehotu na predloženie písomn</w:t>
      </w:r>
      <w:r w:rsidRPr="002D40A7">
        <w:t>ého zoznamu splnených opatrení prijatých na nápravu zistených nedostatkov a na odstránenie príčin ich vzniku</w:t>
      </w:r>
      <w:r w:rsidRPr="00A94623">
        <w:t xml:space="preserve">. </w:t>
      </w:r>
    </w:p>
    <w:p w14:paraId="009FA8C5" w14:textId="77777777" w:rsidR="00B650E5" w:rsidRPr="00A94623" w:rsidRDefault="00B650E5">
      <w:pPr>
        <w:pStyle w:val="Odsekzoznamu"/>
        <w:numPr>
          <w:ilvl w:val="0"/>
          <w:numId w:val="32"/>
        </w:numPr>
        <w:spacing w:before="120" w:after="120"/>
        <w:ind w:left="426" w:hanging="426"/>
        <w:contextualSpacing w:val="0"/>
        <w:jc w:val="both"/>
      </w:pPr>
      <w:r w:rsidRPr="00A94623">
        <w:t xml:space="preserve">Ak je kontrola vykonaná formou </w:t>
      </w:r>
      <w:r w:rsidRPr="00AB2DCC">
        <w:rPr>
          <w:i/>
        </w:rPr>
        <w:t xml:space="preserve">finančnej </w:t>
      </w:r>
      <w:r w:rsidRPr="00A94623">
        <w:rPr>
          <w:i/>
        </w:rPr>
        <w:t>kontroly na mieste</w:t>
      </w:r>
      <w:r w:rsidRPr="00A94623">
        <w:t xml:space="preserve">, minimálnymi náležitosťami </w:t>
      </w:r>
      <w:r>
        <w:t>čiastkovej správy z kontroly/</w:t>
      </w:r>
      <w:r w:rsidRPr="00A94623">
        <w:t>správy</w:t>
      </w:r>
      <w:r>
        <w:t xml:space="preserve"> z kontroly</w:t>
      </w:r>
      <w:r w:rsidRPr="00A94623">
        <w:t xml:space="preserve"> sú okrem náležitostí uvedených v predchádzajúcom odseku aj:</w:t>
      </w:r>
    </w:p>
    <w:p w14:paraId="081A3AC0" w14:textId="77777777" w:rsidR="00B650E5" w:rsidRPr="00CB7B8D" w:rsidRDefault="00B650E5">
      <w:pPr>
        <w:pStyle w:val="Odsekzoznamu"/>
        <w:numPr>
          <w:ilvl w:val="1"/>
          <w:numId w:val="32"/>
        </w:numPr>
        <w:spacing w:before="120" w:after="120"/>
        <w:ind w:left="851" w:hanging="425"/>
        <w:contextualSpacing w:val="0"/>
        <w:jc w:val="both"/>
      </w:pPr>
      <w:r w:rsidRPr="0005078E">
        <w:t xml:space="preserve">dátum fyzického výkonu </w:t>
      </w:r>
      <w:r>
        <w:t xml:space="preserve">finančnej </w:t>
      </w:r>
      <w:r w:rsidRPr="0005078E">
        <w:t>kontroly na mieste;</w:t>
      </w:r>
    </w:p>
    <w:p w14:paraId="714C9F88" w14:textId="77777777" w:rsidR="00B650E5" w:rsidRPr="00F17AC2" w:rsidRDefault="00B650E5">
      <w:pPr>
        <w:pStyle w:val="Odsekzoznamu"/>
        <w:numPr>
          <w:ilvl w:val="1"/>
          <w:numId w:val="32"/>
        </w:numPr>
        <w:spacing w:before="120" w:after="120"/>
        <w:ind w:left="851" w:hanging="425"/>
        <w:contextualSpacing w:val="0"/>
        <w:jc w:val="both"/>
      </w:pPr>
      <w:r w:rsidRPr="00F17AC2">
        <w:t xml:space="preserve">miesto fyzického výkonu </w:t>
      </w:r>
      <w:r>
        <w:t xml:space="preserve">finančnej </w:t>
      </w:r>
      <w:r w:rsidRPr="00F17AC2">
        <w:t>kontroly na mieste;</w:t>
      </w:r>
    </w:p>
    <w:p w14:paraId="23910A33" w14:textId="77777777" w:rsidR="00B650E5" w:rsidRDefault="00B650E5">
      <w:pPr>
        <w:pStyle w:val="Odsekzoznamu"/>
        <w:numPr>
          <w:ilvl w:val="1"/>
          <w:numId w:val="32"/>
        </w:numPr>
        <w:spacing w:before="120" w:after="120"/>
        <w:ind w:left="851" w:hanging="425"/>
        <w:contextualSpacing w:val="0"/>
        <w:jc w:val="both"/>
      </w:pPr>
      <w:r w:rsidRPr="007E4476">
        <w:t>objem skontrolovaných</w:t>
      </w:r>
      <w:r>
        <w:t xml:space="preserve">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 finančnej 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t>
      </w:r>
    </w:p>
    <w:p w14:paraId="0E41040C" w14:textId="77777777" w:rsidR="00B650E5" w:rsidRDefault="00B650E5">
      <w:pPr>
        <w:pStyle w:val="Odsekzoznamu"/>
        <w:numPr>
          <w:ilvl w:val="1"/>
          <w:numId w:val="32"/>
        </w:numPr>
        <w:spacing w:before="120" w:after="120"/>
        <w:ind w:left="851" w:hanging="425"/>
        <w:contextualSpacing w:val="0"/>
        <w:jc w:val="both"/>
      </w:pPr>
      <w:r>
        <w:t>popis použitej metodológie na výber vzorky kontrolovaných finančných prostriedkov (v</w:t>
      </w:r>
      <w:r w:rsidR="002458C7">
        <w:t> </w:t>
      </w:r>
      <w:r>
        <w:t>prípade, ak nebola vykonaná 100</w:t>
      </w:r>
      <w:r w:rsidR="00C93F30">
        <w:t xml:space="preserve"> </w:t>
      </w:r>
      <w:r>
        <w:t>% kontrola deklarovaných výdavkov prijímateľa).</w:t>
      </w:r>
    </w:p>
    <w:p w14:paraId="6F44F8B4" w14:textId="77777777" w:rsidR="00B650E5" w:rsidRDefault="00B650E5">
      <w:pPr>
        <w:pStyle w:val="Odsekzoznamu"/>
        <w:numPr>
          <w:ilvl w:val="0"/>
          <w:numId w:val="32"/>
        </w:numPr>
        <w:spacing w:before="120" w:after="120"/>
        <w:ind w:left="426" w:hanging="426"/>
        <w:contextualSpacing w:val="0"/>
        <w:jc w:val="both"/>
      </w:pPr>
      <w:r>
        <w:t>Vzor</w:t>
      </w:r>
      <w:r>
        <w:rPr>
          <w:rStyle w:val="Odkaznapoznmkupodiarou"/>
        </w:rPr>
        <w:footnoteReference w:id="95"/>
      </w:r>
      <w:r>
        <w:t xml:space="preserve"> čiastkovej správy z kontroly/správy z kontroly vydá</w:t>
      </w:r>
      <w:r w:rsidR="009407C8">
        <w:t>va</w:t>
      </w:r>
      <w:r>
        <w:t xml:space="preserve"> CKO.</w:t>
      </w:r>
    </w:p>
    <w:p w14:paraId="44060202" w14:textId="77777777" w:rsidR="00B650E5" w:rsidRDefault="00B650E5">
      <w:pPr>
        <w:pStyle w:val="Odsekzoznamu"/>
        <w:numPr>
          <w:ilvl w:val="0"/>
          <w:numId w:val="32"/>
        </w:numPr>
        <w:spacing w:before="120" w:after="120"/>
        <w:ind w:left="426" w:hanging="426"/>
        <w:contextualSpacing w:val="0"/>
        <w:jc w:val="both"/>
      </w:pPr>
      <w:r>
        <w:t xml:space="preserve">V prípade, ak boli v rámci kontroly zistené nedostatky je RO povinný vypracovať návrh čiastkovej správy z kontroly/návrh správy z kontroly s určením lehoty na podanie námietok a zároveň doručiť návrh čiastkovej správy z kontroly/návrh správy z kontroly prijímateľovi. RO je povinný dať prijímateľovi lehotu na podanie námietok v trvaní minimálne 5 pracovných dní odo dňa doručenia návrhu čiastkovej správy z kontroly/návrhu správy z kontroly prijímateľovi. </w:t>
      </w:r>
    </w:p>
    <w:p w14:paraId="3587E0DE" w14:textId="77777777" w:rsidR="00B650E5" w:rsidRDefault="00B650E5" w:rsidP="003120E4">
      <w:pPr>
        <w:pStyle w:val="Odsekzoznamu"/>
        <w:numPr>
          <w:ilvl w:val="0"/>
          <w:numId w:val="32"/>
        </w:numPr>
        <w:spacing w:before="120" w:after="120"/>
        <w:ind w:left="426" w:hanging="426"/>
        <w:contextualSpacing w:val="0"/>
        <w:jc w:val="both"/>
      </w:pPr>
      <w:r>
        <w:t xml:space="preserve">V prípade, ak kontrolou neboli zistené nedostatky, vypracuje RO čiastkovú správu z kontroly/ správu z kontroly a zašle ju prijímateľovi. Momentom ukončenia kontroly je zaslanie správy prijímateľovi. </w:t>
      </w:r>
      <w:r w:rsidRPr="001C4524">
        <w:t xml:space="preserve">Zaslaním čiastkovej správy z kontroly je skončená tá časť finančnej kontroly, ktorej sa čiastková správa </w:t>
      </w:r>
      <w:r>
        <w:t xml:space="preserve">z kontroly </w:t>
      </w:r>
      <w:r w:rsidRPr="001C4524">
        <w:t>týka.</w:t>
      </w:r>
      <w:r>
        <w:t xml:space="preserve">  </w:t>
      </w:r>
    </w:p>
    <w:p w14:paraId="38CA6BD5" w14:textId="77777777" w:rsidR="00B650E5" w:rsidRDefault="00B650E5" w:rsidP="001B709E">
      <w:pPr>
        <w:pStyle w:val="Odsekzoznamu"/>
        <w:numPr>
          <w:ilvl w:val="0"/>
          <w:numId w:val="32"/>
        </w:numPr>
        <w:spacing w:before="120" w:after="120"/>
        <w:ind w:left="426" w:hanging="426"/>
        <w:contextualSpacing w:val="0"/>
        <w:jc w:val="both"/>
      </w:pPr>
      <w:r>
        <w:lastRenderedPageBreak/>
        <w:t xml:space="preserve">V prípade, ak RO neakceptuje námietky podané prijímateľom, resp. </w:t>
      </w:r>
      <w:r w:rsidR="00397735" w:rsidRPr="00397735">
        <w:t>ak prijímateľ doručí oznámenie, že nemá námietky k zisteným nedostatkom</w:t>
      </w:r>
      <w:r w:rsidR="000F7E20">
        <w:t>, navrhnutým odporúčaniam, opatreniam alebo k lehote na predloženie písomného zoznamu splnených opatrení prijatých na nápravu zistených nedostatkov a na odstránenie príčin ich vzniku uvedených v návrhu čiastkovej správy z</w:t>
      </w:r>
      <w:r w:rsidR="002458C7">
        <w:t> </w:t>
      </w:r>
      <w:r w:rsidR="000F7E20">
        <w:t>kontroly/návrhu správy z kontroly</w:t>
      </w:r>
      <w:r>
        <w:t xml:space="preserve">, RO vypracuje a zašle čiastkovú správu z kontroly/správu z kontroly prijímateľovi. </w:t>
      </w:r>
      <w:r w:rsidR="00A456F1">
        <w:t xml:space="preserve">Vo vypracovanej správe zohľadní námietky </w:t>
      </w:r>
      <w:r w:rsidR="006F6B80">
        <w:t>prijímateľa, resp.</w:t>
      </w:r>
      <w:r w:rsidR="00A456F1">
        <w:t xml:space="preserve"> odôvodní ich neopodstatnenosť. </w:t>
      </w:r>
      <w:r>
        <w:t xml:space="preserve">Momentom ukončenia kontroly je zaslanie čiastkovej správy z kontroly/správy z kontroly prijímateľovi. Uvedeným nie je dotknutý riadny postup určenia a schválenia </w:t>
      </w:r>
      <w:r w:rsidR="00FB1D18">
        <w:t>ex ante</w:t>
      </w:r>
      <w:r>
        <w:t xml:space="preserve"> finančnej opravy za nedostatky pri VO. </w:t>
      </w:r>
    </w:p>
    <w:p w14:paraId="48979349" w14:textId="77777777" w:rsidR="00B650E5" w:rsidRDefault="00B650E5" w:rsidP="009D6DF9">
      <w:pPr>
        <w:pStyle w:val="Odsekzoznamu"/>
        <w:numPr>
          <w:ilvl w:val="0"/>
          <w:numId w:val="32"/>
        </w:numPr>
        <w:spacing w:before="120" w:after="120"/>
        <w:ind w:left="426" w:hanging="426"/>
        <w:contextualSpacing w:val="0"/>
        <w:jc w:val="both"/>
      </w:pPr>
      <w:r>
        <w:t>Ak RO úplne alebo sčasti akceptuje námietky podané prijímateľom</w:t>
      </w:r>
      <w:r w:rsidR="00985B3E">
        <w:t xml:space="preserve"> </w:t>
      </w:r>
      <w:r w:rsidR="00985B3E" w:rsidRPr="00985B3E">
        <w:t>voči zisteniam uvedených v</w:t>
      </w:r>
      <w:r w:rsidR="002458C7">
        <w:t> </w:t>
      </w:r>
      <w:r w:rsidR="00985B3E" w:rsidRPr="00985B3E">
        <w:t>návrhu čiastkovej správe z kontroly/správe z kontroly</w:t>
      </w:r>
      <w:r>
        <w:t xml:space="preserve">, je povinný zohľadniť opodstatnenosť týchto námietok v čiastkovej správe z kontroly/v správe z kontroly a zaslať túto čiastkovú správu z kontroly/správu z kontroly prijímateľovi. Za moment ukončenia kontroly je v takomto prípade považovaný moment zaslania tejto správy  prijímateľovi. </w:t>
      </w:r>
      <w:r w:rsidRPr="009D6DF9">
        <w:t>Zaslaním čiastkovej správy z kontroly je skončená tá časť finančnej kontroly, ktorej sa čiastková správa z kontroly týka.</w:t>
      </w:r>
    </w:p>
    <w:p w14:paraId="79FA273D" w14:textId="77777777" w:rsidR="00B650E5" w:rsidRDefault="00B650E5">
      <w:pPr>
        <w:pStyle w:val="Odsekzoznamu"/>
        <w:numPr>
          <w:ilvl w:val="0"/>
          <w:numId w:val="32"/>
        </w:numPr>
        <w:spacing w:before="120" w:after="120"/>
        <w:ind w:left="426" w:hanging="426"/>
        <w:contextualSpacing w:val="0"/>
        <w:jc w:val="both"/>
      </w:pPr>
      <w:r>
        <w:t xml:space="preserve">Týmto postupom nie je dotknutá povinnosť uvedená v </w:t>
      </w:r>
      <w:hyperlink w:anchor="kapitola_33611_ods_9" w:tooltip="kapitole 3.3.6.1.1, ods. 9" w:history="1">
        <w:r>
          <w:rPr>
            <w:rStyle w:val="Hypertextovprepojenie"/>
          </w:rPr>
          <w:t xml:space="preserve">kapitole 3.3.6.1.1 ods. </w:t>
        </w:r>
        <w:r w:rsidR="004E0189">
          <w:rPr>
            <w:rStyle w:val="Hypertextovprepojenie"/>
          </w:rPr>
          <w:t>10</w:t>
        </w:r>
      </w:hyperlink>
      <w:r>
        <w:t xml:space="preserve"> v prípadoch zistenia pochybenia zo strany RO aj po ukončení kontroly (napr. v nadväznosti na námietky predložené zo strany prijímateľa po ukončení kontroly). </w:t>
      </w:r>
    </w:p>
    <w:p w14:paraId="0CC0598E" w14:textId="77777777" w:rsidR="00B650E5" w:rsidRDefault="00B650E5">
      <w:pPr>
        <w:pStyle w:val="SRK5"/>
      </w:pPr>
      <w:bookmarkStart w:id="308" w:name="_Toc453234023"/>
      <w:bookmarkStart w:id="309" w:name="_Toc501630076"/>
      <w:bookmarkStart w:id="310" w:name="kapitola_33614"/>
      <w:r>
        <w:t>3.3.6.1.4 Osobitné ustanovenia pre výkon finančnej kontroly na mieste</w:t>
      </w:r>
      <w:bookmarkEnd w:id="308"/>
      <w:bookmarkEnd w:id="309"/>
    </w:p>
    <w:bookmarkEnd w:id="310"/>
    <w:p w14:paraId="4A3862F1" w14:textId="77777777" w:rsidR="00B650E5" w:rsidRDefault="00B650E5">
      <w:pPr>
        <w:pStyle w:val="Odsekzoznamu"/>
        <w:numPr>
          <w:ilvl w:val="0"/>
          <w:numId w:val="233"/>
        </w:numPr>
        <w:spacing w:before="120" w:after="120"/>
        <w:ind w:left="426" w:hanging="426"/>
        <w:contextualSpacing w:val="0"/>
        <w:jc w:val="both"/>
      </w:pPr>
      <w:r>
        <w:t>Cieľom finančnej kontroly na mieste môže byť okrem skutočností uvedených v </w:t>
      </w:r>
      <w:hyperlink w:anchor="kapitola_3361_ods_10" w:tooltip="kapitole 3.3.6.1, ods. 10 " w:history="1">
        <w:r>
          <w:rPr>
            <w:rStyle w:val="Hypertextovprepojenie"/>
          </w:rPr>
          <w:t>kapitole 3.3.6.1 ods. 10</w:t>
        </w:r>
      </w:hyperlink>
      <w:r>
        <w:t xml:space="preserve"> aj reálne overenie skutočností, ktoré boli prijímateľom deklarované v rámci iných kontrol. </w:t>
      </w:r>
    </w:p>
    <w:p w14:paraId="7038A6E4" w14:textId="77777777" w:rsidR="00B650E5" w:rsidRDefault="00B650E5">
      <w:pPr>
        <w:pStyle w:val="Odsekzoznamu"/>
        <w:numPr>
          <w:ilvl w:val="0"/>
          <w:numId w:val="233"/>
        </w:numPr>
        <w:spacing w:before="120" w:after="120"/>
        <w:ind w:left="426" w:hanging="426"/>
        <w:contextualSpacing w:val="0"/>
        <w:jc w:val="both"/>
        <w:rPr>
          <w:u w:val="single"/>
        </w:rPr>
      </w:pPr>
      <w:r>
        <w:t>Vykonaniu finančnej kontroly na mieste predchádza vystavenie poverenia na výkon finančnej kontroly na mieste, ktorého vzor</w:t>
      </w:r>
      <w:r>
        <w:rPr>
          <w:rStyle w:val="Odkaznapoznmkupodiarou"/>
        </w:rPr>
        <w:footnoteReference w:id="96"/>
      </w:r>
      <w:r>
        <w:t xml:space="preserve"> vydáva CKO.  </w:t>
      </w:r>
    </w:p>
    <w:p w14:paraId="486775E2" w14:textId="77777777" w:rsidR="00B650E5" w:rsidRDefault="00B650E5">
      <w:pPr>
        <w:pStyle w:val="Odsekzoznamu"/>
        <w:numPr>
          <w:ilvl w:val="0"/>
          <w:numId w:val="233"/>
        </w:numPr>
        <w:spacing w:before="120" w:after="120"/>
        <w:ind w:left="426" w:hanging="426"/>
        <w:contextualSpacing w:val="0"/>
        <w:jc w:val="both"/>
      </w:pPr>
      <w:r>
        <w:t xml:space="preserve">Predmetom finančnej kontroly na mieste môžu byť všetky skutočnosti súvisiace s implementáciou projektu a plnením podmienok vyplývajúcich zo zmluvy o NFP, napríklad: </w:t>
      </w:r>
    </w:p>
    <w:p w14:paraId="44223F16" w14:textId="77777777" w:rsidR="00B650E5" w:rsidRDefault="00B650E5">
      <w:pPr>
        <w:pStyle w:val="Odsekzoznamu"/>
        <w:numPr>
          <w:ilvl w:val="0"/>
          <w:numId w:val="29"/>
        </w:numPr>
        <w:tabs>
          <w:tab w:val="clear" w:pos="1068"/>
        </w:tabs>
        <w:spacing w:before="120" w:after="120"/>
        <w:ind w:left="851" w:hanging="425"/>
        <w:contextualSpacing w:val="0"/>
        <w:jc w:val="both"/>
      </w:pPr>
      <w:r>
        <w:t>kontrola skutočného dodania tovarov, poskytnutia služieb alebo vykonania prác deklarovaných na faktúrach a iných relevantných dokladoch, ktoré predložil prijímateľ RO ako podpornú 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materiálu vrátane zámeny materiálov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14:paraId="70DAFC9E" w14:textId="77777777" w:rsidR="00B650E5" w:rsidRDefault="00B650E5">
      <w:pPr>
        <w:numPr>
          <w:ilvl w:val="0"/>
          <w:numId w:val="29"/>
        </w:numPr>
        <w:tabs>
          <w:tab w:val="clear" w:pos="1068"/>
        </w:tabs>
        <w:spacing w:before="120" w:after="120"/>
        <w:ind w:left="851" w:hanging="425"/>
        <w:jc w:val="both"/>
      </w:pPr>
      <w:r>
        <w:t>kontrola realizácie aktivít v zmysle zmluvy o NFP;</w:t>
      </w:r>
    </w:p>
    <w:p w14:paraId="1C1A1A22" w14:textId="77777777" w:rsidR="00B650E5" w:rsidRDefault="00B650E5">
      <w:pPr>
        <w:numPr>
          <w:ilvl w:val="0"/>
          <w:numId w:val="29"/>
        </w:numPr>
        <w:tabs>
          <w:tab w:val="clear" w:pos="1068"/>
        </w:tabs>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r w:rsidR="008C2015">
        <w:t>;</w:t>
      </w:r>
    </w:p>
    <w:p w14:paraId="30695103" w14:textId="77777777" w:rsidR="00B650E5" w:rsidRDefault="00B650E5">
      <w:pPr>
        <w:numPr>
          <w:ilvl w:val="0"/>
          <w:numId w:val="29"/>
        </w:numPr>
        <w:tabs>
          <w:tab w:val="clear" w:pos="1068"/>
        </w:tabs>
        <w:spacing w:before="120" w:after="120"/>
        <w:ind w:left="851" w:hanging="425"/>
        <w:jc w:val="both"/>
      </w:pPr>
      <w:r>
        <w:lastRenderedPageBreak/>
        <w:t xml:space="preserve">kontrola skutočností uvedených v nárokoch zhotoviteľa a zmenách diela odsúhlasovaných hlavným stavebným dozorom pri dielach realizovaných podľa tzv. žltej alebo červenej knihy FIDIC, </w:t>
      </w:r>
    </w:p>
    <w:p w14:paraId="53559E94" w14:textId="77777777" w:rsidR="00B650E5" w:rsidRDefault="00B650E5">
      <w:pPr>
        <w:numPr>
          <w:ilvl w:val="0"/>
          <w:numId w:val="29"/>
        </w:numPr>
        <w:tabs>
          <w:tab w:val="clear" w:pos="1068"/>
        </w:tabs>
        <w:spacing w:before="120" w:after="120"/>
        <w:ind w:left="851" w:hanging="425"/>
        <w:jc w:val="both"/>
      </w:pPr>
      <w:r>
        <w:t>kontrola súladu realizácie projektu so zmluvou o NFP (výstupmi projektu vyjadrenými merateľnými ukazovateľmi, rozpočtom, harmonogramom realizácie aktivít projektu a pod.), príp. kontrola plnenia ďalších podmienok uvedených v zmluve o NFP;</w:t>
      </w:r>
    </w:p>
    <w:p w14:paraId="16B18057" w14:textId="77777777" w:rsidR="00B650E5" w:rsidRDefault="00B650E5">
      <w:pPr>
        <w:numPr>
          <w:ilvl w:val="0"/>
          <w:numId w:val="29"/>
        </w:numPr>
        <w:tabs>
          <w:tab w:val="clear" w:pos="1068"/>
        </w:tabs>
        <w:spacing w:before="120" w:after="120"/>
        <w:ind w:left="851" w:hanging="425"/>
        <w:jc w:val="both"/>
      </w:pPr>
      <w:r>
        <w:t>kontrola, či prijímateľ predkladá správne informácie ohľadom fyzického pokroku realizácie projektu a plnenia si ďalších povinností vyplývajúcich zo zmluvy o NFP;</w:t>
      </w:r>
    </w:p>
    <w:p w14:paraId="329544A6" w14:textId="77777777" w:rsidR="00B650E5" w:rsidRDefault="00B650E5">
      <w:pPr>
        <w:numPr>
          <w:ilvl w:val="0"/>
          <w:numId w:val="29"/>
        </w:numPr>
        <w:tabs>
          <w:tab w:val="clear" w:pos="1068"/>
        </w:tabs>
        <w:spacing w:before="120" w:after="120"/>
        <w:ind w:left="851" w:hanging="425"/>
        <w:jc w:val="both"/>
      </w:pPr>
      <w:r>
        <w:t>kontrola, či sú v účtovnom systéme prijímateľa zaúčtované všetky skutočnosti, ktoré sa týkajú projektu a sú predmetom účtovníctva podľa zákona o účtovníctve, a to buď  na 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sa jedná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14:paraId="2377733E" w14:textId="77777777" w:rsidR="00B650E5" w:rsidRDefault="00B650E5">
      <w:pPr>
        <w:numPr>
          <w:ilvl w:val="0"/>
          <w:numId w:val="29"/>
        </w:numPr>
        <w:tabs>
          <w:tab w:val="clear" w:pos="1068"/>
        </w:tabs>
        <w:spacing w:before="120" w:after="120"/>
        <w:ind w:left="851" w:hanging="425"/>
        <w:jc w:val="both"/>
      </w:pPr>
      <w:r>
        <w:t>kontrola dodržiavania podmienok vyplývajúcich z monitorovania a vrátenia čistých príjmov;</w:t>
      </w:r>
    </w:p>
    <w:p w14:paraId="388CCA52" w14:textId="77777777" w:rsidR="00B650E5" w:rsidRDefault="00B650E5">
      <w:pPr>
        <w:numPr>
          <w:ilvl w:val="0"/>
          <w:numId w:val="29"/>
        </w:numPr>
        <w:tabs>
          <w:tab w:val="clear" w:pos="1068"/>
        </w:tabs>
        <w:spacing w:before="120" w:after="120"/>
        <w:ind w:left="851" w:hanging="425"/>
        <w:jc w:val="both"/>
      </w:pPr>
      <w:r>
        <w:t xml:space="preserve">kontrola dokumentácie VO (pozn. nejedná sa o finančnú kontrolu VO, ale napr. o overenie súladu dokumentácie predloženej RO s dokumentáciou archivovanou prijímateľom);  </w:t>
      </w:r>
    </w:p>
    <w:p w14:paraId="0C3A797E" w14:textId="77777777" w:rsidR="00B650E5" w:rsidRDefault="00B650E5">
      <w:pPr>
        <w:numPr>
          <w:ilvl w:val="0"/>
          <w:numId w:val="29"/>
        </w:numPr>
        <w:tabs>
          <w:tab w:val="clear" w:pos="1068"/>
        </w:tabs>
        <w:spacing w:before="120" w:after="120"/>
        <w:ind w:left="851" w:hanging="425"/>
        <w:jc w:val="both"/>
      </w:pPr>
      <w:r>
        <w:t>kontrola dodržiavania pravidiel publicity;</w:t>
      </w:r>
    </w:p>
    <w:p w14:paraId="3A53981D" w14:textId="77777777" w:rsidR="00B650E5" w:rsidRDefault="00B650E5">
      <w:pPr>
        <w:numPr>
          <w:ilvl w:val="0"/>
          <w:numId w:val="29"/>
        </w:numPr>
        <w:tabs>
          <w:tab w:val="clear" w:pos="1068"/>
        </w:tabs>
        <w:spacing w:before="120" w:after="120"/>
        <w:ind w:left="851" w:hanging="425"/>
        <w:jc w:val="both"/>
      </w:pPr>
      <w:r>
        <w:t>kontrola súladu s HP;</w:t>
      </w:r>
    </w:p>
    <w:p w14:paraId="33FF52FF" w14:textId="77777777" w:rsidR="00B650E5" w:rsidRDefault="00B650E5">
      <w:pPr>
        <w:numPr>
          <w:ilvl w:val="0"/>
          <w:numId w:val="29"/>
        </w:numPr>
        <w:tabs>
          <w:tab w:val="clear" w:pos="1068"/>
        </w:tabs>
        <w:spacing w:before="120" w:after="120"/>
        <w:ind w:left="851" w:hanging="425"/>
        <w:jc w:val="both"/>
      </w:pPr>
      <w:r>
        <w:t xml:space="preserve">kontrola dodržiavania pravidiel poskytnutia štátnej pomoci/ pomoci de minimis; </w:t>
      </w:r>
    </w:p>
    <w:p w14:paraId="651FDEE5" w14:textId="77777777" w:rsidR="00B650E5" w:rsidRDefault="00B650E5">
      <w:pPr>
        <w:numPr>
          <w:ilvl w:val="0"/>
          <w:numId w:val="29"/>
        </w:numPr>
        <w:tabs>
          <w:tab w:val="clear" w:pos="1068"/>
        </w:tabs>
        <w:spacing w:before="120" w:after="120"/>
        <w:ind w:left="851" w:hanging="425"/>
        <w:jc w:val="both"/>
      </w:pPr>
      <w:r>
        <w:t>kontrola odstránenia nedostatkov a plnenia prijatých opatrení identifikovaných príslušnými kontrolnými orgánmi;</w:t>
      </w:r>
    </w:p>
    <w:p w14:paraId="12B6E45D" w14:textId="77777777" w:rsidR="00B650E5" w:rsidRDefault="00B650E5">
      <w:pPr>
        <w:numPr>
          <w:ilvl w:val="0"/>
          <w:numId w:val="29"/>
        </w:numPr>
        <w:tabs>
          <w:tab w:val="clear" w:pos="1068"/>
        </w:tabs>
        <w:spacing w:before="120" w:after="120"/>
        <w:ind w:left="851" w:hanging="425"/>
        <w:jc w:val="both"/>
      </w:pPr>
      <w:r>
        <w:t>kontrola, či prijímateľ uchováva dokumenty podpornej dokumentácie v originálnom vyhotovení vzhľadom na dobu uvedenú vo všeobecnom nariadení (ďalej aj „archivácia dokumentov súvisiacich s projektom“);</w:t>
      </w:r>
    </w:p>
    <w:p w14:paraId="0D639037" w14:textId="77777777" w:rsidR="00B650E5" w:rsidRDefault="00B650E5">
      <w:pPr>
        <w:numPr>
          <w:ilvl w:val="0"/>
          <w:numId w:val="29"/>
        </w:numPr>
        <w:tabs>
          <w:tab w:val="clear" w:pos="1068"/>
        </w:tabs>
        <w:spacing w:before="120" w:after="120"/>
        <w:ind w:left="851" w:hanging="425"/>
        <w:jc w:val="both"/>
      </w:pPr>
      <w:r>
        <w:t>kontrola neprekrývania sa výdavkov;</w:t>
      </w:r>
    </w:p>
    <w:p w14:paraId="3FA04BF2" w14:textId="77777777" w:rsidR="00B650E5" w:rsidRDefault="00B650E5">
      <w:pPr>
        <w:numPr>
          <w:ilvl w:val="0"/>
          <w:numId w:val="29"/>
        </w:numPr>
        <w:tabs>
          <w:tab w:val="clear" w:pos="1068"/>
        </w:tabs>
        <w:spacing w:before="120" w:after="120"/>
        <w:ind w:left="851" w:hanging="425"/>
        <w:jc w:val="both"/>
      </w:pPr>
      <w:r>
        <w:t xml:space="preserve">kontrola udržateľnosti projektu. </w:t>
      </w:r>
    </w:p>
    <w:p w14:paraId="038E6513" w14:textId="77777777" w:rsidR="00B650E5" w:rsidRDefault="00B650E5">
      <w:pPr>
        <w:pStyle w:val="Odsekzoznamu"/>
        <w:numPr>
          <w:ilvl w:val="0"/>
          <w:numId w:val="233"/>
        </w:numPr>
        <w:spacing w:before="120" w:after="120"/>
        <w:ind w:left="426" w:hanging="426"/>
        <w:contextualSpacing w:val="0"/>
        <w:jc w:val="both"/>
      </w:pPr>
      <w:bookmarkStart w:id="311" w:name="kapitola_33614_ods_4"/>
      <w:r>
        <w:t xml:space="preserve">RO je povinný finančnou kontrolou na mieste minimálne jedenkrát počas realizácie projektu overiť: </w:t>
      </w:r>
    </w:p>
    <w:bookmarkEnd w:id="311"/>
    <w:p w14:paraId="08C83B6F" w14:textId="77777777" w:rsidR="00B650E5" w:rsidRDefault="00B650E5">
      <w:pPr>
        <w:pStyle w:val="Odsekzoznamu"/>
        <w:numPr>
          <w:ilvl w:val="1"/>
          <w:numId w:val="344"/>
        </w:numPr>
        <w:spacing w:before="120" w:after="120"/>
        <w:ind w:left="851" w:hanging="425"/>
        <w:contextualSpacing w:val="0"/>
        <w:jc w:val="both"/>
      </w:pPr>
      <w:r>
        <w:t>skutočné dodanie tovarov, poskytnutie služieb a vykonanie stavebných prác;</w:t>
      </w:r>
    </w:p>
    <w:p w14:paraId="049CC747" w14:textId="77777777" w:rsidR="00B650E5" w:rsidRDefault="00B650E5">
      <w:pPr>
        <w:pStyle w:val="Odsekzoznamu"/>
        <w:numPr>
          <w:ilvl w:val="1"/>
          <w:numId w:val="344"/>
        </w:numPr>
        <w:spacing w:before="120" w:after="120"/>
        <w:ind w:left="851" w:hanging="425"/>
        <w:contextualSpacing w:val="0"/>
        <w:jc w:val="both"/>
      </w:pPr>
      <w:r>
        <w:t>vedenie účtovníctva o skutočnostiach týkajúcich sa projektu;</w:t>
      </w:r>
    </w:p>
    <w:p w14:paraId="0D9599E1" w14:textId="77777777" w:rsidR="00B650E5" w:rsidRDefault="00B650E5">
      <w:pPr>
        <w:pStyle w:val="Odsekzoznamu"/>
        <w:numPr>
          <w:ilvl w:val="1"/>
          <w:numId w:val="344"/>
        </w:numPr>
        <w:spacing w:before="120" w:after="120"/>
        <w:ind w:left="851" w:hanging="425"/>
        <w:contextualSpacing w:val="0"/>
        <w:jc w:val="both"/>
      </w:pPr>
      <w:r>
        <w:t>archiváciu dokumentov a podkladov súvisiacich s projektom;</w:t>
      </w:r>
    </w:p>
    <w:p w14:paraId="3F3D1139" w14:textId="77777777" w:rsidR="00B650E5" w:rsidRDefault="00B650E5">
      <w:pPr>
        <w:pStyle w:val="Odsekzoznamu"/>
        <w:numPr>
          <w:ilvl w:val="1"/>
          <w:numId w:val="344"/>
        </w:numPr>
        <w:spacing w:before="120" w:after="120"/>
        <w:ind w:left="851" w:hanging="425"/>
        <w:contextualSpacing w:val="0"/>
        <w:jc w:val="both"/>
      </w:pPr>
      <w:r>
        <w:t>publicitu projektu;</w:t>
      </w:r>
    </w:p>
    <w:p w14:paraId="24CA924C" w14:textId="77777777" w:rsidR="00B650E5" w:rsidRPr="00803C14" w:rsidRDefault="00B650E5">
      <w:pPr>
        <w:pStyle w:val="Odsekzoznamu"/>
        <w:numPr>
          <w:ilvl w:val="1"/>
          <w:numId w:val="344"/>
        </w:numPr>
        <w:spacing w:before="120" w:after="120"/>
        <w:ind w:left="851" w:hanging="425"/>
        <w:contextualSpacing w:val="0"/>
        <w:jc w:val="both"/>
      </w:pPr>
      <w:r w:rsidRPr="001B709E">
        <w:t>realizáciu projektu u</w:t>
      </w:r>
      <w:r w:rsidRPr="00F12951">
        <w:t> </w:t>
      </w:r>
      <w:r w:rsidRPr="001B709E">
        <w:t>partnera/partnerov prijímateľa.</w:t>
      </w:r>
      <w:r w:rsidRPr="005841B2">
        <w:t xml:space="preserve"> </w:t>
      </w:r>
    </w:p>
    <w:p w14:paraId="0A5B383E" w14:textId="77777777" w:rsidR="00B650E5" w:rsidRDefault="00B650E5">
      <w:pPr>
        <w:pStyle w:val="Odsekzoznamu"/>
        <w:numPr>
          <w:ilvl w:val="0"/>
          <w:numId w:val="233"/>
        </w:numPr>
        <w:spacing w:before="120" w:after="120"/>
        <w:ind w:left="426" w:hanging="426"/>
        <w:contextualSpacing w:val="0"/>
        <w:jc w:val="both"/>
      </w:pPr>
      <w:r>
        <w:t xml:space="preserve">RO vykonáva finančnú kontrolu projektu na mieste ako celku, </w:t>
      </w:r>
      <w:r w:rsidR="00C93F30">
        <w:t xml:space="preserve">t. j. </w:t>
      </w:r>
      <w:r w:rsidRPr="005841B2">
        <w:t xml:space="preserve"> v prípade existencie partnerov prijímateľa je povinný vykonať predmetnú kontrolu u každého z nich</w:t>
      </w:r>
      <w:r w:rsidRPr="001B709E">
        <w:t>, v závislosti od cieľov a zamerania finančnej kontroly projektu na mieste</w:t>
      </w:r>
      <w:r w:rsidRPr="005841B2">
        <w:t>.</w:t>
      </w:r>
    </w:p>
    <w:p w14:paraId="688952B3" w14:textId="77777777" w:rsidR="00B650E5" w:rsidRDefault="00B650E5">
      <w:pPr>
        <w:pStyle w:val="Odsekzoznamu"/>
        <w:numPr>
          <w:ilvl w:val="0"/>
          <w:numId w:val="233"/>
        </w:numPr>
        <w:spacing w:before="120" w:after="120"/>
        <w:ind w:left="426" w:hanging="426"/>
        <w:contextualSpacing w:val="0"/>
        <w:jc w:val="both"/>
      </w:pPr>
      <w:r>
        <w:lastRenderedPageBreak/>
        <w:t xml:space="preserve">RO vykonáva finančnú kontrolu na mieste na základe poverenia na výkon finančnej kontroly na mieste. </w:t>
      </w:r>
    </w:p>
    <w:p w14:paraId="7736955C" w14:textId="77777777" w:rsidR="00B650E5" w:rsidRDefault="00B650E5">
      <w:pPr>
        <w:pStyle w:val="Odsekzoznamu"/>
        <w:numPr>
          <w:ilvl w:val="0"/>
          <w:numId w:val="233"/>
        </w:numPr>
        <w:spacing w:before="120" w:after="120"/>
        <w:ind w:left="426" w:hanging="426"/>
        <w:contextualSpacing w:val="0"/>
        <w:jc w:val="both"/>
      </w:pPr>
      <w:r>
        <w:t xml:space="preserve">RO vykonáva finančnú kontrolu na mieste podľa kontrolného zoznamu pre vykonanie finančnej kontroly na mieste, ktorého štruktúra a minimálny rozsah kontrolných otázok je tvorený v závislosti od zvoleného predmetu finančnej kontroly na mieste. Minimálny rozsah kontrolných otázok, ktorý musí byť súčasťou minimálne jedného výkonu finančnej kontroly na mieste je stanovený vo vzore vydanom CKO (predmet kontroly č.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w:t>
      </w:r>
    </w:p>
    <w:p w14:paraId="040CDFB0" w14:textId="77777777" w:rsidR="00B650E5" w:rsidRDefault="00B650E5">
      <w:pPr>
        <w:pStyle w:val="Odsekzoznamu"/>
        <w:numPr>
          <w:ilvl w:val="0"/>
          <w:numId w:val="233"/>
        </w:numPr>
        <w:spacing w:before="120" w:after="120"/>
        <w:ind w:left="426" w:hanging="426"/>
        <w:contextualSpacing w:val="0"/>
        <w:jc w:val="both"/>
      </w:pPr>
      <w:r>
        <w:t xml:space="preserve">RO zabezpečí, aby bola finančná kontrola na mieste vykonávaná minimálne dvoma osobami. V prípade, že predmet finančnej kontroly na mieste je súčasťou prebiehajúcej alebo už vykonanej administratívnej finančnej kontroly a zároveň osoba, ktorá vykonáva/vykonala takúto administratívnu finančnú kontrolu je odlišná od osoby, ktorá vykonáva finančnú kontrolu na mieste, je RO povinný zabezpečiť obojstrannú výmenu informácií o výsledkoch jednotlivých kontrol. </w:t>
      </w:r>
    </w:p>
    <w:p w14:paraId="7CEE20C0" w14:textId="77777777" w:rsidR="00B650E5" w:rsidRDefault="00B650E5">
      <w:pPr>
        <w:pStyle w:val="Odsekzoznamu"/>
        <w:numPr>
          <w:ilvl w:val="0"/>
          <w:numId w:val="233"/>
        </w:numPr>
        <w:spacing w:before="120" w:after="120"/>
        <w:ind w:left="426" w:hanging="426"/>
        <w:contextualSpacing w:val="0"/>
        <w:jc w:val="both"/>
      </w:pPr>
      <w:r>
        <w:t xml:space="preserve">V súvislosti s implementáciou projektov spolufinancovaných z ESF je RO povinný vykonať minimálne jednu finančnú  kontrolu na mieste počas obdobia realizácie aktivít projektu. V súvislosti s implementáciou fondov a ENRF, je RO povinný vykonať minimálne jednu finančnú kontrolu na mieste počas obdobia realizácie projektu.  Výnimku z povinnosti RO vykonať finančnú kontrolu na mieste minimálne jedenkrát počas realizácie projektu tvoria projekty, pri implementácii ktorých je na RO zasielaná kompletná relevantná dokumentácia (vrátane dokumentácie preukazujúcej reálnosť projektu), pričom v tomto prípade platí, že ak RO nevykoná finančnú kontrolu na mieste, je povinný overiť skutočnosti uvedené v </w:t>
      </w:r>
      <w:hyperlink w:anchor="kapitola_33614_ods_4" w:tooltip="ods. 4, písm. a), b) a d) tejto kapitoly" w:history="1">
        <w:r>
          <w:rPr>
            <w:rStyle w:val="Hypertextovprepojenie"/>
          </w:rPr>
          <w:t>ods. 4, písm. a), b) a d) tejto kapitoly</w:t>
        </w:r>
      </w:hyperlink>
      <w:r>
        <w:t xml:space="preserve"> formou administratívnej finančnej kontroly minimálne jedenkrát počas realizácie projektu.</w:t>
      </w:r>
    </w:p>
    <w:p w14:paraId="566B6055" w14:textId="77777777" w:rsidR="00B650E5" w:rsidRDefault="00B650E5">
      <w:pPr>
        <w:pStyle w:val="Odsekzoznamu"/>
        <w:numPr>
          <w:ilvl w:val="0"/>
          <w:numId w:val="233"/>
        </w:numPr>
        <w:spacing w:before="120" w:after="120"/>
        <w:ind w:left="426" w:hanging="426"/>
        <w:contextualSpacing w:val="0"/>
        <w:jc w:val="both"/>
      </w:pPr>
      <w:r>
        <w:t>Pokiaľ RO nevie získať primerané uistenie o správnosti a zákonnosti výdavkov na základe minimálne stanovenej jednej finančnej kontroly na mieste, je RO povinný vykonať viacero finančných kontrol na mieste. RO si vzhľadom na uvedené stanoví frekvenciu a rozsah</w:t>
      </w:r>
      <w:r>
        <w:rPr>
          <w:rStyle w:val="Odkaznapoznmkupodiarou"/>
        </w:rPr>
        <w:footnoteReference w:id="97"/>
      </w:r>
      <w:r>
        <w:t xml:space="preserve"> vykonávania finančných kontrol na mieste, v závislosti od charakteru a komplexnosti projektu s ohľadom na dosiahnutý stupeň fyzického a finančného pokroku jeho implementácie. K tomuto účelu si RO  vypracuje analýzu rizík, ktorá bude uvedené aspekty zohľadňovať a ktorú bude povinne využívať. Minimálne povinné náležitosti analýzy rizík</w:t>
      </w:r>
      <w:r w:rsidRPr="00DE5D89">
        <w:rPr>
          <w:rStyle w:val="Odkaznapoznmkupodiarou"/>
        </w:rPr>
        <w:footnoteReference w:id="98"/>
      </w:r>
      <w:r>
        <w:t xml:space="preserve"> stanoví CKO</w:t>
      </w:r>
      <w:r>
        <w:rPr>
          <w:rStyle w:val="Odkaznapoznmkupodiarou"/>
        </w:rPr>
        <w:footnoteReference w:id="99"/>
      </w:r>
      <w:r>
        <w:t xml:space="preserve">. </w:t>
      </w:r>
    </w:p>
    <w:p w14:paraId="705B7D02" w14:textId="77777777" w:rsidR="00B650E5" w:rsidRDefault="00B650E5">
      <w:pPr>
        <w:pStyle w:val="Odsekzoznamu"/>
        <w:numPr>
          <w:ilvl w:val="0"/>
          <w:numId w:val="233"/>
        </w:numPr>
        <w:spacing w:before="120" w:after="120"/>
        <w:ind w:left="426" w:hanging="426"/>
        <w:contextualSpacing w:val="0"/>
        <w:jc w:val="both"/>
      </w:pPr>
      <w:r>
        <w:t xml:space="preserve">RO je povinný oznámiť prijímateľovi termín </w:t>
      </w:r>
      <w:r w:rsidR="00CE2A88">
        <w:t xml:space="preserve">a cieľ výkonu </w:t>
      </w:r>
      <w:r>
        <w:t>finančnej kontroly na mieste</w:t>
      </w:r>
      <w:r w:rsidR="00CE2A88">
        <w:t>, pokiaľ zákon o finančnej kontrole neustanovuje inak</w:t>
      </w:r>
      <w:r>
        <w:t>. RO oznamuje termín začatia fyzického výkonu finančnej kontroly na mieste najmenej 3 pracovné dni vopred</w:t>
      </w:r>
      <w:r w:rsidR="007324D5">
        <w:t>,</w:t>
      </w:r>
      <w:r>
        <w:t xml:space="preserve"> a to v závislosti od komunikácie medzi prijímateľom a RO stanovenej v zmluve o NFP. V prípade, že finančná kontrola na mieste je zameraná aj na zistenie reálnosti projektu (napr. vo vzťahu k realizovaným aktivitám), môže RO oznámiť termín začatia finančnej kontroly na mieste a</w:t>
      </w:r>
      <w:r w:rsidR="006B163F">
        <w:t xml:space="preserve"> cieľ </w:t>
      </w:r>
      <w:r>
        <w:t xml:space="preserve">finančnej kontroly na mieste </w:t>
      </w:r>
      <w:r>
        <w:lastRenderedPageBreak/>
        <w:t>priamo pri začatí fyzického výkonu finančnej kontroly na mieste. Vzor</w:t>
      </w:r>
      <w:r>
        <w:rPr>
          <w:rStyle w:val="Odkaznapoznmkupodiarou"/>
        </w:rPr>
        <w:footnoteReference w:id="100"/>
      </w:r>
      <w:r>
        <w:t xml:space="preserve"> oznámenia o vykonaní finančnej kontroly na mieste vydáva CKO.    </w:t>
      </w:r>
    </w:p>
    <w:p w14:paraId="00D7B7A8" w14:textId="77777777" w:rsidR="00B650E5" w:rsidRDefault="00B650E5" w:rsidP="008317E3">
      <w:pPr>
        <w:pStyle w:val="Odsekzoznamu"/>
        <w:numPr>
          <w:ilvl w:val="0"/>
          <w:numId w:val="233"/>
        </w:numPr>
        <w:spacing w:before="120" w:after="120"/>
        <w:ind w:left="426" w:hanging="426"/>
        <w:contextualSpacing w:val="0"/>
        <w:jc w:val="both"/>
      </w:pPr>
      <w:r>
        <w:t>Poverení zamestnanci RO sú pri začatí fyzického výkonu kontroly povinní</w:t>
      </w:r>
      <w:r w:rsidDel="00F8221C">
        <w:t xml:space="preserve"> </w:t>
      </w:r>
      <w:r>
        <w:t>voči kontrolovanej osobe</w:t>
      </w:r>
      <w:r w:rsidDel="00F8221C">
        <w:t xml:space="preserve"> </w:t>
      </w:r>
      <w:r>
        <w:t xml:space="preserve">preukázať sa písomným poverením </w:t>
      </w:r>
      <w:r w:rsidRPr="005D1036">
        <w:t>na vykonanie finančnej kontroly na mieste a</w:t>
      </w:r>
      <w:r>
        <w:t> umožniť nahliadnuť do</w:t>
      </w:r>
      <w:r w:rsidRPr="005D1036">
        <w:t xml:space="preserve"> preukazu totožnosti alebo služobného preukazu.</w:t>
      </w:r>
      <w:r>
        <w:t xml:space="preserve"> </w:t>
      </w:r>
    </w:p>
    <w:p w14:paraId="6EAD5A4E" w14:textId="77777777" w:rsidR="00B650E5" w:rsidRDefault="00B650E5">
      <w:pPr>
        <w:pStyle w:val="Odsekzoznamu"/>
        <w:numPr>
          <w:ilvl w:val="0"/>
          <w:numId w:val="233"/>
        </w:numPr>
        <w:spacing w:before="120" w:after="120"/>
        <w:ind w:left="426" w:hanging="426"/>
        <w:contextualSpacing w:val="0"/>
        <w:jc w:val="both"/>
      </w:pPr>
      <w:r>
        <w:t xml:space="preserve">Zamestnanci RO sú povinní vydať prijímateľovi potvrdenie o odobratí originálov dokladov, písomností a iných materiálov mimo priestorov prijímateľa v prípade, ak je toto odobratie nevyhnutné na výkon finančnej kontroly na mieste. </w:t>
      </w:r>
    </w:p>
    <w:p w14:paraId="0B6E5DF9" w14:textId="77777777" w:rsidR="00B650E5" w:rsidRDefault="00B650E5">
      <w:pPr>
        <w:pStyle w:val="Odsekzoznamu"/>
        <w:numPr>
          <w:ilvl w:val="0"/>
          <w:numId w:val="233"/>
        </w:numPr>
        <w:spacing w:before="120" w:after="120"/>
        <w:ind w:left="426" w:hanging="426"/>
        <w:contextualSpacing w:val="0"/>
        <w:jc w:val="both"/>
      </w:pPr>
      <w:r>
        <w:t>RO má povinnosť zabezpečiť riadnu ochranu odobratých originálov dokladov, písomností a iných materiálov pred stratou, zničením, poškodením a zneužitím a vrátiť ich prijímateľovi, ak už nie sú potrebné na ďalší výkon finančnej kontroly na mieste a vrátiť ich  bezodkladne tomu, od koho sa vyžiadali, ak nie sú potrebné na konanie podľa Trestného poriadku, alebo na iné konanie podľa osobitných predpisov</w:t>
      </w:r>
      <w:bookmarkStart w:id="312" w:name="_Ref427589380"/>
      <w:r w:rsidRPr="005D1036">
        <w:rPr>
          <w:rStyle w:val="Odkaznapoznmkupodiarou"/>
        </w:rPr>
        <w:footnoteReference w:id="101"/>
      </w:r>
      <w:bookmarkEnd w:id="312"/>
      <w:r>
        <w:t xml:space="preserve">. </w:t>
      </w:r>
    </w:p>
    <w:p w14:paraId="2417CD3C" w14:textId="77777777" w:rsidR="00B650E5" w:rsidRDefault="00B650E5">
      <w:pPr>
        <w:pStyle w:val="Odsekzoznamu"/>
        <w:numPr>
          <w:ilvl w:val="0"/>
          <w:numId w:val="233"/>
        </w:numPr>
        <w:spacing w:before="120" w:after="120"/>
        <w:ind w:left="426" w:hanging="426"/>
        <w:contextualSpacing w:val="0"/>
        <w:jc w:val="both"/>
      </w:pPr>
      <w:r>
        <w:t>RO je oprávnený vstupovať do objektu, zariadenia, prevádzky, dopravného prostriedku alebo na pozemok prijímateľa, do obydlia, ktoré prijímateľ používa na podnikanie alebo na vykonávanie hospodárskej činnosti, ak je to nevyhnutné na výkon finančnej kontroly na mieste.</w:t>
      </w:r>
    </w:p>
    <w:p w14:paraId="40293DFB" w14:textId="77777777" w:rsidR="00B650E5" w:rsidRDefault="00B650E5">
      <w:pPr>
        <w:pStyle w:val="Odsekzoznamu"/>
        <w:numPr>
          <w:ilvl w:val="0"/>
          <w:numId w:val="233"/>
        </w:numPr>
        <w:spacing w:before="120" w:after="120"/>
        <w:ind w:left="426" w:hanging="426"/>
        <w:contextualSpacing w:val="0"/>
        <w:jc w:val="both"/>
      </w:pPr>
      <w:r>
        <w:t>RO je oprávnený vyžadovať od kontrolovanej osoby v určenej lehote poskytnutie originálov, alebo osvedčené kópie dokladov, písomnosti,  záznamov dát na pamäťových médiách prostriedkov výpočtovej techniky, ich výpisov, výstupov, vyjadrenia, informácie, dokumenty a iné podklady súvisiace s výkonom finančnej kontroly na mieste a odoberať ich mimo priestorov kontrolovanej osoby,</w:t>
      </w:r>
      <w:r w:rsidRPr="002D40A7">
        <w:t xml:space="preserve"> </w:t>
      </w:r>
      <w:r w:rsidRPr="005D1036">
        <w:t>ak ich poskytnutiu nebráni osobitný predpis</w:t>
      </w:r>
      <w:r w:rsidRPr="005D1036">
        <w:rPr>
          <w:rStyle w:val="Odkaznapoznmkupodiarou"/>
        </w:rPr>
        <w:footnoteReference w:id="102"/>
      </w:r>
      <w:r>
        <w:t>.</w:t>
      </w:r>
    </w:p>
    <w:p w14:paraId="093B8F18" w14:textId="77777777" w:rsidR="00B650E5" w:rsidRDefault="00B650E5">
      <w:pPr>
        <w:pStyle w:val="Odsekzoznamu"/>
        <w:numPr>
          <w:ilvl w:val="0"/>
          <w:numId w:val="233"/>
        </w:numPr>
        <w:spacing w:before="120" w:after="120"/>
        <w:ind w:left="426" w:hanging="426"/>
        <w:contextualSpacing w:val="0"/>
        <w:jc w:val="both"/>
      </w:pPr>
      <w:r>
        <w:t>V prípade, že RO vykoná finančnú kontrolu na mieste opakovane, ide o samostatn</w:t>
      </w:r>
      <w:r w:rsidR="009549C1">
        <w:t>ú</w:t>
      </w:r>
      <w:r>
        <w:t xml:space="preserve"> </w:t>
      </w:r>
      <w:r w:rsidR="009549C1">
        <w:t xml:space="preserve">finančnú </w:t>
      </w:r>
      <w:r>
        <w:t>kontrol</w:t>
      </w:r>
      <w:r w:rsidR="009549C1">
        <w:t>u</w:t>
      </w:r>
      <w:r>
        <w:t xml:space="preserve"> na mieste</w:t>
      </w:r>
      <w:r w:rsidR="009549C1">
        <w:t xml:space="preserve">, podľa </w:t>
      </w:r>
      <w:hyperlink w:anchor="kapitola_33611_ods_9" w:history="1">
        <w:r w:rsidRPr="00EE50E8">
          <w:rPr>
            <w:rStyle w:val="Hypertextovprepojenie"/>
          </w:rPr>
          <w:t>kapitol</w:t>
        </w:r>
        <w:r w:rsidR="009549C1">
          <w:rPr>
            <w:rStyle w:val="Hypertextovprepojenie"/>
          </w:rPr>
          <w:t>y</w:t>
        </w:r>
        <w:r w:rsidRPr="00EE50E8">
          <w:rPr>
            <w:rStyle w:val="Hypertextovprepojenie"/>
          </w:rPr>
          <w:t xml:space="preserve"> 3.3.6.1.1 ods. </w:t>
        </w:r>
        <w:r w:rsidR="004E0189">
          <w:rPr>
            <w:rStyle w:val="Hypertextovprepojenie"/>
          </w:rPr>
          <w:t>10</w:t>
        </w:r>
      </w:hyperlink>
      <w:r>
        <w:t>.</w:t>
      </w:r>
    </w:p>
    <w:p w14:paraId="4CED3514" w14:textId="77777777" w:rsidR="00B650E5" w:rsidRDefault="00B650E5">
      <w:pPr>
        <w:pStyle w:val="Odsekzoznamu"/>
        <w:numPr>
          <w:ilvl w:val="0"/>
          <w:numId w:val="233"/>
        </w:numPr>
        <w:spacing w:before="120" w:after="120"/>
        <w:ind w:left="426" w:hanging="426"/>
        <w:contextualSpacing w:val="0"/>
        <w:jc w:val="both"/>
      </w:pPr>
      <w:r>
        <w:t>Výstupom z každej finančnej kontroly na mieste je návrh čiastkovej správy z kontroly/návrh správy z kontroly (v prípade zistenia nedostatkov) a čiastková správa z kontroly/správa z kontroly. Bližšie ustanovenia týkajúce sa návrhu čiastkovej správy z kontroly/návrhu správy z kontroly a čiastkovej správy z kontroly/správy z kontroly a ukončenia kontroly sú uvedené v </w:t>
      </w:r>
      <w:hyperlink w:anchor="kapitola_33613" w:tooltip="kapitole 3.3.6.1.3" w:history="1">
        <w:r>
          <w:rPr>
            <w:rStyle w:val="Hypertextovprepojenie"/>
          </w:rPr>
          <w:t>kapitole 3.3.6.1.3</w:t>
        </w:r>
      </w:hyperlink>
      <w:r>
        <w:t xml:space="preserve">. </w:t>
      </w:r>
    </w:p>
    <w:p w14:paraId="431A244C" w14:textId="0C140B31" w:rsidR="00B650E5" w:rsidRDefault="0053588C">
      <w:pPr>
        <w:pStyle w:val="Odsekzoznamu"/>
        <w:spacing w:before="120" w:after="120"/>
        <w:ind w:left="426"/>
        <w:jc w:val="both"/>
      </w:pPr>
      <w:r>
        <w:rPr>
          <w:noProof/>
        </w:rPr>
        <w:lastRenderedPageBreak/>
        <w:drawing>
          <wp:inline distT="0" distB="0" distL="0" distR="0" wp14:anchorId="32D7746D" wp14:editId="0E9A4487">
            <wp:extent cx="5483225" cy="3157220"/>
            <wp:effectExtent l="57150" t="0" r="60325" b="0"/>
            <wp:docPr id="16" name="Diagram 1138"/>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7" r:lo="rId178" r:qs="rId179" r:cs="rId180"/>
              </a:graphicData>
            </a:graphic>
          </wp:inline>
        </w:drawing>
      </w:r>
      <w:r w:rsidR="00B650E5">
        <w:t xml:space="preserve"> </w:t>
      </w:r>
    </w:p>
    <w:p w14:paraId="5CEF3DE4" w14:textId="77777777" w:rsidR="00B650E5" w:rsidRDefault="00B650E5">
      <w:pPr>
        <w:pStyle w:val="Odsekzoznamu"/>
        <w:spacing w:before="120" w:after="120"/>
        <w:ind w:left="426"/>
        <w:jc w:val="center"/>
        <w:rPr>
          <w:i/>
          <w:sz w:val="20"/>
        </w:rPr>
      </w:pPr>
      <w:r>
        <w:rPr>
          <w:i/>
          <w:sz w:val="20"/>
        </w:rPr>
        <w:t xml:space="preserve">Príklady procesov v rámci výkonu finančnej kontroly na mieste </w:t>
      </w:r>
    </w:p>
    <w:p w14:paraId="61263C34" w14:textId="77777777" w:rsidR="00B650E5" w:rsidRDefault="00B650E5">
      <w:pPr>
        <w:pStyle w:val="Odsekzoznamu"/>
        <w:spacing w:before="120" w:after="120"/>
        <w:ind w:left="426"/>
        <w:jc w:val="center"/>
        <w:rPr>
          <w:sz w:val="20"/>
        </w:rPr>
      </w:pPr>
      <w:r>
        <w:rPr>
          <w:i/>
          <w:sz w:val="20"/>
        </w:rPr>
        <w:t>v prípade, ak sú kontrolou zistené nedostatky.</w:t>
      </w:r>
    </w:p>
    <w:p w14:paraId="12E071B5" w14:textId="77777777" w:rsidR="00B650E5" w:rsidRDefault="0053588C">
      <w:pPr>
        <w:pStyle w:val="Odsekzoznamu"/>
        <w:spacing w:before="120" w:after="120"/>
        <w:ind w:left="426"/>
        <w:jc w:val="both"/>
      </w:pPr>
      <w:r>
        <w:rPr>
          <w:noProof/>
        </w:rPr>
        <w:drawing>
          <wp:inline distT="0" distB="0" distL="0" distR="0" wp14:anchorId="4F43BB18" wp14:editId="746D6F91">
            <wp:extent cx="5489575" cy="3191510"/>
            <wp:effectExtent l="57150" t="0" r="53975" b="0"/>
            <wp:docPr id="17" name="Diagram 113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2" r:lo="rId183" r:qs="rId184" r:cs="rId185"/>
              </a:graphicData>
            </a:graphic>
          </wp:inline>
        </w:drawing>
      </w:r>
    </w:p>
    <w:p w14:paraId="4776E5ED" w14:textId="77777777" w:rsidR="00B650E5" w:rsidRDefault="00B650E5">
      <w:pPr>
        <w:pStyle w:val="Odsekzoznamu"/>
        <w:spacing w:before="120" w:after="120"/>
        <w:ind w:left="425"/>
        <w:jc w:val="center"/>
        <w:rPr>
          <w:i/>
          <w:sz w:val="20"/>
        </w:rPr>
      </w:pPr>
      <w:r>
        <w:rPr>
          <w:i/>
          <w:sz w:val="20"/>
        </w:rPr>
        <w:t xml:space="preserve">Príklady procesov v rámci výkonu finančnej kontroly na mieste </w:t>
      </w:r>
    </w:p>
    <w:p w14:paraId="375F7F47" w14:textId="77777777" w:rsidR="00B650E5" w:rsidRDefault="00B650E5">
      <w:pPr>
        <w:pStyle w:val="Odsekzoznamu"/>
        <w:spacing w:before="120" w:after="120"/>
        <w:ind w:left="425"/>
        <w:jc w:val="center"/>
        <w:rPr>
          <w:i/>
          <w:sz w:val="20"/>
        </w:rPr>
      </w:pPr>
      <w:r>
        <w:rPr>
          <w:i/>
          <w:sz w:val="20"/>
        </w:rPr>
        <w:t>v prípade, ak nie sú kontrolou zistené nedostatky.</w:t>
      </w:r>
    </w:p>
    <w:p w14:paraId="65A299E3" w14:textId="77777777" w:rsidR="00B650E5" w:rsidRDefault="00B650E5">
      <w:pPr>
        <w:pStyle w:val="Odsekzoznamu"/>
        <w:numPr>
          <w:ilvl w:val="0"/>
          <w:numId w:val="233"/>
        </w:numPr>
        <w:spacing w:before="120" w:after="120"/>
        <w:ind w:left="426" w:hanging="426"/>
        <w:contextualSpacing w:val="0"/>
        <w:jc w:val="both"/>
      </w:pPr>
      <w:r>
        <w:t xml:space="preserve">RO je oprávnený rozšíriť náležitosti návrhu čiastkovej správy z kontroly/ návrhu správy z kontroly a z čiastkovej správy z kontroly/správy z kontroly vo vzťahu k potrebám OP, PO a pod. Uvedené rozšírenie podstatných náležitostí zaznamená RO vo svojej internej dokumentácii. </w:t>
      </w:r>
    </w:p>
    <w:p w14:paraId="29F6842A" w14:textId="77777777" w:rsidR="00B650E5" w:rsidRDefault="00B650E5">
      <w:pPr>
        <w:pStyle w:val="Odsekzoznamu"/>
        <w:numPr>
          <w:ilvl w:val="0"/>
          <w:numId w:val="233"/>
        </w:numPr>
        <w:spacing w:before="120" w:after="120"/>
        <w:ind w:left="426" w:hanging="426"/>
        <w:contextualSpacing w:val="0"/>
        <w:jc w:val="both"/>
      </w:pPr>
      <w:r>
        <w:t>Ak RO z vlastného podnetu alebo z podnetu ďalších osôb po zaslaní čiastkovej správy z kontroly/ správy z  kontroly zistí, že skutočnosti uvedené v čiastkovej správe z kontroly/správe z kontroly nie sú správne, je povinný vykonať nápravu formou vykonania novej kontroly. V nadväznosti na vecný charakter nápravy môže byť táto náprava vykonaná formou novej finančnej kontroly na mieste alebo novej administratívnej finančnej kontroly</w:t>
      </w:r>
      <w:r w:rsidRPr="00517B1D">
        <w:t xml:space="preserve"> </w:t>
      </w:r>
      <w:r>
        <w:t>v závislosti od toho, z akého podnetu sa opakovaná kontrola vykoná (</w:t>
      </w:r>
      <w:hyperlink w:anchor="kapitola_33611_ods_9" w:history="1">
        <w:r w:rsidRPr="00DA4436">
          <w:rPr>
            <w:rStyle w:val="Hypertextovprepojenie"/>
          </w:rPr>
          <w:t xml:space="preserve">kapitola 3.3.6.1.1 ods. </w:t>
        </w:r>
        <w:r w:rsidR="004E0189">
          <w:rPr>
            <w:rStyle w:val="Hypertextovprepojenie"/>
          </w:rPr>
          <w:t>10</w:t>
        </w:r>
      </w:hyperlink>
      <w:r>
        <w:t xml:space="preserve">). </w:t>
      </w:r>
    </w:p>
    <w:p w14:paraId="71390BE8" w14:textId="77777777" w:rsidR="00B650E5" w:rsidRDefault="00B650E5" w:rsidP="0045286B">
      <w:pPr>
        <w:pStyle w:val="SRK4"/>
      </w:pPr>
      <w:bookmarkStart w:id="313" w:name="_Toc453234024"/>
      <w:bookmarkStart w:id="314" w:name="_Toc501630077"/>
      <w:r>
        <w:lastRenderedPageBreak/>
        <w:t>3.3.6.2 Osobitné ustanovenia k predmetu kontroly</w:t>
      </w:r>
      <w:bookmarkEnd w:id="313"/>
      <w:bookmarkEnd w:id="314"/>
    </w:p>
    <w:p w14:paraId="348ABC84" w14:textId="77777777" w:rsidR="00B650E5" w:rsidRDefault="00B650E5">
      <w:pPr>
        <w:pStyle w:val="SRK5"/>
      </w:pPr>
      <w:bookmarkStart w:id="315" w:name="_Toc453234025"/>
      <w:bookmarkStart w:id="316" w:name="_Toc501630078"/>
      <w:bookmarkStart w:id="317" w:name="kapitola_33621"/>
      <w:r>
        <w:t>3.3.6.2.1 Osobitné predmety kontroly</w:t>
      </w:r>
      <w:bookmarkEnd w:id="315"/>
      <w:bookmarkEnd w:id="316"/>
    </w:p>
    <w:bookmarkEnd w:id="317"/>
    <w:p w14:paraId="496EE9E5" w14:textId="77777777" w:rsidR="00B650E5" w:rsidRDefault="00B650E5">
      <w:pPr>
        <w:pStyle w:val="Odsekzoznamu"/>
        <w:numPr>
          <w:ilvl w:val="0"/>
          <w:numId w:val="34"/>
        </w:numPr>
        <w:spacing w:before="120" w:after="120"/>
        <w:ind w:left="426" w:hanging="426"/>
        <w:contextualSpacing w:val="0"/>
        <w:jc w:val="both"/>
      </w:pPr>
      <w:r>
        <w:t>RO je oprávnený určiť si predmet kontroly, ktorý bude obsahovať akékoľvek skutočnosti v</w:t>
      </w:r>
      <w:r w:rsidR="002458C7">
        <w:t> </w:t>
      </w:r>
      <w:r>
        <w:t>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14:paraId="3F0FDD25" w14:textId="77777777" w:rsidR="00B650E5" w:rsidRDefault="0053588C">
      <w:pPr>
        <w:spacing w:before="120" w:after="120"/>
        <w:jc w:val="both"/>
      </w:pPr>
      <w:r>
        <w:rPr>
          <w:noProof/>
        </w:rPr>
        <w:drawing>
          <wp:anchor distT="0" distB="0" distL="114300" distR="114300" simplePos="0" relativeHeight="251666432" behindDoc="0" locked="0" layoutInCell="1" allowOverlap="1" wp14:anchorId="255E0470" wp14:editId="22DD12C8">
            <wp:simplePos x="0" y="0"/>
            <wp:positionH relativeFrom="column">
              <wp:posOffset>704850</wp:posOffset>
            </wp:positionH>
            <wp:positionV relativeFrom="paragraph">
              <wp:posOffset>-2540</wp:posOffset>
            </wp:positionV>
            <wp:extent cx="4438015" cy="3578860"/>
            <wp:effectExtent l="0" t="0" r="0" b="0"/>
            <wp:wrapNone/>
            <wp:docPr id="65"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7"/>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4438015" cy="3578860"/>
                    </a:xfrm>
                    <a:prstGeom prst="rect">
                      <a:avLst/>
                    </a:prstGeom>
                    <a:noFill/>
                  </pic:spPr>
                </pic:pic>
              </a:graphicData>
            </a:graphic>
            <wp14:sizeRelH relativeFrom="page">
              <wp14:pctWidth>0</wp14:pctWidth>
            </wp14:sizeRelH>
            <wp14:sizeRelV relativeFrom="page">
              <wp14:pctHeight>0</wp14:pctHeight>
            </wp14:sizeRelV>
          </wp:anchor>
        </w:drawing>
      </w:r>
    </w:p>
    <w:p w14:paraId="5EA39DF2" w14:textId="77777777" w:rsidR="00B650E5" w:rsidRDefault="00B650E5">
      <w:pPr>
        <w:spacing w:before="120" w:after="120"/>
        <w:jc w:val="both"/>
      </w:pPr>
    </w:p>
    <w:p w14:paraId="45EF2E05" w14:textId="77777777" w:rsidR="00B650E5" w:rsidRDefault="00B650E5">
      <w:pPr>
        <w:spacing w:before="120" w:after="120"/>
        <w:jc w:val="both"/>
      </w:pPr>
    </w:p>
    <w:p w14:paraId="03C55F3F" w14:textId="77777777" w:rsidR="00B650E5" w:rsidRDefault="00B650E5">
      <w:pPr>
        <w:spacing w:before="120" w:after="120"/>
        <w:jc w:val="both"/>
      </w:pPr>
    </w:p>
    <w:p w14:paraId="45E396CE" w14:textId="77777777" w:rsidR="00B650E5" w:rsidRDefault="00B650E5">
      <w:pPr>
        <w:spacing w:before="120" w:after="120"/>
        <w:jc w:val="both"/>
      </w:pPr>
    </w:p>
    <w:p w14:paraId="471D290A" w14:textId="77777777" w:rsidR="00B650E5" w:rsidRDefault="00B650E5">
      <w:pPr>
        <w:spacing w:before="120" w:after="120"/>
        <w:jc w:val="both"/>
      </w:pPr>
    </w:p>
    <w:p w14:paraId="44BC340F" w14:textId="77777777" w:rsidR="00B650E5" w:rsidRDefault="00B650E5">
      <w:pPr>
        <w:spacing w:before="120" w:after="120"/>
        <w:jc w:val="both"/>
      </w:pPr>
    </w:p>
    <w:p w14:paraId="0325EB9C" w14:textId="77777777" w:rsidR="00B650E5" w:rsidRDefault="00B650E5">
      <w:pPr>
        <w:spacing w:before="120" w:after="120"/>
        <w:jc w:val="both"/>
      </w:pPr>
    </w:p>
    <w:p w14:paraId="60CC7013" w14:textId="77777777" w:rsidR="00B650E5" w:rsidRDefault="00B650E5" w:rsidP="00DE5D89">
      <w:pPr>
        <w:pStyle w:val="Odsekzoznamu"/>
        <w:spacing w:before="120" w:after="120"/>
        <w:ind w:left="426"/>
        <w:contextualSpacing w:val="0"/>
        <w:jc w:val="both"/>
      </w:pPr>
    </w:p>
    <w:p w14:paraId="1DF46FC9" w14:textId="77777777" w:rsidR="00B650E5" w:rsidRDefault="00B650E5" w:rsidP="00DE5D89">
      <w:pPr>
        <w:pStyle w:val="Odsekzoznamu"/>
        <w:spacing w:before="120" w:after="120"/>
        <w:ind w:left="426"/>
        <w:contextualSpacing w:val="0"/>
        <w:jc w:val="both"/>
      </w:pPr>
    </w:p>
    <w:p w14:paraId="45712532" w14:textId="77777777" w:rsidR="00B650E5" w:rsidRDefault="00B650E5" w:rsidP="00DE5D89">
      <w:pPr>
        <w:pStyle w:val="Odsekzoznamu"/>
        <w:spacing w:before="120" w:after="120"/>
        <w:ind w:left="426"/>
        <w:contextualSpacing w:val="0"/>
        <w:jc w:val="both"/>
      </w:pPr>
    </w:p>
    <w:p w14:paraId="20ACCB54" w14:textId="77777777" w:rsidR="00B650E5" w:rsidRDefault="00B650E5" w:rsidP="00DE5D89">
      <w:pPr>
        <w:pStyle w:val="Odsekzoznamu"/>
        <w:spacing w:before="120" w:after="120"/>
        <w:ind w:left="426"/>
        <w:contextualSpacing w:val="0"/>
        <w:jc w:val="both"/>
      </w:pPr>
    </w:p>
    <w:p w14:paraId="20011907" w14:textId="77777777" w:rsidR="00B650E5" w:rsidRDefault="00B650E5" w:rsidP="00DE5D89">
      <w:pPr>
        <w:pStyle w:val="Odsekzoznamu"/>
        <w:spacing w:before="120" w:after="120"/>
        <w:ind w:left="426"/>
        <w:contextualSpacing w:val="0"/>
        <w:jc w:val="both"/>
      </w:pPr>
    </w:p>
    <w:p w14:paraId="6529EE45" w14:textId="77777777" w:rsidR="00B650E5" w:rsidRDefault="00B650E5">
      <w:pPr>
        <w:pStyle w:val="Odsekzoznamu"/>
        <w:numPr>
          <w:ilvl w:val="0"/>
          <w:numId w:val="34"/>
        </w:numPr>
        <w:spacing w:before="120" w:after="120"/>
        <w:ind w:left="426" w:hanging="426"/>
        <w:contextualSpacing w:val="0"/>
        <w:jc w:val="both"/>
      </w:pPr>
      <w:r>
        <w:t>RO je povinný vyplniť pri výkone kontroly kontrolný zoznam v závislosti od zvoleného predmetu kontroly. V prípade, že zvolený predmet výkonu kontroly nie je súčasťou zoznamu uvedeného v </w:t>
      </w:r>
      <w:hyperlink w:anchor="kapitola_33621_ods_4" w:tooltip="ods. 4 tejto kapitoly" w:history="1">
        <w:r>
          <w:rPr>
            <w:rStyle w:val="Hypertextovprepojenie"/>
          </w:rPr>
          <w:t>ods. 4 tejto kapitoly</w:t>
        </w:r>
      </w:hyperlink>
      <w:r>
        <w:t>, RO vypracuje ad hoc kontrolný zoznam. Ad hoc kontrolný zoznam zapracuje RO vopred taktiež do manuálu procedúr. Ak k vytvoreniu ad hoc kontrolného zoznamu dôjde počas výkonu kontroly, je RO povinný zapracovať ho do manuálu procedúr najneskôr do 3 mesiacov od jeho aplikovania. V prípade, že si RO zvolí v rámci výkonu jednej kontroly viacero osobitných predmetov kontroly, je oprávnený vypracovať jeden kontrolný zoznam obsahujúci kontrolné otázky z viacerých osobitných predmetov kontroly (</w:t>
      </w:r>
      <w:r w:rsidR="00C93F30">
        <w:t xml:space="preserve">t. j. </w:t>
      </w:r>
      <w:r>
        <w:t>z viacerých osobitných kontrolných zoznamov). Do každého vytvoreného kontrolného zoznamu je RO oprávnený doplniť ďalšie kontrolné otázky podľa špecifického charakteru daného OP, PO a pod. RO však nie je oprávnený vylúčiť otázky prislúchajúce k zvolené</w:t>
      </w:r>
      <w:r w:rsidRPr="00F76415">
        <w:t xml:space="preserve">mu </w:t>
      </w:r>
      <w:r w:rsidRPr="004637AA">
        <w:t xml:space="preserve">predmetu </w:t>
      </w:r>
      <w:r w:rsidRPr="00C64D4B">
        <w:t>kontroly (</w:t>
      </w:r>
      <w:hyperlink w:anchor="kapitola_33621" w:tooltip="kapitole 3.3.6.2.1" w:history="1">
        <w:r w:rsidRPr="004637AA">
          <w:rPr>
            <w:rStyle w:val="Hypertextovprepojenie"/>
          </w:rPr>
          <w:t>k</w:t>
        </w:r>
        <w:r w:rsidRPr="00C64D4B">
          <w:rPr>
            <w:rStyle w:val="Hypertextovprepojenie"/>
          </w:rPr>
          <w:t>apitola 3.3.6.2.1</w:t>
        </w:r>
      </w:hyperlink>
      <w:r>
        <w:rPr>
          <w:rStyle w:val="Hypertextovprepojenie"/>
        </w:rPr>
        <w:t xml:space="preserve">), </w:t>
      </w:r>
      <w:r w:rsidRPr="00CD242D">
        <w:t xml:space="preserve">uvedené v príslušnom </w:t>
      </w:r>
      <w:r>
        <w:t>v</w:t>
      </w:r>
      <w:r w:rsidRPr="00CD242D">
        <w:t>zore CKO.</w:t>
      </w:r>
    </w:p>
    <w:p w14:paraId="14A6A6E9" w14:textId="77777777" w:rsidR="00B650E5" w:rsidRDefault="0053588C">
      <w:pPr>
        <w:pStyle w:val="Odsekzoznamu"/>
        <w:spacing w:before="120" w:after="120"/>
        <w:ind w:left="426"/>
        <w:jc w:val="both"/>
      </w:pPr>
      <w:r>
        <w:rPr>
          <w:noProof/>
        </w:rPr>
        <w:lastRenderedPageBreak/>
        <w:drawing>
          <wp:inline distT="0" distB="0" distL="0" distR="0" wp14:anchorId="1626512F" wp14:editId="57053956">
            <wp:extent cx="5620385" cy="2660015"/>
            <wp:effectExtent l="57150" t="57150" r="56515" b="64135"/>
            <wp:docPr id="18" name="Diagram 114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8" r:lo="rId189" r:qs="rId190" r:cs="rId191"/>
              </a:graphicData>
            </a:graphic>
          </wp:inline>
        </w:drawing>
      </w:r>
    </w:p>
    <w:p w14:paraId="585DE3F4" w14:textId="77777777" w:rsidR="00B650E5" w:rsidRDefault="00B650E5">
      <w:pPr>
        <w:pStyle w:val="Odsekzoznamu"/>
        <w:spacing w:before="120" w:after="120"/>
        <w:ind w:left="426"/>
        <w:jc w:val="both"/>
      </w:pPr>
    </w:p>
    <w:p w14:paraId="24FEE108" w14:textId="77777777" w:rsidR="00B650E5" w:rsidRDefault="00B650E5">
      <w:pPr>
        <w:pStyle w:val="Odsekzoznamu"/>
        <w:numPr>
          <w:ilvl w:val="0"/>
          <w:numId w:val="34"/>
        </w:numPr>
        <w:spacing w:before="120" w:after="120"/>
        <w:ind w:left="426" w:hanging="426"/>
        <w:contextualSpacing w:val="0"/>
        <w:jc w:val="both"/>
      </w:pPr>
      <w:r>
        <w:t>V súvislosti s výberom osobitného predmetu kontroly si RO zvolí aj formu výkonu kontroly pri zachovaní pravidla vykonania povinnej kontroly každej ŽoP minimálne formou administratívnej finančnej kontroly, pričom je RO povinný zvoliť si osobitný predmet kontroly uvedený v </w:t>
      </w:r>
      <w:hyperlink w:anchor="kapitola_33621_ods_4a" w:tooltip="ods. 4 písm. a)" w:history="1">
        <w:r>
          <w:rPr>
            <w:rStyle w:val="Hypertextovprepojenie"/>
          </w:rPr>
          <w:t xml:space="preserve">ods. </w:t>
        </w:r>
        <w:r w:rsidR="00802367">
          <w:rPr>
            <w:rStyle w:val="Hypertextovprepojenie"/>
          </w:rPr>
          <w:t>4</w:t>
        </w:r>
        <w:r w:rsidR="00CE2A88">
          <w:rPr>
            <w:rStyle w:val="Hypertextovprepojenie"/>
          </w:rPr>
          <w:t xml:space="preserve"> </w:t>
        </w:r>
        <w:r>
          <w:rPr>
            <w:rStyle w:val="Hypertextovprepojenie"/>
          </w:rPr>
          <w:t>písm. a)</w:t>
        </w:r>
      </w:hyperlink>
      <w:r>
        <w:t xml:space="preserve"> a pravidla zvolenia si osobitných predmetov kontroly uvedených v </w:t>
      </w:r>
      <w:hyperlink w:anchor="kapitola_33621_ods_4b_až_d_z" w:tooltip="ods. 4 písm. b) – d) a z)" w:history="1">
        <w:r>
          <w:rPr>
            <w:rStyle w:val="Hypertextovprepojenie"/>
          </w:rPr>
          <w:t xml:space="preserve">ods. </w:t>
        </w:r>
        <w:r w:rsidR="00802367">
          <w:rPr>
            <w:rStyle w:val="Hypertextovprepojenie"/>
          </w:rPr>
          <w:t>4</w:t>
        </w:r>
        <w:r w:rsidR="00CE2A88">
          <w:rPr>
            <w:rStyle w:val="Hypertextovprepojenie"/>
          </w:rPr>
          <w:t xml:space="preserve"> </w:t>
        </w:r>
        <w:r>
          <w:rPr>
            <w:rStyle w:val="Hypertextovprepojenie"/>
          </w:rPr>
          <w:t>písm. b) – d) a </w:t>
        </w:r>
        <w:r w:rsidR="0076096E">
          <w:rPr>
            <w:rStyle w:val="Hypertextovprepojenie"/>
          </w:rPr>
          <w:t>aa</w:t>
        </w:r>
        <w:r>
          <w:rPr>
            <w:rStyle w:val="Hypertextovprepojenie"/>
          </w:rPr>
          <w:t>)</w:t>
        </w:r>
      </w:hyperlink>
      <w:r>
        <w:t xml:space="preserve"> počas výkonu kontroly formou finančnej kontroly na mieste minimálne jedenkrát počas realizácie projektu.</w:t>
      </w:r>
    </w:p>
    <w:p w14:paraId="610BBE21" w14:textId="77777777" w:rsidR="00B650E5" w:rsidRDefault="00B650E5">
      <w:pPr>
        <w:pStyle w:val="Odsekzoznamu"/>
        <w:numPr>
          <w:ilvl w:val="0"/>
          <w:numId w:val="34"/>
        </w:numPr>
        <w:spacing w:before="120" w:after="120"/>
        <w:ind w:left="426" w:hanging="426"/>
        <w:contextualSpacing w:val="0"/>
        <w:jc w:val="both"/>
      </w:pPr>
      <w:bookmarkStart w:id="318" w:name="kapitola_33621_ods_4"/>
      <w:r>
        <w:t>Osobitné predmety kontroly:</w:t>
      </w:r>
    </w:p>
    <w:p w14:paraId="1A89EA1B" w14:textId="77777777" w:rsidR="00B650E5" w:rsidRDefault="00B650E5">
      <w:pPr>
        <w:pStyle w:val="Odsekzoznamu"/>
        <w:numPr>
          <w:ilvl w:val="3"/>
          <w:numId w:val="234"/>
        </w:numPr>
        <w:spacing w:before="120" w:after="120"/>
        <w:ind w:left="851" w:hanging="425"/>
        <w:contextualSpacing w:val="0"/>
        <w:jc w:val="both"/>
      </w:pPr>
      <w:bookmarkStart w:id="319" w:name="kapitola_33621_ods_4a"/>
      <w:bookmarkEnd w:id="318"/>
      <w:r>
        <w:t xml:space="preserve">ŽoP; </w:t>
      </w:r>
    </w:p>
    <w:p w14:paraId="37E6D9C9" w14:textId="77777777" w:rsidR="00B650E5" w:rsidRDefault="00B650E5">
      <w:pPr>
        <w:pStyle w:val="Odsekzoznamu"/>
        <w:numPr>
          <w:ilvl w:val="3"/>
          <w:numId w:val="234"/>
        </w:numPr>
        <w:spacing w:before="120" w:after="120"/>
        <w:ind w:left="851" w:hanging="425"/>
        <w:contextualSpacing w:val="0"/>
        <w:jc w:val="both"/>
      </w:pPr>
      <w:bookmarkStart w:id="320" w:name="kapitola_33621_ods_4b_až_d_z"/>
      <w:bookmarkEnd w:id="319"/>
      <w:r>
        <w:t>dodanie predmetu plnenia (tovarov, služieb, stavebných prác) pri využití preddavkových platieb</w:t>
      </w:r>
      <w:r>
        <w:rPr>
          <w:rStyle w:val="Odkaznapoznmkupodiarou"/>
        </w:rPr>
        <w:footnoteReference w:id="103"/>
      </w:r>
      <w:r>
        <w:t>;</w:t>
      </w:r>
    </w:p>
    <w:p w14:paraId="2E3DD4E7" w14:textId="77777777" w:rsidR="00B650E5" w:rsidRDefault="00B650E5">
      <w:pPr>
        <w:pStyle w:val="Odsekzoznamu"/>
        <w:numPr>
          <w:ilvl w:val="3"/>
          <w:numId w:val="234"/>
        </w:numPr>
        <w:spacing w:before="120" w:after="120"/>
        <w:ind w:left="851" w:hanging="425"/>
        <w:contextualSpacing w:val="0"/>
        <w:jc w:val="both"/>
      </w:pPr>
      <w:r>
        <w:t>skutočné dodanie výkonov, tovarov, poskytnutie služieb a vykonanie prác;</w:t>
      </w:r>
    </w:p>
    <w:p w14:paraId="151D7671" w14:textId="77777777" w:rsidR="00B650E5" w:rsidRDefault="00B650E5">
      <w:pPr>
        <w:pStyle w:val="Odsekzoznamu"/>
        <w:numPr>
          <w:ilvl w:val="3"/>
          <w:numId w:val="234"/>
        </w:numPr>
        <w:spacing w:before="120" w:after="120"/>
        <w:ind w:left="851" w:hanging="425"/>
        <w:contextualSpacing w:val="0"/>
        <w:jc w:val="both"/>
      </w:pPr>
      <w:r>
        <w:t>vedenie účtovníctva o skutočnostiach týkajúcich sa projektu;</w:t>
      </w:r>
    </w:p>
    <w:p w14:paraId="26557C55" w14:textId="77777777" w:rsidR="00B650E5" w:rsidRDefault="00B650E5">
      <w:pPr>
        <w:pStyle w:val="Odsekzoznamu"/>
        <w:numPr>
          <w:ilvl w:val="3"/>
          <w:numId w:val="234"/>
        </w:numPr>
        <w:spacing w:before="120" w:after="120"/>
        <w:ind w:left="851" w:hanging="425"/>
        <w:contextualSpacing w:val="0"/>
        <w:jc w:val="both"/>
      </w:pPr>
      <w:r>
        <w:t>archivácia dokumentov a podkladov súvisiacich s projektom;</w:t>
      </w:r>
    </w:p>
    <w:bookmarkEnd w:id="320"/>
    <w:p w14:paraId="388F93F5" w14:textId="77777777" w:rsidR="00B650E5" w:rsidRDefault="00B650E5">
      <w:pPr>
        <w:pStyle w:val="Odsekzoznamu"/>
        <w:numPr>
          <w:ilvl w:val="3"/>
          <w:numId w:val="234"/>
        </w:numPr>
        <w:spacing w:before="120" w:after="120"/>
        <w:ind w:left="851" w:hanging="425"/>
        <w:contextualSpacing w:val="0"/>
        <w:jc w:val="both"/>
      </w:pPr>
      <w:r>
        <w:t>cestovné náhrady;</w:t>
      </w:r>
    </w:p>
    <w:p w14:paraId="772BF7FD" w14:textId="77777777" w:rsidR="00B650E5" w:rsidRDefault="00B650E5">
      <w:pPr>
        <w:pStyle w:val="Odsekzoznamu"/>
        <w:numPr>
          <w:ilvl w:val="3"/>
          <w:numId w:val="234"/>
        </w:numPr>
        <w:spacing w:before="120" w:after="120"/>
        <w:ind w:left="851" w:hanging="425"/>
        <w:contextualSpacing w:val="0"/>
        <w:jc w:val="both"/>
      </w:pPr>
      <w:r>
        <w:t>dokladovanie výdavkov;</w:t>
      </w:r>
    </w:p>
    <w:p w14:paraId="6CD5AAE1" w14:textId="77777777" w:rsidR="00B650E5" w:rsidRDefault="00B650E5">
      <w:pPr>
        <w:pStyle w:val="Odsekzoznamu"/>
        <w:numPr>
          <w:ilvl w:val="3"/>
          <w:numId w:val="234"/>
        </w:numPr>
        <w:spacing w:before="120" w:after="120"/>
        <w:ind w:left="851" w:hanging="425"/>
        <w:contextualSpacing w:val="0"/>
        <w:jc w:val="both"/>
      </w:pPr>
      <w:r>
        <w:t>ostatné výdavky – externé služby (outsourcing);</w:t>
      </w:r>
    </w:p>
    <w:p w14:paraId="5C09713F" w14:textId="77777777" w:rsidR="00B650E5" w:rsidRDefault="00B650E5">
      <w:pPr>
        <w:pStyle w:val="Odsekzoznamu"/>
        <w:numPr>
          <w:ilvl w:val="3"/>
          <w:numId w:val="234"/>
        </w:numPr>
        <w:spacing w:before="120" w:after="120"/>
        <w:ind w:left="851" w:hanging="425"/>
        <w:contextualSpacing w:val="0"/>
        <w:jc w:val="both"/>
      </w:pPr>
      <w:r>
        <w:t>finančné výdavky a poplatky;</w:t>
      </w:r>
    </w:p>
    <w:p w14:paraId="714A734C" w14:textId="77777777" w:rsidR="00B650E5" w:rsidRDefault="00B650E5">
      <w:pPr>
        <w:pStyle w:val="Odsekzoznamu"/>
        <w:numPr>
          <w:ilvl w:val="3"/>
          <w:numId w:val="234"/>
        </w:numPr>
        <w:spacing w:before="120" w:after="120"/>
        <w:ind w:left="851" w:hanging="425"/>
        <w:contextualSpacing w:val="0"/>
        <w:jc w:val="both"/>
      </w:pPr>
      <w:r>
        <w:t>generovanie príjmov z projektu;</w:t>
      </w:r>
    </w:p>
    <w:p w14:paraId="50361CA6" w14:textId="77777777" w:rsidR="00B650E5" w:rsidRDefault="00B650E5">
      <w:pPr>
        <w:pStyle w:val="Odsekzoznamu"/>
        <w:numPr>
          <w:ilvl w:val="3"/>
          <w:numId w:val="234"/>
        </w:numPr>
        <w:spacing w:before="120" w:after="120"/>
        <w:ind w:left="851" w:hanging="425"/>
        <w:contextualSpacing w:val="0"/>
        <w:jc w:val="both"/>
      </w:pPr>
      <w:r>
        <w:t>hospodárnosť, efektívnosť, účelnosť a účinnosť výdavkov;</w:t>
      </w:r>
    </w:p>
    <w:p w14:paraId="46F5F7D4" w14:textId="77777777" w:rsidR="00B650E5" w:rsidRDefault="00B650E5">
      <w:pPr>
        <w:pStyle w:val="Odsekzoznamu"/>
        <w:numPr>
          <w:ilvl w:val="3"/>
          <w:numId w:val="234"/>
        </w:numPr>
        <w:spacing w:before="120" w:after="120"/>
        <w:ind w:left="851" w:hanging="425"/>
        <w:contextualSpacing w:val="0"/>
        <w:jc w:val="both"/>
      </w:pPr>
      <w:r>
        <w:t>krížové financovanie;</w:t>
      </w:r>
    </w:p>
    <w:p w14:paraId="65314C97" w14:textId="77777777" w:rsidR="00B650E5" w:rsidRDefault="00B650E5">
      <w:pPr>
        <w:pStyle w:val="Odsekzoznamu"/>
        <w:numPr>
          <w:ilvl w:val="3"/>
          <w:numId w:val="234"/>
        </w:numPr>
        <w:spacing w:before="120" w:after="120"/>
        <w:ind w:left="851" w:hanging="425"/>
        <w:contextualSpacing w:val="0"/>
        <w:jc w:val="both"/>
      </w:pPr>
      <w:r>
        <w:lastRenderedPageBreak/>
        <w:t>nákup použitého materiálu;</w:t>
      </w:r>
    </w:p>
    <w:p w14:paraId="2F542F1F" w14:textId="77777777" w:rsidR="00B650E5" w:rsidRDefault="00B650E5">
      <w:pPr>
        <w:pStyle w:val="Odsekzoznamu"/>
        <w:numPr>
          <w:ilvl w:val="3"/>
          <w:numId w:val="234"/>
        </w:numPr>
        <w:spacing w:before="120" w:after="120"/>
        <w:ind w:left="851" w:hanging="425"/>
        <w:contextualSpacing w:val="0"/>
        <w:jc w:val="both"/>
      </w:pPr>
      <w:r>
        <w:t>nákup pozemkov;</w:t>
      </w:r>
    </w:p>
    <w:p w14:paraId="4BA0922D" w14:textId="77777777" w:rsidR="00B650E5" w:rsidRDefault="00B650E5">
      <w:pPr>
        <w:pStyle w:val="Odsekzoznamu"/>
        <w:numPr>
          <w:ilvl w:val="3"/>
          <w:numId w:val="234"/>
        </w:numPr>
        <w:spacing w:before="120" w:after="120"/>
        <w:ind w:left="851" w:hanging="425"/>
        <w:contextualSpacing w:val="0"/>
        <w:jc w:val="both"/>
      </w:pPr>
      <w:r>
        <w:t>nákup stavieb;</w:t>
      </w:r>
    </w:p>
    <w:p w14:paraId="6A14A0FC" w14:textId="77777777" w:rsidR="00B650E5" w:rsidRDefault="00B650E5">
      <w:pPr>
        <w:pStyle w:val="Odsekzoznamu"/>
        <w:numPr>
          <w:ilvl w:val="3"/>
          <w:numId w:val="234"/>
        </w:numPr>
        <w:spacing w:before="120" w:after="120"/>
        <w:ind w:left="851" w:hanging="425"/>
        <w:contextualSpacing w:val="0"/>
        <w:jc w:val="both"/>
      </w:pPr>
      <w:r>
        <w:t>napĺňanie merateľných ukazovateľov projektu;</w:t>
      </w:r>
    </w:p>
    <w:p w14:paraId="3470DF2E" w14:textId="77777777" w:rsidR="00B650E5" w:rsidRDefault="00B650E5">
      <w:pPr>
        <w:pStyle w:val="Odsekzoznamu"/>
        <w:numPr>
          <w:ilvl w:val="3"/>
          <w:numId w:val="234"/>
        </w:numPr>
        <w:spacing w:before="120" w:after="120"/>
        <w:ind w:left="851" w:hanging="425"/>
        <w:contextualSpacing w:val="0"/>
        <w:jc w:val="both"/>
      </w:pPr>
      <w:r>
        <w:t xml:space="preserve">neprekrývanie sa výdavkov; </w:t>
      </w:r>
    </w:p>
    <w:p w14:paraId="692EB64F" w14:textId="77777777" w:rsidR="00B650E5" w:rsidRDefault="00B650E5">
      <w:pPr>
        <w:pStyle w:val="Odsekzoznamu"/>
        <w:numPr>
          <w:ilvl w:val="3"/>
          <w:numId w:val="234"/>
        </w:numPr>
        <w:spacing w:before="120" w:after="120"/>
        <w:ind w:left="851" w:hanging="425"/>
        <w:contextualSpacing w:val="0"/>
        <w:jc w:val="both"/>
      </w:pPr>
      <w:r>
        <w:t xml:space="preserve">vykonanie  stavebných prác; </w:t>
      </w:r>
    </w:p>
    <w:p w14:paraId="4014E34B" w14:textId="77777777" w:rsidR="00B650E5" w:rsidRDefault="00B650E5">
      <w:pPr>
        <w:pStyle w:val="Odsekzoznamu"/>
        <w:numPr>
          <w:ilvl w:val="3"/>
          <w:numId w:val="234"/>
        </w:numPr>
        <w:spacing w:before="120" w:after="120"/>
        <w:ind w:left="851" w:hanging="425"/>
        <w:contextualSpacing w:val="0"/>
        <w:jc w:val="both"/>
      </w:pPr>
      <w:r>
        <w:t>odpisy, režijné náklady a vecné príspevky;</w:t>
      </w:r>
    </w:p>
    <w:p w14:paraId="7C6091FA" w14:textId="77777777" w:rsidR="00B650E5" w:rsidRDefault="00B650E5">
      <w:pPr>
        <w:pStyle w:val="Odsekzoznamu"/>
        <w:numPr>
          <w:ilvl w:val="3"/>
          <w:numId w:val="234"/>
        </w:numPr>
        <w:spacing w:before="120" w:after="120"/>
        <w:ind w:left="851" w:hanging="425"/>
        <w:contextualSpacing w:val="0"/>
        <w:jc w:val="both"/>
      </w:pPr>
      <w:r>
        <w:t xml:space="preserve">opatrenia prijaté na základe vykonaných kontrol; </w:t>
      </w:r>
    </w:p>
    <w:p w14:paraId="1FCD2CF1" w14:textId="77777777" w:rsidR="00B650E5" w:rsidRDefault="00B650E5">
      <w:pPr>
        <w:pStyle w:val="Odsekzoznamu"/>
        <w:numPr>
          <w:ilvl w:val="3"/>
          <w:numId w:val="234"/>
        </w:numPr>
        <w:spacing w:before="120" w:after="120"/>
        <w:ind w:left="851" w:hanging="425"/>
        <w:contextualSpacing w:val="0"/>
        <w:jc w:val="both"/>
      </w:pPr>
      <w:r>
        <w:t>osobné výdavky;</w:t>
      </w:r>
    </w:p>
    <w:p w14:paraId="1D41DC9D" w14:textId="77777777" w:rsidR="00B650E5" w:rsidRDefault="00B650E5">
      <w:pPr>
        <w:pStyle w:val="Odsekzoznamu"/>
        <w:numPr>
          <w:ilvl w:val="3"/>
          <w:numId w:val="234"/>
        </w:numPr>
        <w:spacing w:before="120" w:after="120"/>
        <w:ind w:left="851" w:hanging="425"/>
        <w:contextualSpacing w:val="0"/>
        <w:jc w:val="both"/>
      </w:pPr>
      <w:r>
        <w:t>štátna pomoc a pomoc de minimis;</w:t>
      </w:r>
    </w:p>
    <w:p w14:paraId="02B93C52" w14:textId="77777777" w:rsidR="00B650E5" w:rsidRDefault="00B650E5">
      <w:pPr>
        <w:pStyle w:val="Odsekzoznamu"/>
        <w:numPr>
          <w:ilvl w:val="3"/>
          <w:numId w:val="234"/>
        </w:numPr>
        <w:spacing w:before="120" w:after="120"/>
        <w:ind w:left="851" w:hanging="425"/>
        <w:contextualSpacing w:val="0"/>
        <w:jc w:val="both"/>
      </w:pPr>
      <w:r>
        <w:t>vecná, časová a územná oprávnenosť výdavkov;</w:t>
      </w:r>
    </w:p>
    <w:p w14:paraId="174BBBA1" w14:textId="77777777" w:rsidR="00B650E5" w:rsidRDefault="00B650E5">
      <w:pPr>
        <w:pStyle w:val="Odsekzoznamu"/>
        <w:numPr>
          <w:ilvl w:val="3"/>
          <w:numId w:val="234"/>
        </w:numPr>
        <w:spacing w:before="120" w:after="120"/>
        <w:ind w:left="851" w:hanging="425"/>
        <w:contextualSpacing w:val="0"/>
        <w:jc w:val="both"/>
      </w:pPr>
      <w:r>
        <w:t>finančný prenájom a operatívny nájom;</w:t>
      </w:r>
    </w:p>
    <w:p w14:paraId="4F69DEEA" w14:textId="77777777" w:rsidR="00B650E5" w:rsidRDefault="00B650E5">
      <w:pPr>
        <w:pStyle w:val="Odsekzoznamu"/>
        <w:numPr>
          <w:ilvl w:val="3"/>
          <w:numId w:val="234"/>
        </w:numPr>
        <w:spacing w:before="120" w:after="120"/>
        <w:ind w:left="851" w:hanging="425"/>
        <w:contextualSpacing w:val="0"/>
        <w:jc w:val="both"/>
      </w:pPr>
      <w:r>
        <w:t>fyzická kontrola prebiehajúcich aktivít;</w:t>
      </w:r>
    </w:p>
    <w:p w14:paraId="2B99962B" w14:textId="77777777" w:rsidR="00B650E5" w:rsidRDefault="00B650E5">
      <w:pPr>
        <w:pStyle w:val="Odsekzoznamu"/>
        <w:numPr>
          <w:ilvl w:val="3"/>
          <w:numId w:val="234"/>
        </w:numPr>
        <w:spacing w:before="120" w:after="120"/>
        <w:ind w:left="851" w:hanging="425"/>
        <w:contextualSpacing w:val="0"/>
        <w:jc w:val="both"/>
      </w:pPr>
      <w:r>
        <w:t xml:space="preserve">nakladanie s majetkom nadobudnutým z NFP; </w:t>
      </w:r>
    </w:p>
    <w:p w14:paraId="3E22BD52" w14:textId="77777777" w:rsidR="00B650E5" w:rsidRDefault="00B650E5">
      <w:pPr>
        <w:pStyle w:val="Odsekzoznamu"/>
        <w:numPr>
          <w:ilvl w:val="3"/>
          <w:numId w:val="234"/>
        </w:numPr>
        <w:spacing w:before="120" w:after="120"/>
        <w:ind w:left="851" w:hanging="425"/>
        <w:contextualSpacing w:val="0"/>
        <w:jc w:val="both"/>
      </w:pPr>
      <w:r>
        <w:t>publicita projektu;</w:t>
      </w:r>
    </w:p>
    <w:p w14:paraId="55C5DA7D" w14:textId="77777777" w:rsidR="00B650E5" w:rsidRDefault="00B650E5">
      <w:pPr>
        <w:pStyle w:val="Odsekzoznamu"/>
        <w:numPr>
          <w:ilvl w:val="3"/>
          <w:numId w:val="234"/>
        </w:numPr>
        <w:spacing w:before="120" w:after="120"/>
        <w:ind w:left="851" w:hanging="425"/>
        <w:contextualSpacing w:val="0"/>
        <w:jc w:val="both"/>
      </w:pPr>
      <w:r>
        <w:t>finančná kontrola VO a obstarávania;</w:t>
      </w:r>
    </w:p>
    <w:p w14:paraId="225BD63D" w14:textId="77777777" w:rsidR="00B650E5" w:rsidRDefault="00B650E5">
      <w:pPr>
        <w:pStyle w:val="Odsekzoznamu"/>
        <w:numPr>
          <w:ilvl w:val="3"/>
          <w:numId w:val="234"/>
        </w:numPr>
        <w:spacing w:before="120" w:after="120"/>
        <w:ind w:left="851" w:hanging="425"/>
        <w:contextualSpacing w:val="0"/>
        <w:jc w:val="both"/>
      </w:pPr>
      <w:r>
        <w:t>kontrola dokumentácie VO v rámci finančnej kontroly na mieste;</w:t>
      </w:r>
    </w:p>
    <w:p w14:paraId="38369A0F" w14:textId="77777777" w:rsidR="00B650E5" w:rsidRDefault="00B650E5">
      <w:pPr>
        <w:pStyle w:val="Odsekzoznamu"/>
        <w:numPr>
          <w:ilvl w:val="3"/>
          <w:numId w:val="234"/>
        </w:numPr>
        <w:spacing w:before="120" w:after="120"/>
        <w:ind w:left="851" w:hanging="425"/>
        <w:contextualSpacing w:val="0"/>
        <w:jc w:val="both"/>
      </w:pPr>
      <w:r>
        <w:t>cieľová skupina a s ňou súvisiace dáta;</w:t>
      </w:r>
    </w:p>
    <w:p w14:paraId="21C0F842" w14:textId="77777777" w:rsidR="00B650E5" w:rsidRDefault="00B650E5">
      <w:pPr>
        <w:pStyle w:val="Odsekzoznamu"/>
        <w:numPr>
          <w:ilvl w:val="3"/>
          <w:numId w:val="234"/>
        </w:numPr>
        <w:spacing w:before="120" w:after="120"/>
        <w:ind w:left="851" w:hanging="425"/>
        <w:contextualSpacing w:val="0"/>
        <w:jc w:val="both"/>
      </w:pPr>
      <w:r>
        <w:t>konflikt záujmov;</w:t>
      </w:r>
    </w:p>
    <w:p w14:paraId="0300C868" w14:textId="77777777" w:rsidR="00B650E5" w:rsidRDefault="00B650E5">
      <w:pPr>
        <w:pStyle w:val="Odsekzoznamu"/>
        <w:numPr>
          <w:ilvl w:val="3"/>
          <w:numId w:val="234"/>
        </w:numPr>
        <w:spacing w:before="120" w:after="120"/>
        <w:ind w:left="851" w:hanging="425"/>
        <w:contextualSpacing w:val="0"/>
        <w:jc w:val="both"/>
      </w:pPr>
      <w:r>
        <w:t>iný predmet kontroly definovaný RO.</w:t>
      </w:r>
    </w:p>
    <w:p w14:paraId="5014FBBF" w14:textId="77777777" w:rsidR="00B650E5" w:rsidRDefault="00B650E5">
      <w:pPr>
        <w:pStyle w:val="SRK5"/>
      </w:pPr>
      <w:bookmarkStart w:id="321" w:name="_Toc453234026"/>
      <w:bookmarkStart w:id="322" w:name="_Toc501630079"/>
      <w:bookmarkStart w:id="323" w:name="kapitola_33622"/>
      <w:r>
        <w:t>3.3.6.2.2 Kontrola žiadosti o platbu</w:t>
      </w:r>
      <w:bookmarkEnd w:id="321"/>
      <w:bookmarkEnd w:id="322"/>
      <w:r>
        <w:t xml:space="preserve"> </w:t>
      </w:r>
    </w:p>
    <w:bookmarkEnd w:id="323"/>
    <w:p w14:paraId="500AB08B" w14:textId="77777777" w:rsidR="00B650E5" w:rsidRDefault="00B650E5" w:rsidP="001B709E">
      <w:pPr>
        <w:pStyle w:val="Odsekzoznamu"/>
        <w:numPr>
          <w:ilvl w:val="0"/>
          <w:numId w:val="33"/>
        </w:numPr>
        <w:spacing w:before="120" w:after="120"/>
        <w:ind w:left="426" w:hanging="426"/>
        <w:contextualSpacing w:val="0"/>
        <w:jc w:val="both"/>
      </w:pPr>
      <w:r>
        <w:t xml:space="preserve">NFP na realizáciu projektu, ktorý je predmetom schválenej ŽoNFP, sa prijímateľovi poskytuje na základe ŽoP. Formulár ŽoP definuje Ministerstvo financií SR v Systéme finančného riadenia. RO je povinný zabezpečiť, aby boli ŽoP prijímateľom vypracované a elektronicky odosielané prostredníctvom elektronického formulára v rámci verejnej časti ITMS 2014+ a následne v originálnom vyhotovení v písomnej forme </w:t>
      </w:r>
      <w:r w:rsidR="00C864A0" w:rsidRPr="00C864A0">
        <w:t>(tzn. v listinnej podobe, alebo elektronicky prostredníctvom Ústredného portálu verejnej správy, podpísanú kvalifikovaným elektronickým podpisom, kvalifikovaným elektronickým podpisom s mandátnym certifikátom alebo kvalifikovanou elektronickou pečaťou)</w:t>
      </w:r>
      <w:r w:rsidR="00C864A0">
        <w:t xml:space="preserve"> </w:t>
      </w:r>
      <w:r>
        <w:t xml:space="preserve">predložené RO v stanovených termínoch spolu s povinnými prílohami. Momentom začatia kontroly ŽoP je doručenie písomnej formy ŽoP.  </w:t>
      </w:r>
    </w:p>
    <w:p w14:paraId="4523B364" w14:textId="77777777" w:rsidR="00B650E5" w:rsidRDefault="00B650E5">
      <w:pPr>
        <w:pStyle w:val="Odsekzoznamu"/>
        <w:numPr>
          <w:ilvl w:val="0"/>
          <w:numId w:val="33"/>
        </w:numPr>
        <w:spacing w:before="120" w:after="120"/>
        <w:ind w:left="426" w:hanging="426"/>
        <w:contextualSpacing w:val="0"/>
        <w:jc w:val="both"/>
      </w:pPr>
      <w:r>
        <w:t xml:space="preserve">Všetky prijaté ŽoP prijímateľa musia byť podrobené administratívnej finančnej kontrole RO v plnom rozsahu. Pri výkone kontroly ŽoP vypĺňa RO kontrolný zoznam, ktorého minimálne náležitosti sú stanovené vo vzore vydanom CKO pričom RO je oprávnený rozšíriť si okruh kontrolných otázok v nadväznosti na špecifiká a potreby OP. V rámci kontroly ŽoP vykonanej formou administratívnej finančnej kontroly je RO povinný vykonať taktiež kontrolu relevantnej podpornej dokumentácie, ktorá tvorí prílohu ŽoP. Minimálny rozsah podpornej dokumentácie pre najčastejšie sa vyskytujúce skupiny výdavkov </w:t>
      </w:r>
      <w:r w:rsidR="00043F2B" w:rsidRPr="001B709E">
        <w:rPr>
          <w:strike/>
        </w:rPr>
        <w:t>budú</w:t>
      </w:r>
      <w:r w:rsidR="00043F2B" w:rsidRPr="007C2CE4">
        <w:t xml:space="preserve">sú </w:t>
      </w:r>
      <w:r w:rsidRPr="000F7D38">
        <w:t>uvedené v</w:t>
      </w:r>
      <w:r>
        <w:t> metodickom pokyne</w:t>
      </w:r>
      <w:r>
        <w:rPr>
          <w:rStyle w:val="Odkaznapoznmkupodiarou"/>
        </w:rPr>
        <w:footnoteReference w:id="104"/>
      </w:r>
      <w:r>
        <w:t xml:space="preserve">. </w:t>
      </w:r>
    </w:p>
    <w:p w14:paraId="05A5D694" w14:textId="77777777" w:rsidR="00B650E5" w:rsidRDefault="00B650E5">
      <w:pPr>
        <w:pStyle w:val="Odsekzoznamu"/>
        <w:numPr>
          <w:ilvl w:val="0"/>
          <w:numId w:val="33"/>
        </w:numPr>
        <w:spacing w:before="120" w:after="120"/>
        <w:ind w:left="426" w:hanging="426"/>
        <w:contextualSpacing w:val="0"/>
        <w:jc w:val="both"/>
      </w:pPr>
      <w:r>
        <w:lastRenderedPageBreak/>
        <w:t xml:space="preserve">Na to, aby bola prijímateľovi schválená ŽoP, musí byť kontrola celej ŽoP vykonaná vždy formou administratívnej finančnej kontroly, v prípade potreby môže byť doplnená aj formou finančnej kontroly na mieste, pričom platí pravidlo, že kontrola ŽoP formou finančnej kontroly na mieste nemôže nahradiť kontrolu ŽoP formou administratívnej finančnej kontroly.  </w:t>
      </w:r>
    </w:p>
    <w:p w14:paraId="462597AC" w14:textId="77777777" w:rsidR="00B650E5" w:rsidRDefault="00B650E5">
      <w:pPr>
        <w:pStyle w:val="Odsekzoznamu"/>
        <w:numPr>
          <w:ilvl w:val="0"/>
          <w:numId w:val="33"/>
        </w:numPr>
        <w:spacing w:before="120" w:after="120"/>
        <w:ind w:left="426" w:hanging="426"/>
        <w:contextualSpacing w:val="0"/>
        <w:jc w:val="both"/>
      </w:pPr>
      <w:r>
        <w:t xml:space="preserve">RO je oprávnený rozhodnúť, že počas výkonu administratívnej finančnej kontroly ŽoP  je potrebné overiť deklarované výdavky a ostatné skutočnosti uvedené v ŽoP aj formou finančnej kontroly na mieste. Ak RO vykoná počas kontroly ŽoP vykonanej formou administratívnej finančnej kontroly finančnú kontrolu na mieste, </w:t>
      </w:r>
      <w:r w:rsidR="008B7D1F">
        <w:t>ide</w:t>
      </w:r>
      <w:r>
        <w:t xml:space="preserve"> o prerušenie výkonu kontroly ŽoP formou administratívnej finančnej kontroly len v prípade, ak je dôvodom na prerušenie výkonu minimálne jedna zo skutočností uvedených v článku 132 ods. 2 všeobecného nariadenia (napr. v prípade, ak ŽoP nie je správna, ak povinná podporná dokumentácia nie je súčasťou ŽoP, ak podporná dokumentácia, ktorá je súčasťou ŽoP nie je úplná, alebo ak je nesprávne vyplnená). V tomto prípade je RO povinný písomne oznámiť prijímateľovi prerušenie plynutia lehoty na spracovanie ŽoP a dôvody tohto prerušenia (napr. prostredníctvom výzvy na doplnenie podpornej dokumentácie). Ak je dôvodom na výkon finančnej kontroly na mieste skutočnosť, ktorú nie je možné začleniť pod článok 132 ods. 2 všeobecného nariadenia, lehota určená na výkon kontroly ŽoP formou administratívnej finančnej kontroly naďalej plynie.  </w:t>
      </w:r>
    </w:p>
    <w:p w14:paraId="2B388C42" w14:textId="77777777" w:rsidR="00B650E5" w:rsidRDefault="00B650E5">
      <w:pPr>
        <w:pStyle w:val="Odsekzoznamu"/>
        <w:numPr>
          <w:ilvl w:val="0"/>
          <w:numId w:val="33"/>
        </w:numPr>
        <w:spacing w:before="120" w:after="120"/>
        <w:ind w:left="426" w:hanging="426"/>
        <w:contextualSpacing w:val="0"/>
        <w:jc w:val="both"/>
        <w:rPr>
          <w:caps/>
        </w:rPr>
      </w:pPr>
      <w:r>
        <w:t xml:space="preserve">Cieľom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 </w:t>
      </w:r>
    </w:p>
    <w:p w14:paraId="33699399" w14:textId="77777777" w:rsidR="00B650E5" w:rsidRDefault="00B650E5" w:rsidP="001B709E">
      <w:pPr>
        <w:pStyle w:val="Odsekzoznamu"/>
        <w:numPr>
          <w:ilvl w:val="0"/>
          <w:numId w:val="33"/>
        </w:numPr>
        <w:spacing w:before="120" w:after="120"/>
        <w:ind w:left="426" w:hanging="426"/>
        <w:contextualSpacing w:val="0"/>
        <w:jc w:val="both"/>
      </w:pPr>
      <w:r>
        <w:t xml:space="preserve">Po doručení ŽoP vykoná RO kontrolu správnosti nárokovaných finančných prostriedkov/deklarovaných výdavkov a ostatných skutočností uvedených v ŽoP v lehote stanovenej Systémom finančného riadenia. RO je povinný vykonať  kontrolu správnosti nárokovaných finančných prostriedkov/deklarovaných výdavkov a ostatných skutočností uvedených v ŽoP vo vzťahu ku všetkým nárokovaným finančným prostriedkom/deklarovaným výdavkom a ostatných skutočností uvedených v ŽoP prijímateľa pred ich uhradením/zúčtovaním. </w:t>
      </w:r>
      <w:r w:rsidR="002575CE" w:rsidRPr="002575CE">
        <w:t xml:space="preserve">Ak sa v predloženej ŽoP nachádzajú výdavky, ktoré podliehajú </w:t>
      </w:r>
      <w:r w:rsidR="002575CE" w:rsidRPr="00935F66">
        <w:t>kontrole VO</w:t>
      </w:r>
      <w:r w:rsidR="008C2015" w:rsidRPr="00935F66">
        <w:t>,</w:t>
      </w:r>
      <w:r w:rsidR="002575CE" w:rsidRPr="00935F66">
        <w:t xml:space="preserve"> upraven</w:t>
      </w:r>
      <w:r w:rsidR="008C2015" w:rsidRPr="00935F66">
        <w:t>ej</w:t>
      </w:r>
      <w:r w:rsidR="002575CE" w:rsidRPr="00935F66">
        <w:t xml:space="preserve"> v</w:t>
      </w:r>
      <w:r w:rsidR="002575CE" w:rsidRPr="002575CE">
        <w:t xml:space="preserve"> časti 3.3.7, v takýchto prípadoch RO postupuje podľa časti </w:t>
      </w:r>
      <w:hyperlink w:anchor="kapitola_3371_ods_8" w:history="1">
        <w:r w:rsidR="002575CE" w:rsidRPr="001B709E">
          <w:rPr>
            <w:rStyle w:val="Hypertextovprepojenie"/>
          </w:rPr>
          <w:t>3.3.7.1 ods. 8</w:t>
        </w:r>
      </w:hyperlink>
      <w:r w:rsidR="002575CE" w:rsidRPr="002575CE">
        <w:t>.</w:t>
      </w:r>
    </w:p>
    <w:p w14:paraId="74502354" w14:textId="77777777" w:rsidR="00B650E5" w:rsidRDefault="00B650E5">
      <w:pPr>
        <w:pStyle w:val="Odsekzoznamu"/>
        <w:numPr>
          <w:ilvl w:val="0"/>
          <w:numId w:val="33"/>
        </w:numPr>
        <w:spacing w:before="120" w:after="120"/>
        <w:ind w:left="426" w:hanging="426"/>
        <w:contextualSpacing w:val="0"/>
        <w:jc w:val="both"/>
      </w:pPr>
      <w:r>
        <w:t>RO v rámci kontroly správnosti predložených nárokovaných finančných prostriedkov/deklarovaných výdavkov a ostatných skutočností uvedených v ŽoP overí, či vo 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w:t>
      </w:r>
      <w:r w:rsidR="007324D5">
        <w:t>,</w:t>
      </w:r>
      <w:r>
        <w:t xml:space="preserve">  a to najmä z hľadiska:</w:t>
      </w:r>
    </w:p>
    <w:p w14:paraId="41684A0C" w14:textId="77777777" w:rsidR="00B650E5" w:rsidRDefault="00B650E5">
      <w:pPr>
        <w:pStyle w:val="Odsekzoznamu"/>
        <w:numPr>
          <w:ilvl w:val="1"/>
          <w:numId w:val="33"/>
        </w:numPr>
        <w:spacing w:before="120" w:after="120"/>
        <w:ind w:left="851" w:hanging="425"/>
        <w:contextualSpacing w:val="0"/>
        <w:jc w:val="both"/>
      </w:pPr>
      <w:r>
        <w:t xml:space="preserve">jednoznačnej </w:t>
      </w:r>
      <w:r>
        <w:rPr>
          <w:u w:val="single"/>
        </w:rPr>
        <w:t>identifikácie</w:t>
      </w:r>
      <w:r>
        <w:t xml:space="preserve"> prijímateľa, údajov a ostatných skutočností uvedených k deklarovaným výdavkom,</w:t>
      </w:r>
    </w:p>
    <w:p w14:paraId="58ED8400" w14:textId="77777777" w:rsidR="00B650E5" w:rsidRDefault="00B650E5">
      <w:pPr>
        <w:pStyle w:val="Odsekzoznamu"/>
        <w:numPr>
          <w:ilvl w:val="1"/>
          <w:numId w:val="33"/>
        </w:numPr>
        <w:spacing w:before="120" w:after="120"/>
        <w:ind w:left="851" w:hanging="425"/>
        <w:contextualSpacing w:val="0"/>
        <w:jc w:val="both"/>
      </w:pPr>
      <w:r>
        <w:t xml:space="preserve">oprávnenosti výdavkov vo väzbe na príslušnú </w:t>
      </w:r>
      <w:r>
        <w:rPr>
          <w:u w:val="single"/>
        </w:rPr>
        <w:t>aktivitu</w:t>
      </w:r>
      <w:r>
        <w:t xml:space="preserve"> projektu,</w:t>
      </w:r>
    </w:p>
    <w:p w14:paraId="2AEDE571" w14:textId="77777777" w:rsidR="00B650E5" w:rsidRDefault="00B650E5">
      <w:pPr>
        <w:pStyle w:val="Odsekzoznamu"/>
        <w:numPr>
          <w:ilvl w:val="1"/>
          <w:numId w:val="33"/>
        </w:numPr>
        <w:spacing w:before="120" w:after="120"/>
        <w:ind w:left="851" w:hanging="425"/>
        <w:contextualSpacing w:val="0"/>
        <w:jc w:val="both"/>
      </w:pPr>
      <w:r>
        <w:t xml:space="preserve">oprávnenosti výdavkov vo vzťahu k </w:t>
      </w:r>
      <w:r>
        <w:rPr>
          <w:u w:val="single"/>
        </w:rPr>
        <w:t>miestu realizácie</w:t>
      </w:r>
      <w:r>
        <w:t xml:space="preserve"> projektu,</w:t>
      </w:r>
    </w:p>
    <w:p w14:paraId="0387FA0B" w14:textId="77777777" w:rsidR="00B650E5" w:rsidRDefault="00B650E5">
      <w:pPr>
        <w:pStyle w:val="Odsekzoznamu"/>
        <w:numPr>
          <w:ilvl w:val="1"/>
          <w:numId w:val="33"/>
        </w:numPr>
        <w:spacing w:before="120" w:after="120"/>
        <w:ind w:left="851" w:hanging="425"/>
        <w:contextualSpacing w:val="0"/>
        <w:jc w:val="both"/>
      </w:pPr>
      <w:r>
        <w:t xml:space="preserve">kontroly </w:t>
      </w:r>
      <w:r>
        <w:rPr>
          <w:u w:val="single"/>
        </w:rPr>
        <w:t>hospodárnosti, efektívnosti, účinnosti a účelnosti</w:t>
      </w:r>
      <w:r>
        <w:t xml:space="preserve"> výdavkov, </w:t>
      </w:r>
    </w:p>
    <w:p w14:paraId="1290313F" w14:textId="77777777" w:rsidR="00B650E5" w:rsidRDefault="00B650E5">
      <w:pPr>
        <w:pStyle w:val="Odsekzoznamu"/>
        <w:numPr>
          <w:ilvl w:val="1"/>
          <w:numId w:val="33"/>
        </w:numPr>
        <w:spacing w:before="120" w:after="120"/>
        <w:ind w:left="851" w:hanging="425"/>
        <w:contextualSpacing w:val="0"/>
        <w:jc w:val="both"/>
      </w:pPr>
      <w:r>
        <w:rPr>
          <w:u w:val="single"/>
        </w:rPr>
        <w:t>časovej</w:t>
      </w:r>
      <w:r>
        <w:t xml:space="preserve"> oprávnenosti výdavkov, </w:t>
      </w:r>
    </w:p>
    <w:p w14:paraId="40BDE8AC" w14:textId="77777777" w:rsidR="00B650E5" w:rsidRDefault="00B650E5">
      <w:pPr>
        <w:pStyle w:val="Odsekzoznamu"/>
        <w:numPr>
          <w:ilvl w:val="1"/>
          <w:numId w:val="33"/>
        </w:numPr>
        <w:spacing w:before="120" w:after="120"/>
        <w:ind w:left="851" w:hanging="425"/>
        <w:contextualSpacing w:val="0"/>
        <w:jc w:val="both"/>
      </w:pPr>
      <w:r>
        <w:t xml:space="preserve">oprávnenosti výdavkov vo vzťahu k </w:t>
      </w:r>
      <w:r>
        <w:rPr>
          <w:u w:val="single"/>
        </w:rPr>
        <w:t>cieľovej skupine</w:t>
      </w:r>
      <w:r>
        <w:t xml:space="preserve">, </w:t>
      </w:r>
    </w:p>
    <w:p w14:paraId="5093DD75" w14:textId="77777777" w:rsidR="00B650E5" w:rsidRDefault="00B650E5">
      <w:pPr>
        <w:pStyle w:val="Odsekzoznamu"/>
        <w:numPr>
          <w:ilvl w:val="1"/>
          <w:numId w:val="33"/>
        </w:numPr>
        <w:spacing w:before="120" w:after="120"/>
        <w:ind w:left="851" w:hanging="425"/>
        <w:contextualSpacing w:val="0"/>
        <w:jc w:val="both"/>
      </w:pPr>
      <w:r>
        <w:t xml:space="preserve">realizácie </w:t>
      </w:r>
      <w:r>
        <w:rPr>
          <w:u w:val="single"/>
        </w:rPr>
        <w:t>VO alebo  obstarávania a</w:t>
      </w:r>
      <w:r>
        <w:t xml:space="preserve"> overenie oprávnenosti výdavkov z pohľadu záverov už </w:t>
      </w:r>
      <w:r w:rsidRPr="003425F6">
        <w:t xml:space="preserve">vykonanej </w:t>
      </w:r>
      <w:r w:rsidRPr="002576AF">
        <w:t>finančnej kontroly VO</w:t>
      </w:r>
      <w:r w:rsidRPr="00AB2DCC">
        <w:t xml:space="preserve"> alebo</w:t>
      </w:r>
      <w:r>
        <w:t xml:space="preserve"> obstarávania,  </w:t>
      </w:r>
    </w:p>
    <w:p w14:paraId="53A3BC93" w14:textId="77777777" w:rsidR="00B650E5" w:rsidRDefault="00B650E5">
      <w:pPr>
        <w:pStyle w:val="Odsekzoznamu"/>
        <w:numPr>
          <w:ilvl w:val="1"/>
          <w:numId w:val="33"/>
        </w:numPr>
        <w:spacing w:before="120" w:after="120"/>
        <w:ind w:left="851" w:hanging="425"/>
        <w:contextualSpacing w:val="0"/>
        <w:jc w:val="both"/>
      </w:pPr>
      <w:r>
        <w:rPr>
          <w:u w:val="single"/>
        </w:rPr>
        <w:lastRenderedPageBreak/>
        <w:t>preukázateľnej matematickej správnosti</w:t>
      </w:r>
      <w:r>
        <w:t xml:space="preserve"> výpočtu výdavkov, </w:t>
      </w:r>
    </w:p>
    <w:p w14:paraId="4B8642E5" w14:textId="77777777" w:rsidR="00B650E5" w:rsidRDefault="00B650E5">
      <w:pPr>
        <w:pStyle w:val="Odsekzoznamu"/>
        <w:numPr>
          <w:ilvl w:val="1"/>
          <w:numId w:val="33"/>
        </w:numPr>
        <w:spacing w:before="120" w:after="120"/>
        <w:ind w:left="851" w:hanging="425"/>
        <w:contextualSpacing w:val="0"/>
        <w:jc w:val="both"/>
      </w:pPr>
      <w:r>
        <w:rPr>
          <w:u w:val="single"/>
        </w:rPr>
        <w:t>finančnej správnosti</w:t>
      </w:r>
      <w:r>
        <w:t xml:space="preserve"> výdavkov vo vzťahu k rozpočtu projektu (</w:t>
      </w:r>
      <w:r w:rsidR="00C93F30">
        <w:t xml:space="preserve">t. j. </w:t>
      </w:r>
      <w:r>
        <w:t xml:space="preserve"> vo vzťahu k čerpaniu rozpočtu a v prípade, že je rozpočet stanovený v jednotkových cenách aj kontrola neprekročenia jednotkovej ceny),</w:t>
      </w:r>
    </w:p>
    <w:p w14:paraId="78C12FD1" w14:textId="77777777" w:rsidR="00B650E5" w:rsidRDefault="00B650E5">
      <w:pPr>
        <w:pStyle w:val="Odsekzoznamu"/>
        <w:numPr>
          <w:ilvl w:val="1"/>
          <w:numId w:val="33"/>
        </w:numPr>
        <w:spacing w:before="120" w:after="120"/>
        <w:ind w:left="851" w:hanging="425"/>
        <w:contextualSpacing w:val="0"/>
        <w:jc w:val="both"/>
      </w:pPr>
      <w:r>
        <w:rPr>
          <w:u w:val="single"/>
        </w:rPr>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doklady - faktúry, pokladničné bloky, dodacie listy v prípadoch, že dodanie tovaru nie je zdokladované priamo na faktúre, dodávateľsko-odberateľské zmluvy a pod.),</w:t>
      </w:r>
    </w:p>
    <w:p w14:paraId="265462F5" w14:textId="77777777" w:rsidR="00B650E5" w:rsidRDefault="00B650E5">
      <w:pPr>
        <w:pStyle w:val="Odsekzoznamu"/>
        <w:numPr>
          <w:ilvl w:val="1"/>
          <w:numId w:val="33"/>
        </w:numPr>
        <w:spacing w:before="120" w:after="120"/>
        <w:ind w:left="851" w:hanging="425"/>
        <w:contextualSpacing w:val="0"/>
        <w:jc w:val="both"/>
      </w:pPr>
      <w:r>
        <w:t>preukázanie zverejnenia zmluvy s úspešným uchádzačom v zmysle § 5a zákona  o slobode informácií (aplikuje sa v prípade, ak toto overenie nebolo predmetom finančnej kontroly VO alebo obstarávania),</w:t>
      </w:r>
    </w:p>
    <w:p w14:paraId="0E651890" w14:textId="77777777" w:rsidR="00B650E5" w:rsidRDefault="00B650E5">
      <w:pPr>
        <w:pStyle w:val="Odsekzoznamu"/>
        <w:numPr>
          <w:ilvl w:val="1"/>
          <w:numId w:val="33"/>
        </w:numPr>
        <w:spacing w:before="120" w:after="120"/>
        <w:ind w:left="851" w:hanging="425"/>
        <w:contextualSpacing w:val="0"/>
        <w:jc w:val="both"/>
      </w:pPr>
      <w:r>
        <w:rPr>
          <w:u w:val="single"/>
        </w:rPr>
        <w:t>preukázateľnosti reálneho vyplatenia</w:t>
      </w:r>
      <w:r>
        <w:t xml:space="preserve"> výdavku prijímateľom (napr. potvrdenie výdavkovými pokladničnými blokmi, výpismi z bankového účtu) ak je relevantné, </w:t>
      </w:r>
    </w:p>
    <w:p w14:paraId="576C11B2" w14:textId="77777777" w:rsidR="00B650E5" w:rsidRDefault="00B650E5">
      <w:pPr>
        <w:pStyle w:val="Odsekzoznamu"/>
        <w:numPr>
          <w:ilvl w:val="1"/>
          <w:numId w:val="33"/>
        </w:numPr>
        <w:spacing w:before="120" w:after="120"/>
        <w:ind w:left="851" w:hanging="425"/>
        <w:contextualSpacing w:val="0"/>
        <w:jc w:val="both"/>
      </w:pPr>
      <w:r>
        <w:rPr>
          <w:u w:val="single"/>
        </w:rPr>
        <w:t>súladu</w:t>
      </w:r>
      <w:r>
        <w:t xml:space="preserve"> predloženého výdavku </w:t>
      </w:r>
      <w:r>
        <w:rPr>
          <w:u w:val="single"/>
        </w:rPr>
        <w:t>so štandardnou stupnicou</w:t>
      </w:r>
      <w:r>
        <w:t xml:space="preserve"> jednotkových výdavkov v prípade využitia zjednodušeného vykazovania výdavkov formou štandardnej stupnice jednotkových výdavkov,</w:t>
      </w:r>
    </w:p>
    <w:p w14:paraId="67EFBB25" w14:textId="77777777" w:rsidR="00B650E5" w:rsidRDefault="00B650E5">
      <w:pPr>
        <w:pStyle w:val="Odsekzoznamu"/>
        <w:numPr>
          <w:ilvl w:val="1"/>
          <w:numId w:val="33"/>
        </w:numPr>
        <w:spacing w:before="120" w:after="120"/>
        <w:ind w:left="851" w:hanging="425"/>
        <w:contextualSpacing w:val="0"/>
        <w:jc w:val="both"/>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14:paraId="72EB6057" w14:textId="77777777" w:rsidR="00B650E5" w:rsidRDefault="00B650E5">
      <w:pPr>
        <w:pStyle w:val="Odsekzoznamu"/>
        <w:numPr>
          <w:ilvl w:val="1"/>
          <w:numId w:val="33"/>
        </w:numPr>
        <w:spacing w:before="120" w:after="120"/>
        <w:ind w:left="851" w:hanging="425"/>
        <w:contextualSpacing w:val="0"/>
        <w:jc w:val="both"/>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14:paraId="4ADBEB02" w14:textId="77777777" w:rsidR="00B650E5" w:rsidRDefault="00B650E5">
      <w:pPr>
        <w:pStyle w:val="Odsekzoznamu"/>
        <w:numPr>
          <w:ilvl w:val="1"/>
          <w:numId w:val="33"/>
        </w:numPr>
        <w:spacing w:before="120" w:after="120"/>
        <w:ind w:left="851" w:hanging="425"/>
        <w:contextualSpacing w:val="0"/>
        <w:jc w:val="both"/>
      </w:pPr>
      <w:r>
        <w:t xml:space="preserve">dodržania </w:t>
      </w:r>
      <w:r>
        <w:rPr>
          <w:u w:val="single"/>
        </w:rPr>
        <w:t>harmonogramu realizácie aktivít</w:t>
      </w:r>
      <w:r>
        <w:t xml:space="preserve"> projektu,</w:t>
      </w:r>
    </w:p>
    <w:p w14:paraId="71D379E0" w14:textId="77777777" w:rsidR="00B650E5" w:rsidRDefault="00B650E5">
      <w:pPr>
        <w:pStyle w:val="Odsekzoznamu"/>
        <w:numPr>
          <w:ilvl w:val="1"/>
          <w:numId w:val="33"/>
        </w:numPr>
        <w:spacing w:before="120" w:after="120"/>
        <w:ind w:left="851" w:hanging="425"/>
        <w:contextualSpacing w:val="0"/>
        <w:jc w:val="both"/>
      </w:pPr>
      <w:r>
        <w:t xml:space="preserve">realizácie </w:t>
      </w:r>
      <w:r>
        <w:rPr>
          <w:u w:val="single"/>
        </w:rPr>
        <w:t>oprávnených aktivít</w:t>
      </w:r>
      <w:r>
        <w:t xml:space="preserve"> v zmysle zmluvy o NFP, resp. dokumentu, na ktorý sa zmluva o NFP odkazuje,</w:t>
      </w:r>
    </w:p>
    <w:p w14:paraId="58F77185" w14:textId="77777777" w:rsidR="00B650E5" w:rsidRDefault="00B650E5">
      <w:pPr>
        <w:pStyle w:val="Odsekzoznamu"/>
        <w:numPr>
          <w:ilvl w:val="1"/>
          <w:numId w:val="33"/>
        </w:numPr>
        <w:spacing w:before="120" w:after="120"/>
        <w:ind w:left="851" w:hanging="425"/>
        <w:contextualSpacing w:val="0"/>
        <w:jc w:val="both"/>
      </w:pPr>
      <w:r>
        <w:t xml:space="preserve">dosiahnutia </w:t>
      </w:r>
      <w:r>
        <w:rPr>
          <w:u w:val="single"/>
        </w:rPr>
        <w:t>merateľných ukazovateľov</w:t>
      </w:r>
      <w:r>
        <w:t xml:space="preserve"> projektu v zmysle zmluvy o NFP (ak je relevantné),</w:t>
      </w:r>
    </w:p>
    <w:p w14:paraId="27CAF1EE" w14:textId="77777777" w:rsidR="00B650E5" w:rsidRDefault="00B650E5">
      <w:pPr>
        <w:pStyle w:val="Odsekzoznamu"/>
        <w:numPr>
          <w:ilvl w:val="1"/>
          <w:numId w:val="33"/>
        </w:numPr>
        <w:spacing w:before="120" w:after="120"/>
        <w:ind w:left="851" w:hanging="425"/>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14:paraId="2FAFFF8B" w14:textId="77777777" w:rsidR="00B650E5" w:rsidRDefault="00B650E5">
      <w:pPr>
        <w:pStyle w:val="Odsekzoznamu"/>
        <w:numPr>
          <w:ilvl w:val="1"/>
          <w:numId w:val="33"/>
        </w:numPr>
        <w:spacing w:before="120" w:after="120"/>
        <w:ind w:left="851" w:hanging="425"/>
        <w:contextualSpacing w:val="0"/>
        <w:jc w:val="both"/>
      </w:pPr>
      <w:r>
        <w:rPr>
          <w:u w:val="single"/>
        </w:rPr>
        <w:t>prijatia opatrení</w:t>
      </w:r>
      <w:r>
        <w:t xml:space="preserve"> prijímateľom na odstránenie nedostatkov zistených pri inej kontrole alebo audite vykonaných do času ukončenia kontroly deklarovaných výdavkov (ak je relevantné), </w:t>
      </w:r>
    </w:p>
    <w:p w14:paraId="0DEB474C" w14:textId="77777777" w:rsidR="00B650E5" w:rsidRDefault="00B650E5">
      <w:pPr>
        <w:pStyle w:val="Odsekzoznamu"/>
        <w:numPr>
          <w:ilvl w:val="1"/>
          <w:numId w:val="33"/>
        </w:numPr>
        <w:spacing w:before="120" w:after="120"/>
        <w:ind w:left="851" w:hanging="425"/>
        <w:contextualSpacing w:val="0"/>
        <w:jc w:val="both"/>
      </w:pPr>
      <w:r>
        <w:t xml:space="preserve">dodržania </w:t>
      </w:r>
      <w:r>
        <w:rPr>
          <w:u w:val="single"/>
        </w:rPr>
        <w:t>zníženia oprávnených výdavkov</w:t>
      </w:r>
      <w:r>
        <w:t xml:space="preserve"> z dôvodu vykonania finančnej opravy a pod.,</w:t>
      </w:r>
    </w:p>
    <w:p w14:paraId="161AF33F" w14:textId="77777777" w:rsidR="00B650E5" w:rsidRDefault="00B650E5">
      <w:pPr>
        <w:pStyle w:val="Odsekzoznamu"/>
        <w:numPr>
          <w:ilvl w:val="1"/>
          <w:numId w:val="33"/>
        </w:numPr>
        <w:spacing w:before="120" w:after="120"/>
        <w:ind w:left="851" w:hanging="425"/>
        <w:contextualSpacing w:val="0"/>
        <w:jc w:val="both"/>
      </w:pPr>
      <w:r>
        <w:t>kontroly iných skutočností stanovených RO.</w:t>
      </w:r>
    </w:p>
    <w:p w14:paraId="22F27A0D" w14:textId="77777777" w:rsidR="00B650E5" w:rsidRDefault="00B650E5">
      <w:pPr>
        <w:pStyle w:val="Odsekzoznamu"/>
        <w:numPr>
          <w:ilvl w:val="0"/>
          <w:numId w:val="33"/>
        </w:numPr>
        <w:spacing w:before="120" w:after="120"/>
        <w:ind w:left="426" w:hanging="426"/>
        <w:contextualSpacing w:val="0"/>
        <w:jc w:val="both"/>
      </w:pPr>
      <w:r>
        <w:t xml:space="preserve">Výdavky prijímateľa deklarované v ŽoP musia spĺňať najmä tieto podmienky: </w:t>
      </w:r>
    </w:p>
    <w:p w14:paraId="4B41071C" w14:textId="77777777" w:rsidR="00B650E5" w:rsidRDefault="00B650E5">
      <w:pPr>
        <w:numPr>
          <w:ilvl w:val="0"/>
          <w:numId w:val="38"/>
        </w:numPr>
        <w:spacing w:before="120" w:after="120"/>
        <w:ind w:left="851" w:hanging="425"/>
        <w:jc w:val="both"/>
      </w:pPr>
      <w:r>
        <w:t xml:space="preserve">výdavok je v súlade s platnými všeobecne záväznými právnymi predpismi (napr. zákon o rozpočtových pravidlách, ZVO, zákon o štátnej pomoci, zákonník práce, zákon o slobode informácií); </w:t>
      </w:r>
    </w:p>
    <w:p w14:paraId="18BA9477" w14:textId="77777777" w:rsidR="00B650E5" w:rsidRDefault="00B650E5">
      <w:pPr>
        <w:numPr>
          <w:ilvl w:val="0"/>
          <w:numId w:val="38"/>
        </w:numPr>
        <w:spacing w:before="120" w:after="120"/>
        <w:ind w:left="851" w:hanging="425"/>
        <w:jc w:val="both"/>
      </w:pPr>
      <w:r>
        <w:t xml:space="preserve">výdavok je vynaložený na projekt (existencia priameho spojenia s projektom), schválený RO a realizovaný v zmysle podmienok výzvy na predkladanie ŽoNFP, podmienok schémy pomoci de minimis, príp. schémy štátnej pomoci, ktoré tvoria neoddeliteľnú súčasť výzvy, podmienok zmluvy o NFP; </w:t>
      </w:r>
    </w:p>
    <w:p w14:paraId="48DE6429" w14:textId="77777777" w:rsidR="00B650E5" w:rsidRDefault="00B650E5">
      <w:pPr>
        <w:numPr>
          <w:ilvl w:val="0"/>
          <w:numId w:val="38"/>
        </w:numPr>
        <w:spacing w:before="120" w:after="120"/>
        <w:ind w:left="851" w:hanging="425"/>
        <w:jc w:val="both"/>
      </w:pPr>
      <w:r>
        <w:lastRenderedPageBreak/>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14:paraId="16B544F3" w14:textId="77777777" w:rsidR="00B650E5" w:rsidRDefault="00B650E5">
      <w:pPr>
        <w:numPr>
          <w:ilvl w:val="0"/>
          <w:numId w:val="38"/>
        </w:numPr>
        <w:spacing w:before="120" w:after="120"/>
        <w:ind w:left="851" w:hanging="425"/>
        <w:jc w:val="both"/>
      </w:pPr>
      <w:r>
        <w:t xml:space="preserve">výdavok je primeraný, </w:t>
      </w:r>
      <w:r w:rsidR="00C93F30">
        <w:t xml:space="preserve">t. j. </w:t>
      </w:r>
      <w:r>
        <w:t xml:space="preserve"> zodpovedá obvyklým cenám v danom mieste a čase a zodpovedá potrebám projektu; </w:t>
      </w:r>
    </w:p>
    <w:p w14:paraId="4322DFC4" w14:textId="77777777" w:rsidR="00B650E5" w:rsidRDefault="00B650E5">
      <w:pPr>
        <w:numPr>
          <w:ilvl w:val="0"/>
          <w:numId w:val="38"/>
        </w:numPr>
        <w:spacing w:before="120" w:after="120"/>
        <w:ind w:left="851" w:hanging="425"/>
        <w:jc w:val="both"/>
      </w:pPr>
      <w:r>
        <w:t xml:space="preserve">výdavok spĺňa podmienky hospodárnosti, efektívnosti, účelnosti a účinnosti; </w:t>
      </w:r>
    </w:p>
    <w:p w14:paraId="2BEF329A" w14:textId="77777777" w:rsidR="00B650E5" w:rsidRDefault="00B650E5">
      <w:pPr>
        <w:numPr>
          <w:ilvl w:val="0"/>
          <w:numId w:val="38"/>
        </w:numPr>
        <w:spacing w:before="120" w:after="120"/>
        <w:ind w:left="851" w:hanging="425"/>
        <w:jc w:val="both"/>
      </w:pPr>
      <w:r>
        <w:t>výdavky musia byť identifikovateľné a preukázateľné a musia byť doložené účtovnými dokladmi,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14:paraId="127513F7" w14:textId="77777777" w:rsidR="00B650E5" w:rsidRPr="000F7D38" w:rsidRDefault="00B650E5" w:rsidP="00AB2DCC">
      <w:pPr>
        <w:numPr>
          <w:ilvl w:val="0"/>
          <w:numId w:val="38"/>
        </w:numPr>
        <w:ind w:left="851"/>
        <w:jc w:val="both"/>
        <w:rPr>
          <w:rFonts w:cs="Arial"/>
          <w:b/>
          <w:bCs/>
          <w:i/>
          <w:iCs/>
        </w:rPr>
      </w:pPr>
      <w:r w:rsidRPr="00DE5D89">
        <w:rPr>
          <w:rFonts w:cs="Arial"/>
        </w:rPr>
        <w:t xml:space="preserve">výdavky súvisiace s preddavkovou platbou spĺňajú podmienky uvedené v písm. a) - e) tohto </w:t>
      </w:r>
      <w:r w:rsidRPr="000F7D38">
        <w:rPr>
          <w:rFonts w:cs="Arial"/>
        </w:rPr>
        <w:t>odseku, ako aj podmienky uvedené v </w:t>
      </w:r>
      <w:hyperlink w:anchor="kapitola_3510" w:history="1">
        <w:r w:rsidRPr="000F7D38">
          <w:rPr>
            <w:rStyle w:val="Hypertextovprepojenie"/>
            <w:rFonts w:cs="Arial"/>
          </w:rPr>
          <w:t>kapito</w:t>
        </w:r>
        <w:r w:rsidRPr="007C2CE4">
          <w:rPr>
            <w:rStyle w:val="Hypertextovprepojenie"/>
            <w:rFonts w:cs="Arial"/>
          </w:rPr>
          <w:t>le 3.5.10</w:t>
        </w:r>
      </w:hyperlink>
      <w:r w:rsidRPr="000F7D38">
        <w:rPr>
          <w:rFonts w:cs="Arial"/>
          <w:bCs/>
          <w:i/>
          <w:iCs/>
        </w:rPr>
        <w:t>.</w:t>
      </w:r>
    </w:p>
    <w:p w14:paraId="308BB24A" w14:textId="77777777" w:rsidR="00B650E5" w:rsidRPr="001B709E" w:rsidRDefault="00B650E5">
      <w:pPr>
        <w:pStyle w:val="Odsekzoznamu"/>
        <w:numPr>
          <w:ilvl w:val="0"/>
          <w:numId w:val="33"/>
        </w:numPr>
        <w:spacing w:before="120" w:after="120"/>
        <w:ind w:left="426" w:hanging="426"/>
        <w:contextualSpacing w:val="0"/>
        <w:jc w:val="both"/>
        <w:rPr>
          <w:color w:val="000000" w:themeColor="text1"/>
        </w:rPr>
      </w:pPr>
      <w:r w:rsidRPr="007C2CE4">
        <w:t>Ak RO pri kontr</w:t>
      </w:r>
      <w:r w:rsidRPr="000F7D38">
        <w:t xml:space="preserve">ole ŽoP zistí, že je potrebné niektoré skutočnosti overiť na mieste, príp. vyplynie táto povinnosť z vykonanej analýzy rizík, vykoná RO finančnú kontrolu na mieste. </w:t>
      </w:r>
      <w:r w:rsidR="00043F2B" w:rsidRPr="001B709E">
        <w:rPr>
          <w:color w:val="000000" w:themeColor="text1"/>
        </w:rPr>
        <w:t>Ak sa vykonáva administratívna finančná kontrola aj finančná kontrola na mieste tej istej finančnej operácie alebo jej časti, môže sa vypracovať návrh čiastkovej správy alebo návrh správy a čiastková správa alebo správa len z finančnej kontroly na mieste (§ 22 ods. 1 zákona o finančnej kontrole</w:t>
      </w:r>
      <w:r w:rsidR="000F7D38" w:rsidRPr="001B709E">
        <w:rPr>
          <w:color w:val="000000" w:themeColor="text1"/>
        </w:rPr>
        <w:t>)</w:t>
      </w:r>
      <w:r w:rsidR="00043F2B" w:rsidRPr="001B709E">
        <w:rPr>
          <w:color w:val="000000" w:themeColor="text1"/>
        </w:rPr>
        <w:t>. V takomto prípade sa vypracovaný dokument vkladá do ITMS</w:t>
      </w:r>
      <w:r w:rsidR="00FB3000">
        <w:rPr>
          <w:color w:val="000000" w:themeColor="text1"/>
        </w:rPr>
        <w:t xml:space="preserve"> </w:t>
      </w:r>
      <w:r w:rsidR="00043F2B" w:rsidRPr="001B709E">
        <w:rPr>
          <w:color w:val="000000" w:themeColor="text1"/>
        </w:rPr>
        <w:t>2014+ k finančnej kontrole na mieste aj k administratívnej finančnej kontrole.</w:t>
      </w:r>
    </w:p>
    <w:p w14:paraId="7A438643" w14:textId="77777777" w:rsidR="00B650E5" w:rsidRDefault="00B650E5">
      <w:pPr>
        <w:pStyle w:val="Odsekzoznamu"/>
        <w:numPr>
          <w:ilvl w:val="0"/>
          <w:numId w:val="33"/>
        </w:numPr>
        <w:spacing w:before="120" w:after="120"/>
        <w:ind w:left="426" w:hanging="426"/>
        <w:contextualSpacing w:val="0"/>
        <w:jc w:val="both"/>
      </w:pPr>
      <w:r w:rsidRPr="000F7D38">
        <w:t>V prípade, ak RO počas kontroly ŽoP zistí, že je potrebné údaje v súvislosti s nárokovanými finančnými prostriedkami/deklarovanými výdavkami a ostatnými skutočnosťami</w:t>
      </w:r>
      <w:r>
        <w:t xml:space="preserve"> uvedenými v ŽoP zo strany prijímateľa doplniť/opraviť, vyzve RO prijímateľa na doplnenie týchto údajov. RO je oprávnený rozhodnúť, že za výzvu na doplnenie/opravu týchto údajov bude považovať doručený návrh </w:t>
      </w:r>
      <w:r w:rsidR="00D85F55">
        <w:t xml:space="preserve">čiastkovej správy z kontroly/správy </w:t>
      </w:r>
      <w:r>
        <w:t xml:space="preserve">z kontroly. Lehota na doplnenie/opravu je minimálne 5 pracovných dní odo dňa doručenia výzvy. Lehota na uskutočnenie kontroly ŽoP neplynie počas plynutia lehoty stanovenej na doplnenie/opravu údajov len v prípade, ak je dôvodom na prerušenie výkonu minimálne jedna zo skutočností uvedených v článku 132 ods. 2 všeobecného nariadenia. </w:t>
      </w:r>
      <w:r w:rsidR="00D85F55">
        <w:t>RO je však povinný písomne oznámiť prijímateľovi prerušenie lehoty na spracovanie ŽoP a dôvod tohto prerušenia.</w:t>
      </w:r>
    </w:p>
    <w:p w14:paraId="0B82C030" w14:textId="77777777" w:rsidR="00540841" w:rsidRPr="00540841" w:rsidRDefault="00B650E5" w:rsidP="00540841">
      <w:pPr>
        <w:pStyle w:val="Odsekzoznamu"/>
        <w:numPr>
          <w:ilvl w:val="0"/>
          <w:numId w:val="33"/>
        </w:numPr>
        <w:spacing w:before="120" w:after="120"/>
        <w:ind w:left="426" w:hanging="426"/>
        <w:contextualSpacing w:val="0"/>
        <w:jc w:val="both"/>
      </w:pPr>
      <w:r>
        <w:t xml:space="preserve">RO je </w:t>
      </w:r>
      <w:r w:rsidR="00D85F55">
        <w:t xml:space="preserve">v prípadoch uvedených v ustanovení § 22 ods. 2 písm. a), b) a c) zákona o finančnej kontrole </w:t>
      </w:r>
      <w:r>
        <w:t xml:space="preserve">oprávnený rozhodnúť, že časť deklarovaných výdavkov, ktorá si vyžaduje </w:t>
      </w:r>
      <w:r w:rsidR="00D85F55">
        <w:t xml:space="preserve">napr. </w:t>
      </w:r>
      <w:r>
        <w:t>doplnenie/opravu/overenie niektorých skutočností na mieste</w:t>
      </w:r>
      <w:r w:rsidR="00D85F55">
        <w:t>/overenie u ďalších osôb</w:t>
      </w:r>
      <w:r w:rsidR="00D85F55">
        <w:rPr>
          <w:rStyle w:val="Odkaznapoznmkupodiarou"/>
        </w:rPr>
        <w:footnoteReference w:id="105"/>
      </w:r>
      <w:r>
        <w:t>,  bude vyčlenená do predmetu samostatnej kontroly</w:t>
      </w:r>
      <w:r w:rsidR="00D85F55">
        <w:t>.</w:t>
      </w:r>
      <w:r>
        <w:rPr>
          <w:rStyle w:val="Odkaznapoznmkupodiarou"/>
        </w:rPr>
        <w:footnoteReference w:id="106"/>
      </w:r>
      <w:r>
        <w:t xml:space="preserve"> V prípade, ak RO </w:t>
      </w:r>
      <w:r w:rsidR="00D85F55">
        <w:t xml:space="preserve">z doručenej ŽoP </w:t>
      </w:r>
      <w:r>
        <w:t xml:space="preserve">vyčlení časť výdavkov na samostatnú kontrolu, lehota, ktorá uplynula od </w:t>
      </w:r>
      <w:r w:rsidR="00D85F55">
        <w:t xml:space="preserve">jej </w:t>
      </w:r>
      <w:r>
        <w:t>doručenia</w:t>
      </w:r>
      <w:r w:rsidR="00D85F55">
        <w:t xml:space="preserve"> až po jej úplné ukončenie</w:t>
      </w:r>
      <w:r w:rsidRPr="00AB2DCC">
        <w:t xml:space="preserve">, sa započítava do lehoty stanovenej na </w:t>
      </w:r>
      <w:r w:rsidRPr="007E4476">
        <w:t xml:space="preserve">kontrolu ŽoP vykonanú administratívnou </w:t>
      </w:r>
      <w:r w:rsidR="00540841">
        <w:t>finančnou kontrolou</w:t>
      </w:r>
      <w:r w:rsidRPr="007E4476">
        <w:t xml:space="preserve">. </w:t>
      </w:r>
      <w:r w:rsidR="00540841" w:rsidRPr="00540841">
        <w:t>Lehota neplynie len v prípade, ak výkon kontroly bol prerušený z dôvodu minimálne jednej zo skutočností uvedených v článku 132 ods. 2 všeobecného nariadenia a ak RO skutočnosť a dôvody o prerušení plynutia lehoty na spracovanie ŽoP prijímateľovi písomne oznámil.</w:t>
      </w:r>
    </w:p>
    <w:p w14:paraId="3213B10E" w14:textId="77777777" w:rsidR="00B650E5" w:rsidRPr="003425F6" w:rsidRDefault="00B650E5" w:rsidP="003425F6">
      <w:pPr>
        <w:pStyle w:val="Odsekzoznamu"/>
        <w:numPr>
          <w:ilvl w:val="0"/>
          <w:numId w:val="33"/>
        </w:numPr>
        <w:spacing w:before="120" w:after="120"/>
        <w:ind w:left="426" w:hanging="426"/>
        <w:contextualSpacing w:val="0"/>
        <w:jc w:val="both"/>
      </w:pPr>
      <w:r w:rsidRPr="003425F6">
        <w:t>Pr</w:t>
      </w:r>
      <w:r w:rsidRPr="002576AF">
        <w:t xml:space="preserve">e výkon kontroly deklarovaných výdavkov vyčlenených na samostatnú kontrolu platia pre RO rovnaké práva a povinnosti ako pre výkon kontroly ŽoP vykonanej formou administratívnej </w:t>
      </w:r>
      <w:r w:rsidRPr="007E4476">
        <w:lastRenderedPageBreak/>
        <w:t xml:space="preserve">finančnej kontroly. RO je aj v tomto prípade povinný </w:t>
      </w:r>
      <w:r w:rsidR="00540841">
        <w:t xml:space="preserve">v zmysle ustanovenia § 22 ods. 2 zákona o finančnej kontrole </w:t>
      </w:r>
      <w:r w:rsidRPr="007E4476">
        <w:t>vypracovať návrh čiastkovej správy</w:t>
      </w:r>
      <w:r>
        <w:t xml:space="preserve"> z kontroly</w:t>
      </w:r>
      <w:r w:rsidR="00540841">
        <w:t xml:space="preserve"> </w:t>
      </w:r>
      <w:r w:rsidRPr="007E4476">
        <w:t>(v prípade zistenia nedostatkov) a čiastkovú správu</w:t>
      </w:r>
      <w:r>
        <w:t xml:space="preserve"> z kontroly</w:t>
      </w:r>
      <w:r w:rsidRPr="007E4476">
        <w:t xml:space="preserve">.  </w:t>
      </w:r>
    </w:p>
    <w:p w14:paraId="387C21BB" w14:textId="77777777" w:rsidR="00B650E5" w:rsidRDefault="00B650E5">
      <w:pPr>
        <w:pStyle w:val="Odsekzoznamu"/>
        <w:numPr>
          <w:ilvl w:val="0"/>
          <w:numId w:val="33"/>
        </w:numPr>
        <w:spacing w:before="120" w:after="120"/>
        <w:ind w:left="426" w:hanging="426"/>
        <w:contextualSpacing w:val="0"/>
        <w:jc w:val="both"/>
      </w:pPr>
      <w:r>
        <w:t>Do ukončenia kontroly ŽoP je RO povinný vyplniť kontrolný zoznam priradený ku kontrole ŽoP, pričom rozsah kontrolných otázok stanovených k osobitnému predmetu kontroly uvedenom v </w:t>
      </w:r>
      <w:hyperlink w:anchor="kapitola_33621_ods_4a" w:tooltip="kapitole 3.3.6.2.1, ods. 4, písm. a)" w:history="1">
        <w:r>
          <w:rPr>
            <w:rStyle w:val="Hypertextovprepojenie"/>
          </w:rPr>
          <w:t>k</w:t>
        </w:r>
        <w:r w:rsidRPr="00935F66">
          <w:rPr>
            <w:rStyle w:val="Hypertextovprepojenie"/>
          </w:rPr>
          <w:t xml:space="preserve">apitole 3.3.6.2.1 ods. </w:t>
        </w:r>
        <w:r w:rsidR="00FB3000">
          <w:rPr>
            <w:rStyle w:val="Hypertextovprepojenie"/>
          </w:rPr>
          <w:t>4</w:t>
        </w:r>
        <w:r w:rsidRPr="00935F66">
          <w:rPr>
            <w:rStyle w:val="Hypertextovprepojenie"/>
          </w:rPr>
          <w:t>, písm. a)</w:t>
        </w:r>
      </w:hyperlink>
      <w:r>
        <w:t xml:space="preserve"> predstavuje minimálnu základňu, ktorá je pre RO povinná. RO je oprávnený doplniť zoznam kontrolných otázok podľa špecifického charakteru daného OP, PO a pod. </w:t>
      </w:r>
    </w:p>
    <w:p w14:paraId="0D26CCE4" w14:textId="77777777" w:rsidR="00B650E5" w:rsidRDefault="00B650E5">
      <w:pPr>
        <w:pStyle w:val="Odsekzoznamu"/>
        <w:numPr>
          <w:ilvl w:val="0"/>
          <w:numId w:val="33"/>
        </w:numPr>
        <w:spacing w:before="120" w:after="120"/>
        <w:ind w:left="426" w:hanging="426"/>
        <w:contextualSpacing w:val="0"/>
        <w:jc w:val="both"/>
      </w:pPr>
      <w:r>
        <w:t>Po vykonaní kontroly ŽoP vypracuje RO návrh čiastkovej správy z kontroly/návrh správy z kontroly ŽoP (ak sú zistené nedostatky) a čiastkovú správu z kontroly/správu z kontroly. Bližšie ustanovenia k vypracovaniu návrhu čiastkovej správy z kontroly/návrhu správy z kontroly a čiastkovej správy z kontroly/ správy z kontroly sú uvedené v </w:t>
      </w:r>
      <w:hyperlink w:anchor="kapitola_33613" w:tooltip="kapitole 3.3.6.1.3" w:history="1">
        <w:r w:rsidRPr="00935F66">
          <w:rPr>
            <w:rStyle w:val="Hypertextovprepojenie"/>
          </w:rPr>
          <w:t>kapitole 3.3.6.1.3</w:t>
        </w:r>
      </w:hyperlink>
      <w:r w:rsidRPr="00935F66">
        <w:t>.</w:t>
      </w:r>
      <w:r>
        <w:t xml:space="preserve">  </w:t>
      </w:r>
    </w:p>
    <w:p w14:paraId="248F0505" w14:textId="77777777" w:rsidR="00B650E5" w:rsidRDefault="00B650E5">
      <w:pPr>
        <w:pStyle w:val="Odsekzoznamu"/>
        <w:numPr>
          <w:ilvl w:val="0"/>
          <w:numId w:val="33"/>
        </w:numPr>
        <w:spacing w:before="120" w:after="120"/>
        <w:ind w:left="426" w:hanging="426"/>
        <w:contextualSpacing w:val="0"/>
        <w:jc w:val="both"/>
      </w:pPr>
      <w:bookmarkStart w:id="324" w:name="kapitola_33622_ods_15"/>
      <w:r>
        <w:t xml:space="preserve">Záverom kontroly ŽoP vo vzťahu k nárokovaným finančným prostriedkom/deklarovaným výdavkom, pri zohľadnení jednotlivých typov ŽoP uvedených v Systéme finančného riadenia, môže byť jedna z týchto skutočností: </w:t>
      </w:r>
    </w:p>
    <w:bookmarkEnd w:id="324"/>
    <w:p w14:paraId="1DC06184" w14:textId="77777777" w:rsidR="00B650E5" w:rsidRDefault="00B650E5">
      <w:pPr>
        <w:pStyle w:val="Odsekzoznamu"/>
        <w:numPr>
          <w:ilvl w:val="1"/>
          <w:numId w:val="33"/>
        </w:numPr>
        <w:spacing w:before="120" w:after="120"/>
        <w:ind w:left="851" w:hanging="425"/>
        <w:contextualSpacing w:val="0"/>
        <w:jc w:val="both"/>
      </w:pPr>
      <w:r>
        <w:t>RO navrhuje schváliť nárokované finančné prostriedky (platí v prípade ŽoP – poskytnutie predfinancovania, poskytnutie zálohovej platby)/deklarované výdavky prijímateľa v plnej výške (výdavky spĺňajú požiadavky vyplývajúce z legislatívy EÚ a SR a sú v súlade so zmluvou o NFP),</w:t>
      </w:r>
    </w:p>
    <w:p w14:paraId="7869D07A" w14:textId="77777777" w:rsidR="00B650E5" w:rsidRDefault="00B650E5">
      <w:pPr>
        <w:pStyle w:val="Odsekzoznamu"/>
        <w:numPr>
          <w:ilvl w:val="1"/>
          <w:numId w:val="33"/>
        </w:numPr>
        <w:spacing w:before="120" w:after="120"/>
        <w:ind w:left="851" w:hanging="425"/>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14:paraId="0E6FDC1F" w14:textId="77777777" w:rsidR="00B650E5" w:rsidRDefault="00B650E5">
      <w:pPr>
        <w:pStyle w:val="Odsekzoznamu"/>
        <w:numPr>
          <w:ilvl w:val="1"/>
          <w:numId w:val="33"/>
        </w:numPr>
        <w:spacing w:before="120" w:after="120"/>
        <w:ind w:left="851" w:hanging="425"/>
        <w:contextualSpacing w:val="0"/>
        <w:jc w:val="both"/>
      </w:pPr>
      <w:r>
        <w:t>RO navrhuje schváliť nárokované finančné prostriedky (platí v prípade ŽoP – poskytnutie predfinancovania)/deklarované výdavky alebo skupinu nárokovaných finančných prostriedkov/deklarovaných výdavkov bez nárokovaných/deklarovaných výdavkov, u ktorých počas výkonu kontroly rozhodol, že budú predmetom samostatnej kontroly z dôvodu doplnenia/opravy/overenia skutočností na mieste a pod. (RO je oprávnený rozhodnúť, že niektoré z nárokovaných finančných prostriedkov/deklarovaných výdavkov prijímateľa budú z opodstatnených dôvodov predmetom ďalšej kontroly bez potreby opätovného predkladania výdavkov zo strany prijímateľa, napr. z dôvodu potreby kontroly konkrétnych výdavkov na mieste alebo neukončenej finančnej kontroly VO súvisiaceho s daným výdavkom a pod.),</w:t>
      </w:r>
    </w:p>
    <w:p w14:paraId="745C5837" w14:textId="77777777" w:rsidR="00B650E5" w:rsidRDefault="00B650E5">
      <w:pPr>
        <w:pStyle w:val="Odsekzoznamu"/>
        <w:numPr>
          <w:ilvl w:val="1"/>
          <w:numId w:val="33"/>
        </w:numPr>
        <w:spacing w:before="120" w:after="120"/>
        <w:ind w:left="851" w:hanging="425"/>
        <w:contextualSpacing w:val="0"/>
        <w:jc w:val="both"/>
      </w:pPr>
      <w:r>
        <w:t>RO navrhuje zamietnuť všetky nárokované finančné prostriedky (platí v prípade žiadosti ŽoP – poskytnutie predfinancovania, poskytnutie zálohovej platby)/deklarované výdavky, ktoré boli predmetom kontroly (napr. všetky deklarované výdavky nespĺňajú pravidlá oprávnenosti, prijímateľ po vyzvaní zo strany RO nedoložil údaje/doklady a toto nedoloženie má vplyv na všetky výdavky).</w:t>
      </w:r>
    </w:p>
    <w:p w14:paraId="15B136B6" w14:textId="77777777" w:rsidR="00B650E5" w:rsidRDefault="00B650E5" w:rsidP="001B709E">
      <w:pPr>
        <w:pStyle w:val="Odsekzoznamu"/>
        <w:numPr>
          <w:ilvl w:val="0"/>
          <w:numId w:val="33"/>
        </w:numPr>
        <w:spacing w:before="120" w:after="120"/>
        <w:ind w:left="426" w:hanging="426"/>
        <w:contextualSpacing w:val="0"/>
        <w:jc w:val="both"/>
      </w:pPr>
      <w:r>
        <w:t>Momentom ukončenia kontroly ŽoP je zaslanie správy z kontroly prijímateľovi pri zachovaní postupov uvedených v </w:t>
      </w:r>
      <w:hyperlink w:anchor="kapitola_33622_ods_17" w:tooltip="ods. 17-19" w:history="1">
        <w:r>
          <w:rPr>
            <w:rStyle w:val="Hypertextovprepojenie"/>
          </w:rPr>
          <w:t>ods. 1</w:t>
        </w:r>
        <w:r>
          <w:rPr>
            <w:rStyle w:val="Hypertextovprepojenie"/>
          </w:rPr>
          <w:t>7</w:t>
        </w:r>
        <w:r>
          <w:rPr>
            <w:rStyle w:val="Hypertextovprepojenie"/>
          </w:rPr>
          <w:t>-19</w:t>
        </w:r>
      </w:hyperlink>
      <w:r>
        <w:t xml:space="preserve">. </w:t>
      </w:r>
      <w:r w:rsidRPr="002F1E31">
        <w:t>Zaslaním čiastkovej správy z kontroly je skončená tá časť finančnej kontroly, ktorej sa čiastková správa z kontroly týka.</w:t>
      </w:r>
      <w:r>
        <w:t xml:space="preserve"> Vo vzťahu k  ŽoP postupuje ďalej RO podľa podmienok a postupov definovaných v Systéme finančného riadenia.</w:t>
      </w:r>
    </w:p>
    <w:p w14:paraId="4A8C99FE" w14:textId="77777777" w:rsidR="00B650E5" w:rsidRDefault="00B650E5">
      <w:pPr>
        <w:pStyle w:val="Odsekzoznamu"/>
        <w:numPr>
          <w:ilvl w:val="0"/>
          <w:numId w:val="33"/>
        </w:numPr>
        <w:spacing w:before="120" w:after="120"/>
        <w:ind w:left="426" w:hanging="426"/>
        <w:contextualSpacing w:val="0"/>
        <w:jc w:val="both"/>
      </w:pPr>
      <w:bookmarkStart w:id="325" w:name="kapitola_33622_ods_17"/>
      <w:r>
        <w:lastRenderedPageBreak/>
        <w:t>Ak kontrolou neboli zistené nedostatky je momentom ukončenia kontroly zaslanie čiastkovej správy z kontroly/správy z kontroly prijímateľovi bez potreby vyžiadania si prípadných námietok zo strany prijímateľa. Vo vzťahu ku kontrole deklarovaných výdavkov tak nastane vždy v prípade uvedenom v </w:t>
      </w:r>
      <w:hyperlink w:anchor="kapitola_33622_ods_15" w:tooltip="ods. 15" w:history="1">
        <w:r>
          <w:rPr>
            <w:rStyle w:val="Hypertextovprepojenie"/>
          </w:rPr>
          <w:t>ods. 15</w:t>
        </w:r>
      </w:hyperlink>
      <w:r>
        <w:t>:</w:t>
      </w:r>
    </w:p>
    <w:bookmarkEnd w:id="325"/>
    <w:p w14:paraId="0EFC6FC1" w14:textId="77777777" w:rsidR="00B650E5" w:rsidRDefault="00B650E5">
      <w:pPr>
        <w:pStyle w:val="Odsekzoznamu"/>
        <w:numPr>
          <w:ilvl w:val="1"/>
          <w:numId w:val="33"/>
        </w:numPr>
        <w:spacing w:before="120" w:after="120"/>
        <w:ind w:left="851" w:hanging="425"/>
        <w:contextualSpacing w:val="0"/>
        <w:jc w:val="both"/>
      </w:pPr>
      <w:r>
        <w:t>písm. a) a </w:t>
      </w:r>
    </w:p>
    <w:p w14:paraId="055807B9" w14:textId="77777777" w:rsidR="00B650E5" w:rsidRDefault="00B650E5">
      <w:pPr>
        <w:pStyle w:val="Odsekzoznamu"/>
        <w:numPr>
          <w:ilvl w:val="1"/>
          <w:numId w:val="33"/>
        </w:numPr>
        <w:spacing w:before="120" w:after="120"/>
        <w:ind w:left="851" w:hanging="425"/>
        <w:contextualSpacing w:val="0"/>
        <w:jc w:val="both"/>
      </w:pPr>
      <w:r>
        <w:t xml:space="preserve">písm. c) vtedy, ak RO schváli nárokované finančné prostriedky/deklarované výdavky  bez deklarovaných výdavkov, ktoré  budú predmetom samostatnej kontroly z dôvodu doplnenia/zmeny/overenia skutočností na mieste a pod. </w:t>
      </w:r>
    </w:p>
    <w:p w14:paraId="1D2CF80F" w14:textId="77777777" w:rsidR="00B650E5" w:rsidRDefault="00B650E5">
      <w:pPr>
        <w:pStyle w:val="Odsekzoznamu"/>
        <w:numPr>
          <w:ilvl w:val="0"/>
          <w:numId w:val="33"/>
        </w:numPr>
        <w:spacing w:before="120" w:after="120"/>
        <w:ind w:left="426" w:hanging="426"/>
        <w:contextualSpacing w:val="0"/>
        <w:jc w:val="both"/>
      </w:pPr>
      <w:r>
        <w:t>Ak je záverom kontroly skutočnosť uvedená v </w:t>
      </w:r>
      <w:hyperlink w:anchor="kapitola_33622_ods_15" w:tooltip="ods. 15" w:history="1">
        <w:r>
          <w:rPr>
            <w:rStyle w:val="Hypertextovprepojenie"/>
          </w:rPr>
          <w:t>ods. 15</w:t>
        </w:r>
      </w:hyperlink>
      <w:r>
        <w:t>:</w:t>
      </w:r>
    </w:p>
    <w:p w14:paraId="61352599" w14:textId="77777777" w:rsidR="00B650E5" w:rsidRDefault="00B650E5">
      <w:pPr>
        <w:pStyle w:val="Odsekzoznamu"/>
        <w:numPr>
          <w:ilvl w:val="1"/>
          <w:numId w:val="33"/>
        </w:numPr>
        <w:spacing w:before="120" w:after="120"/>
        <w:ind w:left="851" w:hanging="425"/>
        <w:contextualSpacing w:val="0"/>
        <w:jc w:val="both"/>
      </w:pPr>
      <w:r>
        <w:t xml:space="preserve">písm. b), a </w:t>
      </w:r>
    </w:p>
    <w:p w14:paraId="4EF049BB" w14:textId="77777777" w:rsidR="00B650E5" w:rsidRDefault="00B650E5">
      <w:pPr>
        <w:pStyle w:val="Odsekzoznamu"/>
        <w:numPr>
          <w:ilvl w:val="1"/>
          <w:numId w:val="33"/>
        </w:numPr>
        <w:spacing w:before="120" w:after="120"/>
        <w:ind w:left="851" w:hanging="425"/>
        <w:contextualSpacing w:val="0"/>
        <w:jc w:val="both"/>
      </w:pPr>
      <w:r>
        <w:t>písm. c) vtedy, ak RO schváli niektoré z nárokovaných finančných prostriedkov/deklarovaných výdavkov bez nárokovaných finančných prostriedkov/deklarovaných výdavkov, ktoré budú predmetom samostatnej kontroly z dôvodu dopĺňania/zmeny/overenia skutočností na mieste a pod. a</w:t>
      </w:r>
    </w:p>
    <w:p w14:paraId="73495B07" w14:textId="77777777" w:rsidR="00B650E5" w:rsidRDefault="00B650E5" w:rsidP="001B709E">
      <w:pPr>
        <w:pStyle w:val="Odsekzoznamu"/>
        <w:numPr>
          <w:ilvl w:val="1"/>
          <w:numId w:val="33"/>
        </w:numPr>
        <w:spacing w:before="120" w:after="120"/>
        <w:ind w:left="851" w:hanging="425"/>
        <w:contextualSpacing w:val="0"/>
        <w:jc w:val="both"/>
      </w:pPr>
      <w:r>
        <w:t>písm. d) je RO povinný doručiť návrh čiastkovej správy z kontroly/návrh správy z kontroly prijímateľovi s určením lehoty na podanie námietok. RO je povinný poskytnúť prijímateľovi lehotu na podanie námietok v trvaní minimálne 5 pracovných dní. Ak prijímateľ nepodá námietky k</w:t>
      </w:r>
      <w:r w:rsidR="00DC7EAF">
        <w:t> zisteným nedostatkom</w:t>
      </w:r>
      <w:r w:rsidR="0053066F">
        <w:t>, navrhnutým odporúčaniam, opatreniam alebo k lehote na</w:t>
      </w:r>
      <w:r w:rsidR="00FB3000">
        <w:t> </w:t>
      </w:r>
      <w:r w:rsidR="0053066F">
        <w:t xml:space="preserve">predloženie písomného zoznamu splnených opatrení prijatých na nápravu zistených nedostatkov a na odstránenie príčin ich vzniku uvedených </w:t>
      </w:r>
      <w:r w:rsidR="00985B3E">
        <w:t xml:space="preserve">v </w:t>
      </w:r>
      <w:r>
        <w:t>návrhu čiastkovej správy z</w:t>
      </w:r>
      <w:r w:rsidR="00FB3000">
        <w:t> </w:t>
      </w:r>
      <w:r>
        <w:t xml:space="preserve">kontroly/návrhu správy </w:t>
      </w:r>
      <w:r w:rsidR="00985B3E">
        <w:t>z</w:t>
      </w:r>
      <w:r w:rsidR="000F7E20">
        <w:t> </w:t>
      </w:r>
      <w:r w:rsidR="00985B3E">
        <w:t>kontroly</w:t>
      </w:r>
      <w:r w:rsidR="007C2CE4">
        <w:t xml:space="preserve"> </w:t>
      </w:r>
      <w:r>
        <w:t>v lehote stanovenej RO</w:t>
      </w:r>
      <w:r w:rsidR="007C2CE4">
        <w:t>,</w:t>
      </w:r>
      <w:r>
        <w:t xml:space="preserve"> </w:t>
      </w:r>
      <w:r w:rsidR="000F7D38">
        <w:t xml:space="preserve">alebo prijímateľ </w:t>
      </w:r>
      <w:r>
        <w:t>zašle oznámenie o tom, že nemá k</w:t>
      </w:r>
      <w:r w:rsidR="00DC7EAF">
        <w:t> </w:t>
      </w:r>
      <w:r w:rsidR="00985B3E">
        <w:t>zisten</w:t>
      </w:r>
      <w:r w:rsidR="00DC7EAF">
        <w:t>ým nedostatkom</w:t>
      </w:r>
      <w:r w:rsidR="000F7E20">
        <w:t xml:space="preserve">, navrhnutým odporúčaniam, opatreniam alebo k lehote na predloženie písomného zoznamu splnených opatrení prijatých na nápravu zistených nedostatkov a na odstránenie príčin ich vzniku </w:t>
      </w:r>
      <w:r w:rsidR="00985B3E">
        <w:t>uvedený</w:t>
      </w:r>
      <w:r w:rsidR="00DC7EAF">
        <w:t>ch</w:t>
      </w:r>
      <w:r w:rsidR="00985B3E">
        <w:t xml:space="preserve"> v </w:t>
      </w:r>
      <w:r>
        <w:t xml:space="preserve">návrhu čiastkovej správy z kontroly/návrhu správy námietky, </w:t>
      </w:r>
      <w:r w:rsidR="000F7D38">
        <w:t xml:space="preserve">RO </w:t>
      </w:r>
      <w:r>
        <w:t>vypracuje čiastkovú správu z kontroly/správu z kontroly a zašle ju prijímateľovi, pričom momentom ukončenia kontroly je z</w:t>
      </w:r>
      <w:r w:rsidRPr="0053066F">
        <w:t>aslanie</w:t>
      </w:r>
      <w:r>
        <w:t xml:space="preserve"> čiastkovej správy z kontroly/správy z kontroly. V prípade, že prijímateľ zašle v lehote stanovenej RO námietky k</w:t>
      </w:r>
      <w:r w:rsidR="00340770">
        <w:t> </w:t>
      </w:r>
      <w:r w:rsidR="00985B3E">
        <w:t>zisten</w:t>
      </w:r>
      <w:r w:rsidR="00340770">
        <w:t>ým nedostatkom</w:t>
      </w:r>
      <w:r w:rsidR="00B128EA">
        <w:t xml:space="preserve">, navrhnutým odporúčaniam, opatreniam alebo k lehote na predloženie písomného zoznamu splnených opatrení prijatých na nápravu zistených nedostatkov a na odstránenie príčin ich vzniku uvedených v návrhu </w:t>
      </w:r>
      <w:r>
        <w:t xml:space="preserve">čiastkovej správy z kontroly/návrhu správy z kontroly, je RO povinný </w:t>
      </w:r>
      <w:r w:rsidR="00B128EA">
        <w:t xml:space="preserve">zohľadniť </w:t>
      </w:r>
      <w:r>
        <w:t xml:space="preserve">tieto námietky </w:t>
      </w:r>
      <w:r w:rsidR="00985B3E">
        <w:t>a</w:t>
      </w:r>
      <w:r w:rsidR="00B128EA">
        <w:t> odôvodniť ich neopodstatnenosť v čiastkovej správe z kontroly/správe z kontroly.</w:t>
      </w:r>
      <w:r>
        <w:t xml:space="preserve"> RO je povinný zaslať túto čiastkovú správu z kontroly/ správu </w:t>
      </w:r>
      <w:r w:rsidR="00985B3E">
        <w:t xml:space="preserve">z kontroly </w:t>
      </w:r>
      <w:r>
        <w:t xml:space="preserve">prijímateľovi. Kontrola je v tomto prípade ukončená zaslaním správy z kontroly prijímateľovi. </w:t>
      </w:r>
    </w:p>
    <w:p w14:paraId="6036226A" w14:textId="77777777" w:rsidR="00B650E5" w:rsidRDefault="00B650E5">
      <w:pPr>
        <w:pStyle w:val="Odsekzoznamu"/>
        <w:numPr>
          <w:ilvl w:val="0"/>
          <w:numId w:val="33"/>
        </w:numPr>
        <w:spacing w:before="120" w:after="120"/>
        <w:ind w:left="426" w:hanging="426"/>
        <w:contextualSpacing w:val="0"/>
        <w:jc w:val="both"/>
      </w:pPr>
      <w:r>
        <w:t>V prípade, ak RO vyčlenil časť nárokovaných finančných prostriedkov/deklarovaných výdavkov do samostatnej kontroly, môžu byť záverom z tejto samostatnej kontroly deklarovaných výdavkov skutočnosti uvedené v </w:t>
      </w:r>
      <w:hyperlink w:anchor="kapitola_33622_ods_15" w:tooltip="ods. 15" w:history="1">
        <w:r>
          <w:rPr>
            <w:rStyle w:val="Hypertextovprepojenie"/>
          </w:rPr>
          <w:t>ods. 15</w:t>
        </w:r>
      </w:hyperlink>
      <w:r>
        <w:t xml:space="preserve">.  </w:t>
      </w:r>
    </w:p>
    <w:p w14:paraId="17D3148D" w14:textId="77777777" w:rsidR="00B650E5" w:rsidRDefault="00B650E5">
      <w:pPr>
        <w:pStyle w:val="Odsekzoznamu"/>
        <w:numPr>
          <w:ilvl w:val="0"/>
          <w:numId w:val="33"/>
        </w:numPr>
        <w:spacing w:before="120" w:after="120"/>
        <w:ind w:left="426" w:hanging="426"/>
        <w:contextualSpacing w:val="0"/>
        <w:jc w:val="both"/>
      </w:pPr>
      <w:r>
        <w:t xml:space="preserve">V prípade, ak po ukončení kontroly ŽoP bude ŽoP vrátená na RO (napr. z dôvodu zistenia nedostatkov pri kontrole ŽoP z úrovne CO), je RO povinný v stanovenej lehote vykonať novú kontrolu ŽoP. Pri výkone opakovanej kontroly z iného podnetu ako podnetu prijímateľa, RO túto kontrolu vykoná formou finančnej kontroly na mieste </w:t>
      </w:r>
      <w:hyperlink w:anchor="kapitola_33611_ods_9" w:history="1">
        <w:r w:rsidRPr="00D11A8F">
          <w:rPr>
            <w:rStyle w:val="Hypertextovprepojenie"/>
          </w:rPr>
          <w:t>(</w:t>
        </w:r>
        <w:r>
          <w:rPr>
            <w:rStyle w:val="Hypertextovprepojenie"/>
          </w:rPr>
          <w:t>kapitola 3.3.6.1.1 ods.</w:t>
        </w:r>
        <w:r w:rsidR="004E0189">
          <w:rPr>
            <w:rStyle w:val="Hypertextovprepojenie"/>
          </w:rPr>
          <w:t xml:space="preserve"> 10</w:t>
        </w:r>
        <w:r>
          <w:rPr>
            <w:rStyle w:val="Hypertextovprepojenie"/>
          </w:rPr>
          <w:t>).</w:t>
        </w:r>
      </w:hyperlink>
    </w:p>
    <w:p w14:paraId="17C8291C" w14:textId="77777777" w:rsidR="00B650E5" w:rsidRDefault="0053588C">
      <w:pPr>
        <w:spacing w:before="120" w:after="120"/>
        <w:jc w:val="both"/>
      </w:pPr>
      <w:r>
        <w:rPr>
          <w:noProof/>
        </w:rPr>
        <w:lastRenderedPageBreak/>
        <w:drawing>
          <wp:anchor distT="0" distB="0" distL="138684" distR="138684" simplePos="0" relativeHeight="251663360" behindDoc="0" locked="0" layoutInCell="1" allowOverlap="1" wp14:anchorId="7E757A18" wp14:editId="7BD9F376">
            <wp:simplePos x="0" y="0"/>
            <wp:positionH relativeFrom="column">
              <wp:posOffset>181229</wp:posOffset>
            </wp:positionH>
            <wp:positionV relativeFrom="paragraph">
              <wp:posOffset>21209</wp:posOffset>
            </wp:positionV>
            <wp:extent cx="5486400" cy="2895600"/>
            <wp:effectExtent l="57150" t="0" r="57150" b="0"/>
            <wp:wrapSquare wrapText="bothSides"/>
            <wp:docPr id="64" name="Diagram 1143"/>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3" r:lo="rId194" r:qs="rId195" r:cs="rId196"/>
              </a:graphicData>
            </a:graphic>
            <wp14:sizeRelH relativeFrom="page">
              <wp14:pctWidth>0</wp14:pctWidth>
            </wp14:sizeRelH>
            <wp14:sizeRelV relativeFrom="page">
              <wp14:pctHeight>0</wp14:pctHeight>
            </wp14:sizeRelV>
          </wp:anchor>
        </w:drawing>
      </w:r>
    </w:p>
    <w:p w14:paraId="74DDE060" w14:textId="77777777" w:rsidR="00B650E5" w:rsidRDefault="00B650E5">
      <w:pPr>
        <w:pStyle w:val="Odsekzoznamu"/>
        <w:spacing w:before="120" w:after="120"/>
        <w:ind w:left="426"/>
        <w:contextualSpacing w:val="0"/>
        <w:jc w:val="both"/>
      </w:pPr>
    </w:p>
    <w:p w14:paraId="7EF5AE78" w14:textId="77777777" w:rsidR="00B650E5" w:rsidRDefault="00B650E5">
      <w:pPr>
        <w:pStyle w:val="Odsekzoznamu"/>
        <w:spacing w:before="120" w:after="120"/>
        <w:ind w:left="426"/>
        <w:contextualSpacing w:val="0"/>
        <w:jc w:val="both"/>
      </w:pPr>
    </w:p>
    <w:p w14:paraId="32332B81" w14:textId="77777777" w:rsidR="00B650E5" w:rsidRDefault="00B650E5">
      <w:pPr>
        <w:pStyle w:val="Odsekzoznamu"/>
        <w:spacing w:before="120" w:after="120"/>
        <w:ind w:left="426"/>
        <w:contextualSpacing w:val="0"/>
        <w:jc w:val="both"/>
      </w:pPr>
    </w:p>
    <w:p w14:paraId="7018BBB8" w14:textId="77777777" w:rsidR="00B650E5" w:rsidRDefault="00B650E5">
      <w:pPr>
        <w:pStyle w:val="Odsekzoznamu"/>
        <w:spacing w:before="120" w:after="120"/>
        <w:ind w:left="426"/>
        <w:contextualSpacing w:val="0"/>
        <w:jc w:val="both"/>
      </w:pPr>
    </w:p>
    <w:p w14:paraId="7FE66319" w14:textId="77777777" w:rsidR="00B650E5" w:rsidRDefault="00B650E5">
      <w:pPr>
        <w:pStyle w:val="Odsekzoznamu"/>
        <w:spacing w:before="120" w:after="120"/>
        <w:ind w:left="426"/>
        <w:contextualSpacing w:val="0"/>
        <w:jc w:val="both"/>
      </w:pPr>
    </w:p>
    <w:p w14:paraId="4474AD98" w14:textId="77777777" w:rsidR="00B650E5" w:rsidRDefault="00B650E5">
      <w:pPr>
        <w:pStyle w:val="Odsekzoznamu"/>
        <w:spacing w:before="120" w:after="120"/>
        <w:ind w:left="426"/>
        <w:contextualSpacing w:val="0"/>
        <w:jc w:val="both"/>
      </w:pPr>
    </w:p>
    <w:p w14:paraId="4B346F45" w14:textId="77777777" w:rsidR="00B650E5" w:rsidRDefault="00B650E5">
      <w:pPr>
        <w:pStyle w:val="Odsekzoznamu"/>
        <w:spacing w:before="120" w:after="120"/>
        <w:ind w:left="426"/>
        <w:contextualSpacing w:val="0"/>
        <w:jc w:val="both"/>
      </w:pPr>
    </w:p>
    <w:p w14:paraId="359D75BF" w14:textId="77777777" w:rsidR="00B650E5" w:rsidRDefault="00B650E5">
      <w:pPr>
        <w:pStyle w:val="Odsekzoznamu"/>
        <w:spacing w:before="120" w:after="120"/>
        <w:ind w:left="426"/>
        <w:contextualSpacing w:val="0"/>
        <w:jc w:val="both"/>
      </w:pPr>
    </w:p>
    <w:p w14:paraId="74BAE565" w14:textId="77777777" w:rsidR="00B650E5" w:rsidRDefault="00B650E5">
      <w:pPr>
        <w:pStyle w:val="Odsekzoznamu"/>
        <w:spacing w:before="120" w:after="120"/>
        <w:ind w:left="426"/>
        <w:contextualSpacing w:val="0"/>
        <w:jc w:val="both"/>
      </w:pPr>
    </w:p>
    <w:p w14:paraId="40FF38B2" w14:textId="77777777" w:rsidR="00B650E5" w:rsidRDefault="00B650E5">
      <w:pPr>
        <w:pStyle w:val="Odsekzoznamu"/>
        <w:spacing w:before="120" w:after="120"/>
        <w:ind w:left="426"/>
        <w:contextualSpacing w:val="0"/>
        <w:jc w:val="both"/>
      </w:pPr>
    </w:p>
    <w:p w14:paraId="1A2ED8D0" w14:textId="77777777" w:rsidR="00B650E5" w:rsidRDefault="00B650E5">
      <w:pPr>
        <w:pStyle w:val="Odsekzoznamu"/>
        <w:spacing w:before="120" w:after="120"/>
        <w:ind w:left="426"/>
        <w:contextualSpacing w:val="0"/>
        <w:jc w:val="both"/>
      </w:pPr>
    </w:p>
    <w:p w14:paraId="1240565E" w14:textId="77777777" w:rsidR="00B650E5" w:rsidRDefault="00B650E5">
      <w:pPr>
        <w:jc w:val="center"/>
        <w:rPr>
          <w:i/>
          <w:sz w:val="20"/>
        </w:rPr>
      </w:pPr>
      <w:bookmarkStart w:id="326" w:name="_Toc390248450"/>
      <w:r>
        <w:rPr>
          <w:i/>
          <w:sz w:val="20"/>
        </w:rPr>
        <w:t xml:space="preserve">Príklady procesov v rámci výkonu kontroly ŽoP formou administratívnej finančnej </w:t>
      </w:r>
    </w:p>
    <w:p w14:paraId="493E0D78" w14:textId="77777777" w:rsidR="00B650E5" w:rsidRDefault="00B650E5">
      <w:pPr>
        <w:jc w:val="center"/>
        <w:rPr>
          <w:sz w:val="22"/>
        </w:rPr>
      </w:pPr>
      <w:r>
        <w:rPr>
          <w:i/>
          <w:sz w:val="20"/>
        </w:rPr>
        <w:t>kontroly v prípade, ak nie sú kontrolou zistené nedostatky</w:t>
      </w:r>
      <w:r>
        <w:rPr>
          <w:sz w:val="22"/>
        </w:rPr>
        <w:t>.</w:t>
      </w:r>
    </w:p>
    <w:p w14:paraId="6C978CB5" w14:textId="4A5393DA" w:rsidR="00B650E5" w:rsidRDefault="0053588C">
      <w:pPr>
        <w:jc w:val="center"/>
        <w:rPr>
          <w:i/>
          <w:sz w:val="20"/>
        </w:rPr>
      </w:pPr>
      <w:r>
        <w:rPr>
          <w:noProof/>
        </w:rPr>
        <w:drawing>
          <wp:anchor distT="0" distB="0" distL="138684" distR="138684" simplePos="0" relativeHeight="251664384" behindDoc="0" locked="0" layoutInCell="1" allowOverlap="1" wp14:anchorId="735DE2BC" wp14:editId="73D043A6">
            <wp:simplePos x="0" y="0"/>
            <wp:positionH relativeFrom="column">
              <wp:posOffset>266954</wp:posOffset>
            </wp:positionH>
            <wp:positionV relativeFrom="paragraph">
              <wp:posOffset>121793</wp:posOffset>
            </wp:positionV>
            <wp:extent cx="5486400" cy="3104515"/>
            <wp:effectExtent l="57150" t="0" r="57150" b="0"/>
            <wp:wrapTopAndBottom/>
            <wp:docPr id="63" name="Diagram 114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8" r:lo="rId199" r:qs="rId200" r:cs="rId201"/>
              </a:graphicData>
            </a:graphic>
            <wp14:sizeRelH relativeFrom="page">
              <wp14:pctWidth>0</wp14:pctWidth>
            </wp14:sizeRelH>
            <wp14:sizeRelV relativeFrom="page">
              <wp14:pctHeight>0</wp14:pctHeight>
            </wp14:sizeRelV>
          </wp:anchor>
        </w:drawing>
      </w:r>
      <w:r w:rsidR="00B650E5">
        <w:rPr>
          <w:i/>
          <w:sz w:val="20"/>
        </w:rPr>
        <w:t>Príklady procesov v rámci výkonu kontroly ŽoP formou administratívnej finančnej</w:t>
      </w:r>
    </w:p>
    <w:p w14:paraId="0CFDECF9" w14:textId="77777777" w:rsidR="00B650E5" w:rsidRDefault="00B650E5">
      <w:pPr>
        <w:jc w:val="center"/>
        <w:rPr>
          <w:i/>
          <w:sz w:val="20"/>
        </w:rPr>
      </w:pPr>
      <w:r>
        <w:rPr>
          <w:i/>
          <w:sz w:val="20"/>
        </w:rPr>
        <w:t>kontroly v prípade, ak sú kontrolou zistené nedostatky.</w:t>
      </w:r>
    </w:p>
    <w:p w14:paraId="0478D19F" w14:textId="77777777" w:rsidR="00B650E5" w:rsidRDefault="00B650E5">
      <w:pPr>
        <w:pStyle w:val="SRK3"/>
      </w:pPr>
      <w:bookmarkStart w:id="327" w:name="_Toc453234027"/>
      <w:bookmarkStart w:id="328" w:name="_Toc501630080"/>
      <w:bookmarkStart w:id="329" w:name="kapitola_337"/>
      <w:r>
        <w:t>3.3.7 Kontrola verejného obstarávania</w:t>
      </w:r>
      <w:bookmarkEnd w:id="326"/>
      <w:bookmarkEnd w:id="327"/>
      <w:bookmarkEnd w:id="328"/>
    </w:p>
    <w:p w14:paraId="2A0E66FA" w14:textId="77777777" w:rsidR="00B650E5" w:rsidRDefault="00B650E5" w:rsidP="0045286B">
      <w:pPr>
        <w:pStyle w:val="SRK4"/>
      </w:pPr>
      <w:bookmarkStart w:id="330" w:name="_Toc386529562"/>
      <w:bookmarkStart w:id="331" w:name="_Toc390248452"/>
      <w:bookmarkStart w:id="332" w:name="_Toc453234028"/>
      <w:bookmarkStart w:id="333" w:name="_Toc501630081"/>
      <w:bookmarkEnd w:id="329"/>
      <w:r>
        <w:t>3.3.7.1. Všeobecné ustanovenia k výkonu finančnej  kontroly verejného obstarávania</w:t>
      </w:r>
      <w:bookmarkEnd w:id="330"/>
      <w:bookmarkEnd w:id="331"/>
      <w:bookmarkEnd w:id="332"/>
      <w:bookmarkEnd w:id="333"/>
    </w:p>
    <w:p w14:paraId="059150BA" w14:textId="77777777" w:rsidR="00B650E5" w:rsidRPr="005279E2" w:rsidRDefault="00B650E5" w:rsidP="000E286B"/>
    <w:p w14:paraId="32D2A31F" w14:textId="77777777" w:rsidR="00B650E5" w:rsidRDefault="00B650E5" w:rsidP="000E286B">
      <w:pPr>
        <w:pStyle w:val="Odsekzoznamu"/>
        <w:numPr>
          <w:ilvl w:val="0"/>
          <w:numId w:val="235"/>
        </w:numPr>
        <w:jc w:val="both"/>
      </w:pPr>
      <w:bookmarkStart w:id="334" w:name="_Toc386529563"/>
      <w:bookmarkStart w:id="335" w:name="_Toc390248453"/>
      <w:r w:rsidRPr="00763BA9">
        <w:t xml:space="preserve">Kontrola verejného obstarávania, ktorej predmetom je postup zadávania zákazky, preukázateľne začatý </w:t>
      </w:r>
      <w:r>
        <w:t xml:space="preserve">do 17. apríla </w:t>
      </w:r>
      <w:r w:rsidRPr="00763BA9">
        <w:t xml:space="preserve">2016, sa vykoná podľa Systému riadenia EŠIF, verzia 3. </w:t>
      </w:r>
      <w:r w:rsidR="00394938">
        <w:t>U</w:t>
      </w:r>
      <w:r w:rsidR="00B96084">
        <w:t>rčenie finančných opráv</w:t>
      </w:r>
      <w:r w:rsidR="00394938">
        <w:t xml:space="preserve"> sa riadi pravidlami, ktoré sú platné v čase vypracovania návrhu správy z kontroly.</w:t>
      </w:r>
      <w:r>
        <w:t xml:space="preserve">  </w:t>
      </w:r>
    </w:p>
    <w:p w14:paraId="55C8B4E7" w14:textId="77777777" w:rsidR="00B650E5" w:rsidRDefault="00B650E5" w:rsidP="00B5173D">
      <w:pPr>
        <w:numPr>
          <w:ilvl w:val="0"/>
          <w:numId w:val="235"/>
        </w:numPr>
        <w:spacing w:before="120" w:after="120"/>
        <w:ind w:left="426" w:hanging="426"/>
        <w:jc w:val="both"/>
      </w:pPr>
      <w:r>
        <w:t xml:space="preserve">ÚVO vykonáva kontrolu verejného obstarávania financovaného čo aj z časti z prostriedkov Európskej únie podľa ZVO a na základe Dohody o spolupráci medzi CKO a ÚVO. </w:t>
      </w:r>
    </w:p>
    <w:p w14:paraId="0FD0D731" w14:textId="77777777" w:rsidR="00B650E5" w:rsidRDefault="00B650E5">
      <w:pPr>
        <w:numPr>
          <w:ilvl w:val="0"/>
          <w:numId w:val="235"/>
        </w:numPr>
        <w:spacing w:before="120" w:after="120"/>
        <w:ind w:left="426" w:hanging="426"/>
        <w:jc w:val="both"/>
      </w:pPr>
      <w:r>
        <w:lastRenderedPageBreak/>
        <w:t>RO vykonáva finančnú kontrolu dodržania pravidiel SR a EÚ pri obstarávaní tovarov, služieb, stavebných prác a súvisiacich postupov na základe zákona o finančnej kontrole, ktorá zahŕňa kontrolu:</w:t>
      </w:r>
    </w:p>
    <w:p w14:paraId="59DC1B09" w14:textId="77777777" w:rsidR="00B650E5" w:rsidRDefault="00F8333A">
      <w:pPr>
        <w:numPr>
          <w:ilvl w:val="0"/>
          <w:numId w:val="40"/>
        </w:numPr>
        <w:spacing w:before="120" w:after="120"/>
        <w:ind w:left="851" w:hanging="426"/>
        <w:jc w:val="both"/>
      </w:pPr>
      <w:r>
        <w:t>pravidiel</w:t>
      </w:r>
      <w:r w:rsidR="00B650E5">
        <w:t xml:space="preserve"> a postupov stanovených ZVO (ďalej len „finančná kontrola VO“); </w:t>
      </w:r>
    </w:p>
    <w:p w14:paraId="6C0616DC" w14:textId="77777777" w:rsidR="00B650E5" w:rsidRDefault="00B650E5">
      <w:pPr>
        <w:numPr>
          <w:ilvl w:val="0"/>
          <w:numId w:val="40"/>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kapitola 3.3.7.3</w:t>
        </w:r>
      </w:hyperlink>
      <w:r>
        <w:t>.</w:t>
      </w:r>
    </w:p>
    <w:p w14:paraId="40A7FA05" w14:textId="77777777" w:rsidR="00B650E5" w:rsidRDefault="00B650E5" w:rsidP="009D0812">
      <w:pPr>
        <w:numPr>
          <w:ilvl w:val="0"/>
          <w:numId w:val="235"/>
        </w:numPr>
        <w:spacing w:before="120" w:after="120"/>
        <w:ind w:left="425" w:hanging="425"/>
        <w:jc w:val="both"/>
      </w:pPr>
      <w:r>
        <w:t>Cieľom finančnej kontroly VO a kontroly obstarávania je kontrola súladu finančnej operácie s právom SR a EÚ a usmerneniami a metodickými pokynmi CKO a RO. Činnosťou RO nie je dotknutá výlučná a konečná zodpovednosť prijímateľa ako verejného obstarávateľa, obstarávateľa alebo osoby podľa § 8 ZVO za vykonanie VO pri dodržaní všeobecne záväzných právnych predpisov SR a EÚ, základných princípov verejného obstarávania a zmluvy o NFP. Rovnako činnosťou RO nie je dotknutá výlučná a konečná zodpovednosť prijímateľa za obstarávanie aj v prípade, ak tento nie je pri obstarávaní povinný postupovať  podľa ZVO.</w:t>
      </w:r>
    </w:p>
    <w:p w14:paraId="072F74A7" w14:textId="77777777" w:rsidR="00B650E5" w:rsidRDefault="00B650E5">
      <w:pPr>
        <w:numPr>
          <w:ilvl w:val="0"/>
          <w:numId w:val="235"/>
        </w:numPr>
        <w:spacing w:before="120" w:after="120"/>
        <w:ind w:left="425" w:hanging="425"/>
        <w:jc w:val="both"/>
      </w:pPr>
      <w:r>
        <w:t xml:space="preserve">V zmysle článku 125 ods. 4 všeobecného nariadenia je zároveň RO zodpovedný za overenie súladu výdavkov s predpismi EÚ a všeobecne záväznými právnymi predpismi SR. Uvedená povinnosť sa teda vzťahuje aj na kontrolu VO a kontrolu obstarávania. </w:t>
      </w:r>
    </w:p>
    <w:p w14:paraId="429ACE2F" w14:textId="77777777" w:rsidR="00B650E5" w:rsidRDefault="00B650E5">
      <w:pPr>
        <w:numPr>
          <w:ilvl w:val="0"/>
          <w:numId w:val="235"/>
        </w:numPr>
        <w:spacing w:before="120" w:after="120"/>
        <w:ind w:left="425" w:hanging="425"/>
        <w:jc w:val="both"/>
      </w:pPr>
      <w:r>
        <w:t>RO kontroluje dodržiavanie základných princípov VO, ktorými sú:</w:t>
      </w:r>
    </w:p>
    <w:p w14:paraId="47E4BEA9" w14:textId="77777777" w:rsidR="00B650E5" w:rsidRDefault="00B650E5">
      <w:pPr>
        <w:numPr>
          <w:ilvl w:val="0"/>
          <w:numId w:val="41"/>
        </w:numPr>
        <w:tabs>
          <w:tab w:val="clear" w:pos="720"/>
        </w:tabs>
        <w:spacing w:before="120" w:after="120"/>
        <w:ind w:left="850" w:hanging="425"/>
        <w:jc w:val="both"/>
      </w:pPr>
      <w:r>
        <w:t>rovnaké zaobchádzanie;</w:t>
      </w:r>
    </w:p>
    <w:p w14:paraId="2D732E37" w14:textId="77777777" w:rsidR="00B650E5" w:rsidRDefault="00B650E5">
      <w:pPr>
        <w:numPr>
          <w:ilvl w:val="0"/>
          <w:numId w:val="41"/>
        </w:numPr>
        <w:tabs>
          <w:tab w:val="clear" w:pos="720"/>
        </w:tabs>
        <w:spacing w:before="120" w:after="120"/>
        <w:ind w:left="850" w:hanging="425"/>
        <w:jc w:val="both"/>
      </w:pPr>
      <w:r>
        <w:t>nediskriminácia hospodárskych subjektov;</w:t>
      </w:r>
    </w:p>
    <w:p w14:paraId="36C0BF22" w14:textId="77777777" w:rsidR="00B650E5" w:rsidRDefault="00B650E5">
      <w:pPr>
        <w:numPr>
          <w:ilvl w:val="0"/>
          <w:numId w:val="41"/>
        </w:numPr>
        <w:tabs>
          <w:tab w:val="clear" w:pos="720"/>
        </w:tabs>
        <w:spacing w:before="120" w:after="120"/>
        <w:ind w:left="850" w:hanging="425"/>
        <w:jc w:val="both"/>
      </w:pPr>
      <w:r>
        <w:t>transparentnosť vrátane vylúčenia konfliktu záujmov; problematika konfliktu záujmov v rámci výkonu kontroly je upravená v metodickom pokyne CKO</w:t>
      </w:r>
      <w:r>
        <w:rPr>
          <w:rStyle w:val="Odkaznapoznmkupodiarou"/>
        </w:rPr>
        <w:footnoteReference w:id="107"/>
      </w:r>
      <w:r>
        <w:t>;</w:t>
      </w:r>
    </w:p>
    <w:p w14:paraId="1B715C50" w14:textId="77777777" w:rsidR="00B650E5" w:rsidRDefault="00B650E5">
      <w:pPr>
        <w:numPr>
          <w:ilvl w:val="0"/>
          <w:numId w:val="41"/>
        </w:numPr>
        <w:tabs>
          <w:tab w:val="clear" w:pos="720"/>
        </w:tabs>
        <w:spacing w:before="120" w:after="120"/>
        <w:ind w:left="850" w:hanging="425"/>
        <w:jc w:val="both"/>
      </w:pPr>
      <w:r>
        <w:t>hospodárnosť a efektívnosť,</w:t>
      </w:r>
    </w:p>
    <w:p w14:paraId="66EF1E2F" w14:textId="77777777" w:rsidR="00B650E5" w:rsidRDefault="00B650E5">
      <w:pPr>
        <w:numPr>
          <w:ilvl w:val="0"/>
          <w:numId w:val="41"/>
        </w:numPr>
        <w:tabs>
          <w:tab w:val="clear" w:pos="720"/>
        </w:tabs>
        <w:spacing w:before="120" w:after="120"/>
        <w:ind w:left="850" w:hanging="425"/>
        <w:jc w:val="both"/>
      </w:pPr>
      <w:r>
        <w:t>proporcionalita.</w:t>
      </w:r>
    </w:p>
    <w:p w14:paraId="7E65E8F5" w14:textId="77777777" w:rsidR="00B650E5" w:rsidRDefault="00B650E5">
      <w:pPr>
        <w:numPr>
          <w:ilvl w:val="0"/>
          <w:numId w:val="235"/>
        </w:numPr>
        <w:spacing w:before="120" w:after="120"/>
        <w:ind w:left="426" w:hanging="426"/>
        <w:jc w:val="both"/>
      </w:pPr>
      <w:r>
        <w:t>Účelom finančnej kontroly VO a kontroly obstarávania je zabezpečiť hospodárne a efektívne, účinné a účelné využitie prostriedkov rozpočtu verejnej správy vyčlenených na príslušný OP a overiť primeranosť nárokovaných výdavkov pri dodržaní podmienok zmluvy o NFP a príslušných všeobecne záväzných právnych predpisov SR a EÚ. RO postupuje pri overovaní hospodárnosti a primeranosti výdavkov v rámci finančnej kontroly VO a kontroly obstarávania podľa základných pravidiel overovania hospodárnosti výdavkov, pričom medzi najčastejšie používané pomocné nástroje patria finančné limity na úrovni jednotkových výdavkov, percentuálne limity pre jednotlivé skupiny výdavkov, prieskum trhu alebo stanovenie benchmarkov. Pravidlá overovania hospodárnosti výdavkov upravil CKO v metodickom pokyne</w:t>
      </w:r>
      <w:r>
        <w:rPr>
          <w:rStyle w:val="Odkaznapoznmkupodiarou"/>
        </w:rPr>
        <w:footnoteReference w:id="108"/>
      </w:r>
      <w:r>
        <w:t xml:space="preserve">. </w:t>
      </w:r>
    </w:p>
    <w:p w14:paraId="26A6F0D2" w14:textId="77777777" w:rsidR="00B650E5" w:rsidRDefault="00B650E5">
      <w:pPr>
        <w:numPr>
          <w:ilvl w:val="0"/>
          <w:numId w:val="235"/>
        </w:numPr>
        <w:spacing w:before="120" w:after="120"/>
        <w:ind w:left="426" w:hanging="426"/>
        <w:jc w:val="both"/>
      </w:pPr>
      <w:bookmarkStart w:id="336" w:name="kapitola_3371_ods_7"/>
      <w:bookmarkStart w:id="337" w:name="kapitola_3371_ods_8"/>
      <w:bookmarkEnd w:id="336"/>
      <w:bookmarkEnd w:id="337"/>
      <w:r>
        <w:t>Výdavky deklarované v ŽoP, ktoré vznikli v súvislosti s realizáciou výsledku VO alebo obstarávania nemôžu byť zo strany RO schválené skôr, ako RO riadne ukončí kontrolu VO, pričom záverom RO je na základe vykonanej kontroly pripustenie predmetných výdavkov do financovania.  Ak napriek uvedenému prijímateľ predloží takúto ŽoP na RO, je RO oprávnený takúto ŽoP zamietnuť.  Ak zo strany RO nedôjde k zamietnutiu ŽoP, pokračuje RO vo výkone kontroly ŽoP, pričom je oprávnený rozhodnúť o prerušení plynutia tejto lehoty v zmysle článku 132 všeobecného nariadenia do momentu ukončenia finančnej kontroly VO alebo kontroly obstarávania.</w:t>
      </w:r>
    </w:p>
    <w:p w14:paraId="6D717ED4" w14:textId="77777777" w:rsidR="00B650E5" w:rsidRDefault="00B650E5" w:rsidP="00D63995">
      <w:pPr>
        <w:numPr>
          <w:ilvl w:val="0"/>
          <w:numId w:val="235"/>
        </w:numPr>
        <w:spacing w:before="120" w:after="120"/>
        <w:jc w:val="both"/>
      </w:pPr>
      <w:r>
        <w:lastRenderedPageBreak/>
        <w:t xml:space="preserve">Predmetom kontroly vykonávanej RO 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zadaním/riešením a pod.), a to ako súčasť finančnej kontroly VO, kontroly obstarávania, alebo ako súčasť kontroly ŽoP. V prípade projektov podľa kapitoly 3.3.7.2.8 môže byť súčasťou kontroly VO alebo kontroly obstarávania aj vecná kontrola súladu  predmetu obstarávania, návrhu zmluvných podmienok a iných údajov s opisom projektu. Pokiaľ RO určí, že predmetom finančnej kontroly VO, kontroly obstarávania bude aj takéto posúdenie, zadefinuje si túto kontrolnú oblasť vo svojej riadiacej dokumentácii a v zmluve o NFP, resp. v inom záväznom dokumente, na ktorý zmluva o NFP odkazuje, pričom v tomto prípade sa jedná o rozšírenie finančnej kontroly VO alebo kontroly obstarávania, nie o samostatný druh kontroly. Pokiaľ RO určí vo svojej riadiacej dokumentácii aj výkon takejto kontroly, ktorá bude súčasťou finančnej kontroly VO alebo kontroly obstarávania, je povinný  pri výkone tejto kontroly jasne zadefinovať rozsah a obsah tejto kontroly a dodržiavať pri jej uplatňovaní princíp rovnakého zaobchádzania. Vecná kontrola </w:t>
      </w:r>
      <w:r w:rsidRPr="00D028D0">
        <w:t>súladu predmetu obstarávania, návrhu zmluvných podmienok a iných údajov so schválenou ŽoNFP</w:t>
      </w:r>
      <w:r>
        <w:t xml:space="preserve">, </w:t>
      </w:r>
      <w:r w:rsidRPr="00D028D0">
        <w:t>účinnou zmluvou o</w:t>
      </w:r>
      <w:r>
        <w:t> </w:t>
      </w:r>
      <w:r w:rsidRPr="00D028D0">
        <w:t>NFP</w:t>
      </w:r>
      <w:r>
        <w:t>, resp. opisom projektu v prípade projektov podľa kapitoly 3.3.7.2.8</w:t>
      </w:r>
      <w:r w:rsidRPr="00D028D0">
        <w:t xml:space="preserve"> </w:t>
      </w:r>
      <w:r>
        <w:t>(ďalej aj ako „vecná kontrola verejného obstarávania“) je v kompetencii RO aj v prípade, že kontrolu súladu postupu prijímateľa so ZVO vykonal ÚVO. Pokiaľ RO neurčí, že súčasťou finančnej kontroly VO alebo kontroly obstarávania bude aj takéto posúdenie, je povinný doplniť tento predmet kontroly ku kontrole ŽoP</w:t>
      </w:r>
      <w:r w:rsidR="007324D5">
        <w:t>,</w:t>
      </w:r>
      <w:r>
        <w:t xml:space="preserve"> a to najneskôr pri kontrole oprávnenosti príslušných výdavkov pri kontrole ŽoP. Ustanovenia tohto odseku sa vzťahujú aj na údaje v rozhodnutí o schválení ŽoNFP v prípade, ak prijímateľ a RO je tá istá osoba. </w:t>
      </w:r>
    </w:p>
    <w:p w14:paraId="361B835A" w14:textId="77777777" w:rsidR="00B650E5" w:rsidRDefault="00B650E5">
      <w:pPr>
        <w:numPr>
          <w:ilvl w:val="0"/>
          <w:numId w:val="235"/>
        </w:numPr>
        <w:spacing w:before="120" w:after="120"/>
        <w:ind w:left="426" w:hanging="426"/>
        <w:jc w:val="both"/>
      </w:pPr>
      <w:r>
        <w:t xml:space="preserve">Povinnosť  predloženia dokumentácie na </w:t>
      </w:r>
      <w:r w:rsidR="009549C1">
        <w:t xml:space="preserve">finančnú </w:t>
      </w:r>
      <w:r>
        <w:t xml:space="preserve">kontrolu VO pred predložením prvej ŽoP v zmysle </w:t>
      </w:r>
      <w:r w:rsidRPr="000E286B">
        <w:t xml:space="preserve">ods. </w:t>
      </w:r>
      <w:r>
        <w:t>9 sa nevzťahuje na zákazky s nízkymi hodnotami podľa § 117 ZVO, ktoré môže prijímateľ predložiť na kontrolu aj súčasne so ŽoP, ktorá obsahuje deklarované výdavky súvisiace s predmetným VO. Možnosť  predložiť dokumentáciu k VO pri zákazkách s nízkymi hodnotami podľa § 117 ZVO súčasne so ŽoP  sa však nevzťahuje na</w:t>
      </w:r>
      <w:r w:rsidR="009549C1">
        <w:t> </w:t>
      </w:r>
      <w:r>
        <w:t>prípady, keď je úhrada týchto deklarovaných výdavkov nárokovaná v ŽoP, ktorá má formu predfinancovania.</w:t>
      </w:r>
    </w:p>
    <w:p w14:paraId="588AE2BE" w14:textId="7E16E6A2" w:rsidR="00B650E5" w:rsidRDefault="00B650E5" w:rsidP="009D6DF9">
      <w:pPr>
        <w:numPr>
          <w:ilvl w:val="0"/>
          <w:numId w:val="235"/>
        </w:numPr>
        <w:spacing w:before="120" w:after="120"/>
        <w:ind w:left="426" w:hanging="426"/>
        <w:jc w:val="both"/>
      </w:pPr>
      <w:r>
        <w:t>Lehoty na výkon finančnej kontroly VO alebo kontroly obstarávania začínajú pre RO plynúť dňom nasledujúcim po dni doručenia dokumentácie</w:t>
      </w:r>
      <w:r w:rsidR="00875045">
        <w:t xml:space="preserve">. Ak dokumentácia nie je kompletná, požiada RO </w:t>
      </w:r>
      <w:r w:rsidR="00AD73AC">
        <w:t>o</w:t>
      </w:r>
      <w:r w:rsidR="00875045">
        <w:t> jej doplnenie a lehota na výkon finančnej kontroly VO sa prerušuje. Rovnako v</w:t>
      </w:r>
      <w:r w:rsidR="006D756C">
        <w:t xml:space="preserve"> prípade podania námietok, resp. plynutia lehoty na podanie námietok proti návrhu správy z kontroly, sa lehota na výkon finančnej kontroly VO prerušuje. </w:t>
      </w:r>
      <w:r>
        <w:t>Prijímateľ má možnosť späťvzatia dokumentácie k verejnému obstarávaniu alebo obstarávaniu, ktorá bola predložená na RO za</w:t>
      </w:r>
      <w:r w:rsidR="00481982">
        <w:t> </w:t>
      </w:r>
      <w:r>
        <w:t xml:space="preserve">účelom výkonu finančnej kontroly VO alebo kontroly obstarávania, a to so súhlasom dotknutého RO. </w:t>
      </w:r>
      <w:r w:rsidR="00462291">
        <w:t>RO je povinný</w:t>
      </w:r>
      <w:r w:rsidR="00462291" w:rsidRPr="00462291">
        <w:t xml:space="preserve"> dokončiť kontro</w:t>
      </w:r>
      <w:r w:rsidR="00462291">
        <w:t>lu aj späťvzatej dokumentácie, a to formou vydania s</w:t>
      </w:r>
      <w:r w:rsidR="00462291" w:rsidRPr="00462291">
        <w:t>právy z kontroly, kde bud</w:t>
      </w:r>
      <w:r w:rsidR="00875045">
        <w:t xml:space="preserve">e uvedené, že finančnú operáciu </w:t>
      </w:r>
      <w:r w:rsidR="006D756C">
        <w:t xml:space="preserve">je potrebné zastaviť a výdavky </w:t>
      </w:r>
      <w:r w:rsidR="00462291" w:rsidRPr="00462291">
        <w:t>z predmetného VO nebudú pripustené do financovania v plnom rozsahu</w:t>
      </w:r>
      <w:r w:rsidR="00462291">
        <w:t xml:space="preserve">. </w:t>
      </w:r>
      <w:r>
        <w:t>Ak prijímateľ opätovne predloží dokumentáciu na finančnú kontrolu, lehoty začínajú plynúť odznovu.</w:t>
      </w:r>
    </w:p>
    <w:p w14:paraId="63298510" w14:textId="77777777" w:rsidR="00B650E5" w:rsidRDefault="00B650E5">
      <w:pPr>
        <w:numPr>
          <w:ilvl w:val="0"/>
          <w:numId w:val="235"/>
        </w:numPr>
        <w:spacing w:before="120" w:after="120"/>
        <w:ind w:left="426" w:hanging="426"/>
        <w:jc w:val="both"/>
      </w:pPr>
      <w:r>
        <w:t xml:space="preserve">Pri výkone finančnej kontroly VO a kontroly obstarávania postupuje RO okrem postupov uvedených v tejto časti aj v súlade so základnými povinnosťami a oprávneniami RO pri 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V prípade, ak je určitý postup zadávania zákazky predmetom finančnej kontroly verejného obstarávania alebo obstarávania zo strany viacerých RO, postupuje sa v prípade rôznych záverov kontroly primerane podľa ods. 4 kapitoly 3.3.7.2.6. Na overenie skutočnosti, či je určitý postup zadávania zákazky predmetom finančnej kontroly viacerých RO, je možné využiť ITMS 2014+. Rovnako RO pri výkone finančnej kontroly VO a kontroly obstarávania v oblasti výstupov kontroly </w:t>
      </w:r>
      <w:r>
        <w:lastRenderedPageBreak/>
        <w:t>a ukončenia kontroly postupuje v súlade s postupmi upravenými v rámci kontroly projektov. CKO vyd</w:t>
      </w:r>
      <w:r w:rsidR="00E20643">
        <w:t>al</w:t>
      </w:r>
      <w:r>
        <w:t xml:space="preserve"> vzor</w:t>
      </w:r>
      <w:r>
        <w:rPr>
          <w:rStyle w:val="Odkaznapoznmkupodiarou"/>
        </w:rPr>
        <w:footnoteReference w:id="109"/>
      </w:r>
      <w:r>
        <w:t xml:space="preserve"> kontrolných zoznamov pre výkon finančnej kontroly VO a obstarávania. </w:t>
      </w:r>
    </w:p>
    <w:p w14:paraId="4AE2A22F" w14:textId="77777777" w:rsidR="00B650E5" w:rsidRDefault="00B650E5">
      <w:pPr>
        <w:numPr>
          <w:ilvl w:val="0"/>
          <w:numId w:val="235"/>
        </w:numPr>
        <w:spacing w:before="120" w:after="120"/>
        <w:ind w:left="426" w:hanging="426"/>
        <w:jc w:val="both"/>
      </w:pPr>
      <w:r>
        <w:t xml:space="preserve">V prípadoch spolupráce pri kontrole VO medzi RO a ÚVO, RO a PMÚ, </w:t>
      </w:r>
      <w:r w:rsidR="00D23763">
        <w:t>RO a</w:t>
      </w:r>
      <w:r w:rsidR="008B7D1F">
        <w:t> orgánmi, činnými v trestnom konaní</w:t>
      </w:r>
      <w:r w:rsidR="00D23763">
        <w:t>,</w:t>
      </w:r>
      <w:r w:rsidR="008B7D1F">
        <w:t xml:space="preserve"> </w:t>
      </w:r>
      <w:r>
        <w:t xml:space="preserve">štatutárny orgán RO </w:t>
      </w:r>
      <w:r w:rsidR="00E20643">
        <w:t xml:space="preserve">oslobodí od povinnosti </w:t>
      </w:r>
      <w:r>
        <w:t xml:space="preserve">mlčanlivosti v zmysle § 27 ods. 3 zákona o finančnej kontrole tých zamestnancov RO alebo prizvané osoby, ktorí sa podieľali na kontrole VO. Rovnaká povinnosť </w:t>
      </w:r>
      <w:r w:rsidR="00E20643">
        <w:t xml:space="preserve">oslobodenia od povinnosti </w:t>
      </w:r>
      <w:r>
        <w:t>mlčanlivosti sa týka aj postupov pri</w:t>
      </w:r>
      <w:r w:rsidR="00E20643">
        <w:t> </w:t>
      </w:r>
      <w:r>
        <w:t>výkone kontroly centrálnych VO podľa kapitoly 3.3.7.2.6.</w:t>
      </w:r>
    </w:p>
    <w:p w14:paraId="7374CA13" w14:textId="77777777" w:rsidR="00B650E5" w:rsidRDefault="00E20643" w:rsidP="009D6DF9">
      <w:pPr>
        <w:numPr>
          <w:ilvl w:val="0"/>
          <w:numId w:val="235"/>
        </w:numPr>
        <w:spacing w:before="120" w:after="120"/>
        <w:ind w:left="426" w:hanging="426"/>
        <w:jc w:val="both"/>
      </w:pPr>
      <w:r w:rsidRPr="00E20643">
        <w:t>Ak RO vykonáva kontrolu opakovane, kontrolu vykonáva ako administratívnu finančnú kontrolu alebo finančnú kontrolu na mieste. Administratívna finančná kontrola začína prvým úkonom povinnej osoby (prijímateľ</w:t>
      </w:r>
      <w:r w:rsidR="0039101A">
        <w:t>a</w:t>
      </w:r>
      <w:r w:rsidRPr="00E20643">
        <w:t xml:space="preserve">) voči oprávnenej osobe (RO). Prvým úkonom povinnej osoby sa </w:t>
      </w:r>
      <w:r w:rsidR="00875045">
        <w:t xml:space="preserve">                  </w:t>
      </w:r>
      <w:r w:rsidRPr="00E20643">
        <w:t xml:space="preserve">v rámci opakovane vykonávanej kontroly môže rozumieť napr. aj predloženie dokumentácie RO (napr. dodatočná dokumentácia k ŽoP/VO a pod.), opakované predloženie súpisu kompletnej dokumentácie na základe žiadosti RO, predloženie výsledku kontroly iného orgánu, ktorý súvisí so skutočnosťami overovanými RO v rámci kontroly, potvrdenie prijímateľa o tom, či nastali/nenastali nové skutočnosti, ktoré by mal RO zohľadniť pri opakovane vykonanej kontrole, ktoré je predložené na základe žiadosti RO. </w:t>
      </w:r>
      <w:r w:rsidR="0039101A">
        <w:t>U</w:t>
      </w:r>
      <w:r w:rsidRPr="00E20643">
        <w:t>vedené je potrebné bližšie upraviť v záväzných dokumentoch určených prijímateľovi. Ak RO plánuje opakovanú kontrolu vykonať ako administratívnu finančnú kontrolu, odporúča sa, aby RO o potrebe vykonať kontrolu opakovane informoval prijímateľa. Ak prijímateľ ako povinná osoba nevykoná úkon, ktorý by mohol byť v</w:t>
      </w:r>
      <w:r w:rsidR="00CC48CB">
        <w:t> </w:t>
      </w:r>
      <w:r w:rsidRPr="00E20643">
        <w:t>zmysle § 20 ods. 1 zákona o finančnej kontrole považovaný za prvý úkon povinnej osoby, potom RO vykoná opakovanú kontrolu ako finančnú kontrolu na mieste. Finančná kontrola na mieste sa vykonáva spravidla na mieste realizácie projektu alebo v priestoroch prijímateľa</w:t>
      </w:r>
      <w:r w:rsidR="0039101A">
        <w:t>.</w:t>
      </w:r>
    </w:p>
    <w:p w14:paraId="62793569" w14:textId="77777777" w:rsidR="00B650E5" w:rsidRDefault="00B650E5" w:rsidP="009D6DF9">
      <w:pPr>
        <w:numPr>
          <w:ilvl w:val="0"/>
          <w:numId w:val="235"/>
        </w:numPr>
        <w:spacing w:before="120" w:after="120"/>
        <w:ind w:left="426" w:hanging="426"/>
        <w:jc w:val="both"/>
      </w:pPr>
      <w:r w:rsidRPr="00AE7867">
        <w:t xml:space="preserve">Pod pojmom návrh správy z kontroly/správa z kontroly sa pre účely kapitoly 3.3.7 </w:t>
      </w:r>
      <w:r>
        <w:t xml:space="preserve">a jej podkapitol </w:t>
      </w:r>
      <w:r w:rsidRPr="00AE7867">
        <w:t xml:space="preserve">rozumie aj návrh čiastkovej správy z kontroly/čiastková správa z kontroly, ak </w:t>
      </w:r>
      <w:r>
        <w:t>je to relevantné.</w:t>
      </w:r>
    </w:p>
    <w:p w14:paraId="5F02D662" w14:textId="77777777" w:rsidR="00B650E5" w:rsidRDefault="00B650E5" w:rsidP="0045286B">
      <w:pPr>
        <w:pStyle w:val="SRK4"/>
      </w:pPr>
      <w:bookmarkStart w:id="338" w:name="_Toc453234029"/>
      <w:bookmarkStart w:id="339" w:name="_Toc501630082"/>
      <w:bookmarkStart w:id="340" w:name="kapitola_3372"/>
      <w:bookmarkStart w:id="341" w:name="_Toc378947522"/>
      <w:bookmarkEnd w:id="334"/>
      <w:bookmarkEnd w:id="335"/>
      <w:r>
        <w:t>3.3.7.2</w:t>
      </w:r>
      <w:r w:rsidRPr="005531C5">
        <w:t xml:space="preserve">.  </w:t>
      </w:r>
      <w:r w:rsidRPr="00AB2DCC">
        <w:t>Finančná</w:t>
      </w:r>
      <w:r w:rsidRPr="005531C5">
        <w:t xml:space="preserve"> kontrola</w:t>
      </w:r>
      <w:r w:rsidRPr="00A639B7">
        <w:t xml:space="preserve"> pravidiel</w:t>
      </w:r>
      <w:r>
        <w:t xml:space="preserve"> a postupov stanovených ZVO – všeobecné pravidlá</w:t>
      </w:r>
      <w:bookmarkEnd w:id="338"/>
      <w:bookmarkEnd w:id="339"/>
    </w:p>
    <w:bookmarkEnd w:id="340"/>
    <w:p w14:paraId="0AE75442" w14:textId="77777777" w:rsidR="00B650E5" w:rsidRDefault="00B650E5">
      <w:pPr>
        <w:numPr>
          <w:ilvl w:val="0"/>
          <w:numId w:val="236"/>
        </w:numPr>
        <w:spacing w:before="120" w:after="120"/>
        <w:ind w:left="426" w:hanging="426"/>
        <w:jc w:val="both"/>
      </w:pPr>
      <w:r>
        <w:t>Finančná kontrola VO sa podľa času vykonávania, rozsahu a predmetu tejto kontroly delí na nasledovné druhy:</w:t>
      </w:r>
    </w:p>
    <w:p w14:paraId="6798159B" w14:textId="77777777" w:rsidR="00B650E5" w:rsidRDefault="00B650E5">
      <w:pPr>
        <w:numPr>
          <w:ilvl w:val="0"/>
          <w:numId w:val="42"/>
        </w:numPr>
        <w:spacing w:before="120" w:after="120"/>
        <w:ind w:left="851" w:hanging="426"/>
        <w:jc w:val="both"/>
      </w:pPr>
      <w:r>
        <w:t xml:space="preserve">ex ante kontrola pred vyhlásením VO (ďalej len „prvá </w:t>
      </w:r>
      <w:r w:rsidR="00FB1D18">
        <w:t>ex ante</w:t>
      </w:r>
      <w:r>
        <w:t xml:space="preserve"> kontrola“),</w:t>
      </w:r>
    </w:p>
    <w:p w14:paraId="5081CCE6" w14:textId="77777777" w:rsidR="00B650E5" w:rsidRDefault="00FB1D18">
      <w:pPr>
        <w:numPr>
          <w:ilvl w:val="0"/>
          <w:numId w:val="42"/>
        </w:numPr>
        <w:spacing w:before="120" w:after="120"/>
        <w:ind w:left="851" w:hanging="426"/>
        <w:jc w:val="both"/>
      </w:pPr>
      <w:r>
        <w:t>ex ante</w:t>
      </w:r>
      <w:r w:rsidR="00B650E5">
        <w:t xml:space="preserve"> kontrola pred podpisom zmluvy s úspešným uchádzačom (ďalej len „druhá </w:t>
      </w:r>
      <w:r>
        <w:t>ex ante</w:t>
      </w:r>
      <w:r w:rsidR="00B650E5">
        <w:t xml:space="preserve"> kontrola“), </w:t>
      </w:r>
    </w:p>
    <w:p w14:paraId="1E9E7B7C" w14:textId="77777777" w:rsidR="00B650E5" w:rsidRDefault="00B650E5">
      <w:pPr>
        <w:numPr>
          <w:ilvl w:val="0"/>
          <w:numId w:val="42"/>
        </w:numPr>
        <w:spacing w:before="120" w:after="120"/>
        <w:ind w:left="851" w:hanging="426"/>
        <w:jc w:val="both"/>
      </w:pPr>
      <w:r>
        <w:t xml:space="preserve">ex post kontrola (štandardná alebo následná), </w:t>
      </w:r>
    </w:p>
    <w:p w14:paraId="40F3F50D" w14:textId="77777777" w:rsidR="00B650E5" w:rsidRDefault="00B650E5">
      <w:pPr>
        <w:numPr>
          <w:ilvl w:val="0"/>
          <w:numId w:val="42"/>
        </w:numPr>
        <w:spacing w:before="120" w:after="120"/>
        <w:ind w:left="851" w:hanging="426"/>
        <w:jc w:val="both"/>
      </w:pPr>
      <w:r>
        <w:t>kontrola dodatkov.</w:t>
      </w:r>
    </w:p>
    <w:p w14:paraId="6A0CC59E" w14:textId="77777777" w:rsidR="00B650E5" w:rsidRDefault="00B650E5">
      <w:pPr>
        <w:spacing w:before="120" w:after="120"/>
        <w:ind w:left="426"/>
        <w:jc w:val="both"/>
      </w:pPr>
      <w:r>
        <w:t xml:space="preserve">RO vykoná príslušnú kontrolu vzhľadom na stav, v akom sa VO nachádza v momente po podpise zmluvy o  NFP. </w:t>
      </w:r>
    </w:p>
    <w:p w14:paraId="07062CB2" w14:textId="77777777" w:rsidR="00B650E5" w:rsidRDefault="00B650E5">
      <w:pPr>
        <w:numPr>
          <w:ilvl w:val="0"/>
          <w:numId w:val="236"/>
        </w:numPr>
        <w:spacing w:before="120" w:after="120"/>
        <w:ind w:left="426" w:hanging="426"/>
        <w:jc w:val="both"/>
      </w:pPr>
      <w:r>
        <w:t xml:space="preserve">Prvá </w:t>
      </w:r>
      <w:r w:rsidR="00FB1D18">
        <w:t>ex ante</w:t>
      </w:r>
      <w:r>
        <w:t xml:space="preserve"> kontrola sa vykonáva ako:</w:t>
      </w:r>
    </w:p>
    <w:p w14:paraId="12ED6A87" w14:textId="77777777" w:rsidR="00B650E5" w:rsidRDefault="00B650E5">
      <w:pPr>
        <w:numPr>
          <w:ilvl w:val="0"/>
          <w:numId w:val="47"/>
        </w:numPr>
        <w:spacing w:before="120" w:after="120"/>
        <w:ind w:left="851" w:hanging="425"/>
        <w:jc w:val="both"/>
      </w:pPr>
      <w:r>
        <w:t>finančná kontrola po podpise zmluvy o NFP, alebo</w:t>
      </w:r>
    </w:p>
    <w:p w14:paraId="2736F330" w14:textId="77777777" w:rsidR="00A920E3" w:rsidRDefault="00B650E5">
      <w:pPr>
        <w:numPr>
          <w:ilvl w:val="0"/>
          <w:numId w:val="47"/>
        </w:numPr>
        <w:spacing w:before="120" w:after="120"/>
        <w:ind w:left="851" w:hanging="425"/>
        <w:jc w:val="both"/>
      </w:pPr>
      <w:r>
        <w:t>finančná kontrola VO pred podpisom zmluvy o NFP v rámci národných projektov, veľkých projektov, ktoré sú súčasťou zoznamu projektov a kontrola projektov technickej pomoci, pokiaľ RO určil tento typ kontroly ako povinný</w:t>
      </w:r>
      <w:r w:rsidR="00A920E3">
        <w:t>, alebo</w:t>
      </w:r>
    </w:p>
    <w:p w14:paraId="391C89EC" w14:textId="4F9AC937" w:rsidR="00B650E5" w:rsidRDefault="00A920E3" w:rsidP="00A920E3">
      <w:pPr>
        <w:numPr>
          <w:ilvl w:val="0"/>
          <w:numId w:val="47"/>
        </w:numPr>
        <w:spacing w:before="120" w:after="120"/>
        <w:jc w:val="both"/>
      </w:pPr>
      <w:r>
        <w:lastRenderedPageBreak/>
        <w:t>f</w:t>
      </w:r>
      <w:r w:rsidRPr="00A920E3">
        <w:t>inančná kontrola VO pred podpisom zmluvy o NFP v rámci dopytovo</w:t>
      </w:r>
      <w:r>
        <w:t>-</w:t>
      </w:r>
      <w:r w:rsidRPr="00A920E3">
        <w:t xml:space="preserve">orientovaných projektov, pokiaľ RO stanoví možnosť predkladania VO v rámci </w:t>
      </w:r>
      <w:r>
        <w:t>v</w:t>
      </w:r>
      <w:r w:rsidRPr="00A920E3">
        <w:t>ýzvy</w:t>
      </w:r>
      <w:r>
        <w:t>.</w:t>
      </w:r>
    </w:p>
    <w:p w14:paraId="16E3E426" w14:textId="77777777" w:rsidR="00B650E5" w:rsidRDefault="00B650E5" w:rsidP="000E286B">
      <w:pPr>
        <w:spacing w:before="120" w:after="120"/>
        <w:ind w:left="426"/>
        <w:jc w:val="both"/>
      </w:pPr>
      <w:r>
        <w:t xml:space="preserve">V prípade </w:t>
      </w:r>
      <w:r w:rsidRPr="00C65CA5">
        <w:t>VO, v rámci ktorého viacerí prijímatelia nadobúdajú tovary, práce alebo služby prostredníctvom centrálnej obstarávacej organizácie</w:t>
      </w:r>
      <w:r w:rsidRPr="00AD1B11">
        <w:t xml:space="preserve"> </w:t>
      </w:r>
      <w:r>
        <w:t>sa v zmysle kapitoly 3.3.7.2.6 vykoná                 ex ante posúdenie podľa § 168 ZVO. Uvedené pravidlo sa týka centrálnych verejných obstarávaní podľa ods. 1 kapitoly 3.3.7.2.6.</w:t>
      </w:r>
    </w:p>
    <w:p w14:paraId="3FB44F3C" w14:textId="77777777" w:rsidR="00B650E5" w:rsidRDefault="00B650E5">
      <w:pPr>
        <w:numPr>
          <w:ilvl w:val="0"/>
          <w:numId w:val="236"/>
        </w:numPr>
        <w:spacing w:before="120" w:after="120"/>
        <w:ind w:left="426" w:hanging="426"/>
        <w:jc w:val="both"/>
      </w:pPr>
      <w:r>
        <w:t xml:space="preserve">Druhá </w:t>
      </w:r>
      <w:r w:rsidR="00FB1D18">
        <w:t>ex ante</w:t>
      </w:r>
      <w:r>
        <w:t xml:space="preserve"> kontrola sa vykonáva ako: </w:t>
      </w:r>
    </w:p>
    <w:p w14:paraId="03508AF1" w14:textId="77777777" w:rsidR="00B650E5" w:rsidRDefault="00B650E5" w:rsidP="008F6B1D">
      <w:pPr>
        <w:numPr>
          <w:ilvl w:val="0"/>
          <w:numId w:val="48"/>
        </w:numPr>
        <w:spacing w:before="120" w:after="120"/>
        <w:jc w:val="both"/>
      </w:pPr>
      <w:r>
        <w:t>finančná kontrola, ktorú vykonáva RO v prípade nadlimitných zákaziek, ktoré nespadajú              pod písm. b) tohto odseku,</w:t>
      </w:r>
    </w:p>
    <w:p w14:paraId="5EF42C7B" w14:textId="1EB3E6A5" w:rsidR="00A920E3" w:rsidRDefault="00B650E5" w:rsidP="008F6B1D">
      <w:pPr>
        <w:numPr>
          <w:ilvl w:val="0"/>
          <w:numId w:val="48"/>
        </w:numPr>
        <w:spacing w:before="120" w:after="120"/>
        <w:jc w:val="both"/>
      </w:pPr>
      <w:r>
        <w:t>finančná kontrola pred podpisom zmluvy o NFP, ktorú môže vykonávať RO v prípade nadlimitných zákaziek v rámci národných projektov, veľkých projektov, ktoré sú súčasťou zoznamu projektov a nadlimitných zákaziek v rámci projektov technickej pomoci</w:t>
      </w:r>
      <w:r w:rsidR="00A920E3">
        <w:t>,</w:t>
      </w:r>
      <w:r w:rsidR="001D5B93">
        <w:t xml:space="preserve"> alebo</w:t>
      </w:r>
      <w:r w:rsidR="00A920E3">
        <w:t xml:space="preserve"> </w:t>
      </w:r>
    </w:p>
    <w:p w14:paraId="43EEE05F" w14:textId="00262045" w:rsidR="00B650E5" w:rsidRDefault="00A920E3" w:rsidP="007844C1">
      <w:pPr>
        <w:numPr>
          <w:ilvl w:val="0"/>
          <w:numId w:val="48"/>
        </w:numPr>
        <w:spacing w:before="120" w:after="120"/>
        <w:jc w:val="both"/>
      </w:pPr>
      <w:r>
        <w:t>f</w:t>
      </w:r>
      <w:r w:rsidRPr="00A920E3">
        <w:t>inančná kontrola VO pred podpisom zmluvy o NFP v rámci dopytovo</w:t>
      </w:r>
      <w:r>
        <w:t>-</w:t>
      </w:r>
      <w:r w:rsidRPr="00A920E3">
        <w:t xml:space="preserve">orientovaných projektov, pokiaľ RO stanoví možnosť predkladania VO v rámci </w:t>
      </w:r>
      <w:r>
        <w:t>v</w:t>
      </w:r>
      <w:r w:rsidRPr="00A920E3">
        <w:t>ýzvy</w:t>
      </w:r>
      <w:r>
        <w:t>.</w:t>
      </w:r>
    </w:p>
    <w:p w14:paraId="3E22656B" w14:textId="77777777" w:rsidR="00B650E5" w:rsidRDefault="00B650E5" w:rsidP="000E286B">
      <w:pPr>
        <w:spacing w:before="120" w:after="120"/>
        <w:ind w:left="426"/>
        <w:jc w:val="both"/>
      </w:pPr>
      <w:r>
        <w:t xml:space="preserve">Podkladom pre ukončenie druhej </w:t>
      </w:r>
      <w:r w:rsidR="00FB1D18">
        <w:t>ex ante</w:t>
      </w:r>
      <w:r>
        <w:t xml:space="preserve"> kontroly je podľa kapitoly 3.3.7.2.2 aj kontrola, ktorú vykonáva ÚVO v prípade nadlimitných zákaziek, čo aj z časti financovaných z prostriedkov Európskej únie, vo fáze </w:t>
      </w:r>
      <w:r w:rsidRPr="008F6B1D">
        <w:t xml:space="preserve">pred uzavretím zmluvy, koncesnej zmluvy alebo rámcovej dohody, pred ukončením súťaže návrhov, pred zadaním zákazky na základe rámcovej dohody alebo pred ukončením postupu inovatívneho partnerstva </w:t>
      </w:r>
      <w:r>
        <w:t xml:space="preserve">na základe podnetu prijímateľa podľa § 169 ods. 2 ZVO. </w:t>
      </w:r>
    </w:p>
    <w:p w14:paraId="4899A099" w14:textId="77777777" w:rsidR="00B650E5" w:rsidRDefault="00E57043" w:rsidP="000E286B">
      <w:pPr>
        <w:spacing w:before="120" w:after="120"/>
        <w:ind w:left="426"/>
        <w:jc w:val="both"/>
      </w:pPr>
      <w:r w:rsidRPr="00E57043">
        <w:t xml:space="preserve">Podkladom pre ukončenie druhej </w:t>
      </w:r>
      <w:r w:rsidR="00FB1D18">
        <w:t>ex ante</w:t>
      </w:r>
      <w:r w:rsidRPr="00E57043">
        <w:t xml:space="preserve"> kontroly </w:t>
      </w:r>
      <w:r>
        <w:t>je aj k</w:t>
      </w:r>
      <w:r w:rsidR="00B650E5">
        <w:t>ontrola, ktorú vykonáva ÚVO v prípade nadlimitných zákaziek v rámci národných projektov, veľkých projektov, ktoré sú súčasťou zoznamu projektov a projektov technickej pomoci vo fáze pred podpisom zmluvy o NFP, na základe podnetu budúceho žiadateľa/žiadateľa podľa § 169 ods. 1 písm. b) ZVO.</w:t>
      </w:r>
      <w:r w:rsidR="00B650E5" w:rsidRPr="00455AB3">
        <w:t xml:space="preserve"> Vzťahuje sa na nadlimitné zákazky</w:t>
      </w:r>
      <w:r w:rsidR="00B650E5" w:rsidRPr="00F36036">
        <w:t xml:space="preserve"> v rámci národných projektov, veľkých projektov, ktoré sú súčasťou zoznamu projektov a projektov technickej pomoci</w:t>
      </w:r>
      <w:r w:rsidR="00B650E5" w:rsidRPr="00455AB3">
        <w:t xml:space="preserve">, pri ktorých RO vykonal finančnú kontrolu verejného obstarávania.  </w:t>
      </w:r>
    </w:p>
    <w:p w14:paraId="48B2E88B" w14:textId="77777777" w:rsidR="00B650E5" w:rsidRDefault="00FB1D18">
      <w:pPr>
        <w:numPr>
          <w:ilvl w:val="0"/>
          <w:numId w:val="236"/>
        </w:numPr>
        <w:spacing w:before="120" w:after="120"/>
        <w:ind w:left="426" w:hanging="426"/>
        <w:jc w:val="both"/>
      </w:pPr>
      <w:r>
        <w:t>Ex post</w:t>
      </w:r>
      <w:r w:rsidR="00B650E5">
        <w:t xml:space="preserve"> kontrola sa vykonáva ako: </w:t>
      </w:r>
    </w:p>
    <w:p w14:paraId="129009F8" w14:textId="77777777" w:rsidR="00B650E5" w:rsidRDefault="00B650E5">
      <w:pPr>
        <w:numPr>
          <w:ilvl w:val="0"/>
          <w:numId w:val="53"/>
        </w:numPr>
        <w:spacing w:before="120" w:after="120"/>
        <w:ind w:left="851" w:hanging="425"/>
        <w:jc w:val="both"/>
      </w:pPr>
      <w:r>
        <w:t xml:space="preserve">finančná kontrola VO, ktoré nespadá pod písm. b) až g) tohto odseku (ďalej len „štandardná </w:t>
      </w:r>
      <w:r w:rsidR="00FB1D18">
        <w:t>ex post</w:t>
      </w:r>
      <w:r>
        <w:t xml:space="preserve"> kontrola“),</w:t>
      </w:r>
    </w:p>
    <w:p w14:paraId="3ADB3108" w14:textId="77777777" w:rsidR="00B650E5" w:rsidRDefault="00B650E5">
      <w:pPr>
        <w:numPr>
          <w:ilvl w:val="0"/>
          <w:numId w:val="53"/>
        </w:numPr>
        <w:spacing w:before="120" w:after="120"/>
        <w:ind w:left="851" w:hanging="425"/>
        <w:jc w:val="both"/>
      </w:pPr>
      <w:r>
        <w:t xml:space="preserve">finančná kontrola VO, ktoré bolo predmetom druhej </w:t>
      </w:r>
      <w:r w:rsidR="00FB1D18">
        <w:t>ex ante</w:t>
      </w:r>
      <w:r>
        <w:t xml:space="preserve"> kontroly (ďalej len „následná </w:t>
      </w:r>
      <w:r w:rsidR="00FB1D18">
        <w:t>ex post</w:t>
      </w:r>
      <w:r>
        <w:t xml:space="preserve"> kontrola“),</w:t>
      </w:r>
    </w:p>
    <w:p w14:paraId="05F4D3C1" w14:textId="77777777" w:rsidR="00B650E5" w:rsidRDefault="00B650E5">
      <w:pPr>
        <w:numPr>
          <w:ilvl w:val="0"/>
          <w:numId w:val="53"/>
        </w:numPr>
        <w:spacing w:before="120" w:after="120"/>
        <w:ind w:left="851" w:hanging="425"/>
        <w:jc w:val="both"/>
      </w:pPr>
      <w:r>
        <w:t>finančná kontrola zákaziek s nízkymi hodnotami podľa §  117 ZVO,</w:t>
      </w:r>
    </w:p>
    <w:p w14:paraId="1C6C5068" w14:textId="77777777" w:rsidR="00B650E5" w:rsidRDefault="00B650E5">
      <w:pPr>
        <w:numPr>
          <w:ilvl w:val="0"/>
          <w:numId w:val="53"/>
        </w:numPr>
        <w:spacing w:before="120" w:after="120"/>
        <w:ind w:left="851" w:hanging="425"/>
        <w:jc w:val="both"/>
      </w:pPr>
      <w:r>
        <w:t xml:space="preserve">finančná kontrola VO, v rámci ktorého viacerí prijímatelia nadobúdajú tovary, práce alebo služby prostredníctvom centrálnej obstarávacej organizácie, </w:t>
      </w:r>
    </w:p>
    <w:p w14:paraId="02556F97" w14:textId="77777777" w:rsidR="00B650E5" w:rsidRDefault="00B650E5">
      <w:pPr>
        <w:numPr>
          <w:ilvl w:val="0"/>
          <w:numId w:val="53"/>
        </w:numPr>
        <w:spacing w:before="120" w:after="120"/>
        <w:ind w:left="851" w:hanging="425"/>
        <w:jc w:val="both"/>
      </w:pPr>
      <w:r>
        <w:t>finančná kontrola VO v rámci schvaľovacieho procesu ŽoNFP,</w:t>
      </w:r>
    </w:p>
    <w:p w14:paraId="22A6A41D" w14:textId="77777777" w:rsidR="00B650E5" w:rsidRDefault="00B650E5">
      <w:pPr>
        <w:numPr>
          <w:ilvl w:val="0"/>
          <w:numId w:val="53"/>
        </w:numPr>
        <w:spacing w:before="120" w:after="120"/>
        <w:ind w:left="851" w:hanging="425"/>
        <w:jc w:val="both"/>
      </w:pPr>
      <w:r>
        <w:t>finančná kontrola VO národných projektov, veľkých projektov, ktoré sú súčasťou zoznamu projektov a projektov technickej pomoci pred podpisom zmluvy o NFP,</w:t>
      </w:r>
    </w:p>
    <w:p w14:paraId="1CA0AE21" w14:textId="7473ED05" w:rsidR="001D5B93" w:rsidRDefault="001D5B93">
      <w:pPr>
        <w:numPr>
          <w:ilvl w:val="0"/>
          <w:numId w:val="53"/>
        </w:numPr>
        <w:spacing w:before="120" w:after="120"/>
        <w:ind w:left="851" w:hanging="425"/>
        <w:jc w:val="both"/>
      </w:pPr>
      <w:r>
        <w:t>f</w:t>
      </w:r>
      <w:r w:rsidRPr="00A920E3">
        <w:t>inančná kontrola VO pred podpisom zmluvy o NFP v rámci dopytovo</w:t>
      </w:r>
      <w:r>
        <w:t>-</w:t>
      </w:r>
      <w:r w:rsidRPr="00A920E3">
        <w:t xml:space="preserve">orientovaných projektov, pokiaľ RO stanoví možnosť predkladania VO v rámci </w:t>
      </w:r>
      <w:r>
        <w:t>v</w:t>
      </w:r>
      <w:r w:rsidRPr="00A920E3">
        <w:t>ýzvy</w:t>
      </w:r>
      <w:r>
        <w:t>,</w:t>
      </w:r>
    </w:p>
    <w:p w14:paraId="6DF29F1D" w14:textId="77777777" w:rsidR="00B650E5" w:rsidRDefault="00B650E5">
      <w:pPr>
        <w:numPr>
          <w:ilvl w:val="0"/>
          <w:numId w:val="53"/>
        </w:numPr>
        <w:spacing w:before="120" w:after="120"/>
        <w:ind w:left="851" w:hanging="425"/>
        <w:jc w:val="both"/>
      </w:pPr>
      <w:r>
        <w:t xml:space="preserve">kontrola zákaziek realizovaných cez elektronické trhovisko (ďalej aj ako „EKS“). </w:t>
      </w:r>
    </w:p>
    <w:p w14:paraId="0FCEFD52" w14:textId="77777777" w:rsidR="00B650E5" w:rsidRDefault="00B650E5">
      <w:pPr>
        <w:numPr>
          <w:ilvl w:val="0"/>
          <w:numId w:val="236"/>
        </w:numPr>
        <w:spacing w:before="120" w:after="120"/>
        <w:ind w:left="426" w:hanging="426"/>
        <w:jc w:val="both"/>
      </w:pPr>
      <w:r>
        <w:t>RO spolupracuje v oblasti kontroly s ÚVO, s </w:t>
      </w:r>
      <w:r w:rsidR="009C717E" w:rsidDel="009C717E">
        <w:t xml:space="preserve"> </w:t>
      </w:r>
      <w:r>
        <w:t xml:space="preserve">PMÚ a s orgánmi činnými v trestnom konaní. Rozsah a záväzné podmienky tejto spolupráce sú obsiahnuté v Dohode o spolupráci uzavretej </w:t>
      </w:r>
      <w:r>
        <w:lastRenderedPageBreak/>
        <w:t xml:space="preserve">medzi CKO a ÚVO a v Dohode o spolupráci uzavretej medzi CKO a PMÚ. RO pri využívaní tejto spolupráce postupuje podľa </w:t>
      </w:r>
      <w:hyperlink w:anchor="kapitola_3374" w:tooltip="kapitoly 3.3.7.4" w:history="1">
        <w:r>
          <w:rPr>
            <w:rStyle w:val="Hypertextovprepojenie"/>
          </w:rPr>
          <w:t>kapitoly 3.3.7.4</w:t>
        </w:r>
      </w:hyperlink>
      <w:r>
        <w:t>. Ak RO počas finančnej kontroly VO alebo kontroly obstarávania zistí skutočnosti nasvedčujúce tomu, že bol alebo mohol byť spáchaný trestný čin, uvedenú skutočnosť v zmysle  § 3 ods. 2 Trestného poriadku oznámi bezodkladne orgánom činným v trestnom konaní. RO je povinný pri kontrole zákaziek vykonať kontrolu aplikovania možnosti uvedenej v § 57 ods. 2 ZVO, ktorá sa týka možnosti zrušenia verejného obstarávania ak neboli predložené viac ako dve ponuky</w:t>
      </w:r>
      <w:r w:rsidRPr="008F6B1D">
        <w:rPr>
          <w:rFonts w:ascii="Helvetica" w:hAnsi="Helvetica"/>
          <w:color w:val="494949"/>
          <w:sz w:val="21"/>
          <w:szCs w:val="21"/>
        </w:rPr>
        <w:t xml:space="preserve"> </w:t>
      </w:r>
      <w:r>
        <w:t xml:space="preserve">alebo ak navrhované ceny </w:t>
      </w:r>
      <w:r w:rsidRPr="008F6B1D">
        <w:t>v</w:t>
      </w:r>
      <w:r w:rsidR="00CC48CB">
        <w:t> </w:t>
      </w:r>
      <w:r w:rsidRPr="008F6B1D">
        <w:t>predložených ponukách sú vyššie ako predpokladaná hodnota</w:t>
      </w:r>
      <w:r>
        <w:t xml:space="preserve">. V prípade, že neboli predložené viac ako dve ponuky alebo cena v ponuke uchádzača, ktorý bol vyhodnotený ako úspešný, je vyššia ako predpokladaná hodnota zákazky, RO požaduje od prijímateľa zdôvodnenie, prečo predmetný postup zadávania zákazky nezrušil, ak nejde o zákazku realizovanú cez EKS. V prípade, že v rámci použitého postupu zadávania zákazky bola predložená len jedna ponuka a prijímateľ použitý postup zadávania zákazky nezrušil, RO je povinný požiadať v zmysle Dohody o spolupráci ÚVO o vykonanie kontroly verejného obstarávania, ak v rámci predmetného VO neidentifikuje nedostatky s vplyvom alebo možným vplyvom na výsledok VO a ak ide o podlimitnú zákazku alebo nadlimitnú zákazku, v rámci ktorej nebolo vydané rozhodnutie podľa § 175 ods. 1 alebo ods. 4 ZVO. V prípade, ak ide </w:t>
      </w:r>
      <w:r w:rsidR="001349BB">
        <w:t>o </w:t>
      </w:r>
      <w:r>
        <w:t xml:space="preserve">podlimitnú zákazku realizovanú cez EKS, ide o </w:t>
      </w:r>
      <w:r w:rsidRPr="001B709E">
        <w:t>možnosť</w:t>
      </w:r>
      <w:r w:rsidRPr="00F43F88">
        <w:t xml:space="preserve"> </w:t>
      </w:r>
      <w:r>
        <w:t>RO požiadať ÚVO o kontrolu predmetného postupu zadávania zákazky, ak je</w:t>
      </w:r>
      <w:r w:rsidRPr="00F43F88">
        <w:t xml:space="preserve"> </w:t>
      </w:r>
      <w:r>
        <w:t>hodnota zákazky rovnaká alebo vyššia ako 40</w:t>
      </w:r>
      <w:r w:rsidR="00AD73AC">
        <w:t>-</w:t>
      </w:r>
      <w:r>
        <w:t>tisíc EUR</w:t>
      </w:r>
      <w:r w:rsidR="00294899">
        <w:t xml:space="preserve"> bez DPH</w:t>
      </w:r>
      <w:r>
        <w:t>. Následný postup RO bude vyplývať z výsledku tejto kontroly.</w:t>
      </w:r>
      <w:r w:rsidR="004227C4">
        <w:t xml:space="preserve"> </w:t>
      </w:r>
      <w:r>
        <w:t xml:space="preserve">Ustanovenia týkajúce sa prípadu, že bola predložená jedna alebo dve ponuky sa nevzťahujú na zákazky s nízkymi hodnotami podľa </w:t>
      </w:r>
      <w:r w:rsidR="004227C4">
        <w:t xml:space="preserve">                    </w:t>
      </w:r>
      <w:r>
        <w:t>§ 117 ZVO.</w:t>
      </w:r>
    </w:p>
    <w:p w14:paraId="12D8E7EB" w14:textId="77777777" w:rsidR="00B650E5" w:rsidRDefault="00B650E5" w:rsidP="001B709E">
      <w:pPr>
        <w:numPr>
          <w:ilvl w:val="0"/>
          <w:numId w:val="236"/>
        </w:numPr>
        <w:spacing w:before="120" w:after="120"/>
        <w:ind w:left="426" w:hanging="426"/>
        <w:jc w:val="both"/>
      </w:pPr>
      <w:bookmarkStart w:id="342" w:name="kapitola_3372_ods_6"/>
      <w:r>
        <w:t>Dokumentáciu prijímateľ predkladá na RO písomne</w:t>
      </w:r>
      <w:r w:rsidR="00E20643">
        <w:t xml:space="preserve"> </w:t>
      </w:r>
      <w:r w:rsidR="00E20643" w:rsidRPr="00E20643">
        <w:t>alebo v elektronickej podobe</w:t>
      </w:r>
      <w:r>
        <w:t xml:space="preserve">, pričom časť dokumentácie </w:t>
      </w:r>
      <w:r w:rsidR="00E20643">
        <w:t xml:space="preserve">je povinný </w:t>
      </w:r>
      <w:r>
        <w:t>predložiť aj cez ITMS 2014+.</w:t>
      </w:r>
      <w:r w:rsidR="00B357E4">
        <w:t xml:space="preserve"> </w:t>
      </w:r>
      <w:r w:rsidR="00B357E4" w:rsidRPr="00B357E4">
        <w:t>Určenie dokumentácie, ktorá má byť predložená elektronicky a dokumentácie, ktorá má byť predložená písomne, môže byť predmetom úpravy v príručkách pre prijímateľa, ktoré vydáva príslušný RO.</w:t>
      </w:r>
      <w:r w:rsidR="00B357E4">
        <w:t xml:space="preserve"> </w:t>
      </w:r>
      <w:r>
        <w:t>Minimálny rozsah dokumentácie, ktorú prijímateľ povinne predkladá cez ITMS 2014+ je definovaný rozsahom dokumentácie zverejňovanej v profile podľa § 64 ZVO v závislosti od hodnoty a typu zákazky (pozn. uvedená povinnosť platí pre všetkých prijímateľov</w:t>
      </w:r>
      <w:r w:rsidR="00871B36">
        <w:t xml:space="preserve"> a nevzťahuje sa na informácie podľa </w:t>
      </w:r>
      <w:r w:rsidR="00E57043">
        <w:t xml:space="preserve">              </w:t>
      </w:r>
      <w:r w:rsidR="00F13747">
        <w:t>§ 64 ods. 1</w:t>
      </w:r>
      <w:r w:rsidR="00E57043">
        <w:t xml:space="preserve"> </w:t>
      </w:r>
      <w:r w:rsidR="00F13747">
        <w:t>písm. d)</w:t>
      </w:r>
      <w:r w:rsidR="00887348">
        <w:t xml:space="preserve"> a písm. e)</w:t>
      </w:r>
      <w:r w:rsidR="00F13747">
        <w:t xml:space="preserve"> ZVO</w:t>
      </w:r>
      <w:r>
        <w:t xml:space="preserve">). </w:t>
      </w:r>
      <w:r w:rsidR="00D23763">
        <w:t>V prípade ponúk jednotlivý</w:t>
      </w:r>
      <w:r w:rsidR="00D5024A">
        <w:t>ch uchádzačov, je povinnosťou prijímateľa</w:t>
      </w:r>
      <w:r w:rsidR="00D23763">
        <w:t xml:space="preserve"> predložiť cez ITMS 2014+ iba ponuku úspešného uchádzača. </w:t>
      </w:r>
      <w:r>
        <w:t xml:space="preserve">RO je vo svojej riadiacej dokumentácii oprávnený určiť povinnosť predkladania dokumentácie cez ITMS 2014+ aj inej ako je definované v predošlej vete, pričom stanovenie tejto povinnosti závisí najmä od povahy konkrétneho dokumentu, od skutočnosti či je jeho elektronická podoba využívaná alebo zverejňovaná aj v iných informačných systémoch, alebo či je elektronicky dostupná aj bez neprimeraných administratívnych a technických nárokov na kapacity prijímateľa. </w:t>
      </w:r>
      <w:r w:rsidR="00A74332">
        <w:t xml:space="preserve">RO je povinný s ohľadom na podmienky uvedené v predošlej vete vyžadovať predloženie dokumentácie cez ITMS 2014+ aj v prípade zákaziek realizovaných s využitím elektronického trhoviska a zákaziek s nízkou hodnotou, pričom rozsah takto predkladanej dokumentácie určí RO. </w:t>
      </w:r>
      <w:r>
        <w:t xml:space="preserve">Vo svojom podaní je prijímateľ povinný uviesť, ktorú dokumentáciu predkladá v písomnej podobe, ktorú v elektronickej podobe (napr. na CD/DVD) a ktorú predkladá cez ITMS 2014+. Lehoty uvedené v tejto podkapitole začínajú plynúť od doručenia písomnej dokumentácie. Pre potreby finančnej kontroly VO prijímateľ predkladá na RO kópiu originálnej dokumentácie. Aj dokumentácia predložená elektronicky (teda aj cez ITMS 2014+) sa pre potreby finančnej kontroly VO považuje za kópiu originálnej dokumentácie. Súčasne s dokumentáciou predkladá na RO prijímateľ aj čestné vyhlásenie, v rámci ktorého jasne identifikuje projekt a predkladané VO. Súčasťou tohto dokumentu je súpis všetkej predkladanej dokumentácie vrátane dokumentácie predloženej elektronicky a vyhlásenie, že dokumentácia predložená na kontrolu VO je úplná, kompletná a je totožná s originálom dokumentácie z VO. Zároveň prijímateľ prehlási, že si je vedomý, že na základe predloženej dokumentácie RO rozhodne o pripustení, nepripustení </w:t>
      </w:r>
      <w:r>
        <w:lastRenderedPageBreak/>
        <w:t xml:space="preserve">výdavkov súvisiacich s predmetným VO do financovania, o </w:t>
      </w:r>
      <w:r w:rsidR="00FB1D18">
        <w:t>ex ante</w:t>
      </w:r>
      <w:r>
        <w:t xml:space="preserve"> finančnej oprave, resp. </w:t>
      </w:r>
      <w:r w:rsidR="00E57043">
        <w:t xml:space="preserve">                        </w:t>
      </w:r>
      <w:r>
        <w:t xml:space="preserve">o ďalších krokoch, ktoré budú potrebné na základe zistení  RO v rámci kontroly tejto dokumentácie. Čestné vyhlásenie sa rovnako vzťahuje na dokumentáciu predloženú elektronicky v rámci ITMS 2014+. Uvedené pravidlá sa rovnako vzťahujú aj na dopĺňanie dokumentácie. </w:t>
      </w:r>
    </w:p>
    <w:p w14:paraId="2645CD88" w14:textId="77777777" w:rsidR="00B650E5" w:rsidRDefault="00B650E5">
      <w:pPr>
        <w:pStyle w:val="Odsekzoznamu"/>
        <w:numPr>
          <w:ilvl w:val="0"/>
          <w:numId w:val="236"/>
        </w:numPr>
        <w:ind w:left="426" w:hanging="426"/>
        <w:jc w:val="both"/>
      </w:pPr>
      <w:bookmarkStart w:id="343" w:name="kapitola_3372_ods_7"/>
      <w:bookmarkEnd w:id="342"/>
      <w:r>
        <w:t xml:space="preserve">RO môže v odôvodnených prípadoch lehoty </w:t>
      </w:r>
      <w:r w:rsidR="00E20643">
        <w:t xml:space="preserve">na výkon kontroly VO alebo výkon kontroly obstarávania </w:t>
      </w:r>
      <w:r>
        <w:t xml:space="preserve">predĺžiť; takéto predĺženie lehoty oznamuje prijímateľovi spôsobom uvedeným </w:t>
      </w:r>
      <w:r w:rsidR="00E57043">
        <w:t xml:space="preserve">                 </w:t>
      </w:r>
      <w:r>
        <w:t>v zmluve o NFP, resp. v inom záväznom dokumente, na ktorý zmluva o NFP odkazuje. V prípade spolupráce RO s ÚVO, PMÚ, resp. s inými orgánmi, alebo v prípade vyžiadania si znaleckého posudku alebo odborného stanoviska, oznámi RO prijímateľovi prerušenie výkonu 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343"/>
    <w:p w14:paraId="5EEAA5DC" w14:textId="77777777" w:rsidR="00B650E5" w:rsidRPr="001B709E" w:rsidRDefault="00B650E5" w:rsidP="000E286B">
      <w:pPr>
        <w:numPr>
          <w:ilvl w:val="0"/>
          <w:numId w:val="236"/>
        </w:numPr>
        <w:spacing w:before="120" w:after="120"/>
        <w:ind w:left="426" w:hanging="426"/>
        <w:jc w:val="both"/>
        <w:rPr>
          <w:b/>
        </w:rPr>
      </w:pPr>
      <w:r>
        <w:t xml:space="preserve">Postup v prípade, ak RO v rámci finančnej kontroly VO identifikuje nedodržanie </w:t>
      </w:r>
      <w:r w:rsidR="00F8333A">
        <w:t>pravidiel</w:t>
      </w:r>
      <w:r>
        <w:t xml:space="preserve"> a postupov VO, resp. porušenie pravidiel stanovených v legislatíve SR a EÚ, pričom toto pochybenie malo alebo mohlo mať vplyv na výsledok VO, upravil CKO v metodickom pokyne</w:t>
      </w:r>
      <w:r>
        <w:rPr>
          <w:rStyle w:val="Odkaznapoznmkupodiarou"/>
        </w:rPr>
        <w:footnoteReference w:id="110"/>
      </w:r>
      <w:r>
        <w:t xml:space="preserve">, ktorým upravil </w:t>
      </w:r>
      <w:r w:rsidRPr="000E286B">
        <w:t xml:space="preserve">najmä oblasť vecného posudzovania a určovania % sadzieb finančných opráv za porušenie </w:t>
      </w:r>
      <w:r>
        <w:t>pravidiel a </w:t>
      </w:r>
      <w:r w:rsidR="00F8333A">
        <w:t>postupov</w:t>
      </w:r>
      <w:r>
        <w:t xml:space="preserve"> </w:t>
      </w:r>
      <w:r w:rsidRPr="000E286B">
        <w:t>VO. Následný postup administrácie nezrovnalosti a uplatnenie určenej % sadzby finančnej opravy na jednotlivé výdavky NFP na predmet zákazky je upravený v usmernení MF SR č. 2/2015 – U</w:t>
      </w:r>
      <w:r>
        <w:t xml:space="preserve"> </w:t>
      </w:r>
      <w:r w:rsidRPr="000E286B">
        <w:t>k nezrovnalostiam a finančným opravám v rámci finančného riadenia štrukturálnych fondov, Kohézneho fondu a Európskeho námorného a rybárskeho fondu na programové obdobie 2014 - 2020.</w:t>
      </w:r>
    </w:p>
    <w:p w14:paraId="6AE9BF63" w14:textId="77777777" w:rsidR="00B650E5" w:rsidRPr="00EA316A" w:rsidRDefault="00B650E5" w:rsidP="00E20643">
      <w:pPr>
        <w:numPr>
          <w:ilvl w:val="0"/>
          <w:numId w:val="236"/>
        </w:numPr>
        <w:spacing w:before="120" w:after="120"/>
        <w:ind w:left="426" w:hanging="426"/>
        <w:jc w:val="both"/>
        <w:rPr>
          <w:b/>
        </w:rPr>
      </w:pPr>
      <w:r w:rsidRPr="00D3386A">
        <w:t>Ak RO vykonáva kontrolu pravidiel a</w:t>
      </w:r>
      <w:r w:rsidRPr="001B709E">
        <w:t> </w:t>
      </w:r>
      <w:r w:rsidRPr="00D3386A">
        <w:t>postupov verejného obstarávania po nadobudnutí účinnosti zmluvy o</w:t>
      </w:r>
      <w:r w:rsidRPr="001B709E">
        <w:t> </w:t>
      </w:r>
      <w:r w:rsidRPr="00D3386A">
        <w:t>NFP, RO vykonáva kontrolu ako poskytovateľ, ktorý</w:t>
      </w:r>
      <w:r w:rsidRPr="00EA316A">
        <w:t xml:space="preserve"> je zmluvnou stranou zmluvy o</w:t>
      </w:r>
      <w:r w:rsidRPr="001B709E">
        <w:t> </w:t>
      </w:r>
      <w:r w:rsidRPr="00D3386A">
        <w:t>NFP a</w:t>
      </w:r>
      <w:r w:rsidRPr="001B709E">
        <w:t> </w:t>
      </w:r>
      <w:r w:rsidRPr="00D3386A">
        <w:t xml:space="preserve">samotný výkon kontroly je výkonom práva poskytovateľa, ktoré mu patrí </w:t>
      </w:r>
      <w:r w:rsidRPr="00EA316A">
        <w:t>v</w:t>
      </w:r>
      <w:r w:rsidRPr="001B709E">
        <w:t> </w:t>
      </w:r>
      <w:r w:rsidRPr="00D3386A">
        <w:t xml:space="preserve">zmysle </w:t>
      </w:r>
      <w:r w:rsidRPr="001B709E">
        <w:t xml:space="preserve">príslušných ustanovení </w:t>
      </w:r>
      <w:r w:rsidRPr="00D3386A">
        <w:t>zmluvy o</w:t>
      </w:r>
      <w:r w:rsidR="00E20643">
        <w:t> </w:t>
      </w:r>
      <w:r w:rsidRPr="00D3386A">
        <w:t>NFP</w:t>
      </w:r>
      <w:r w:rsidR="00E20643">
        <w:t xml:space="preserve"> a </w:t>
      </w:r>
      <w:r w:rsidR="00E20643" w:rsidRPr="00E20643">
        <w:t>zákona o finančnej kontrole</w:t>
      </w:r>
      <w:r w:rsidRPr="00D3386A">
        <w:t xml:space="preserve">. </w:t>
      </w:r>
      <w:r w:rsidRPr="00EA316A">
        <w:t>V</w:t>
      </w:r>
      <w:r w:rsidRPr="001B709E">
        <w:t> </w:t>
      </w:r>
      <w:r w:rsidRPr="00D3386A">
        <w:t>prípade, ak dôjde k</w:t>
      </w:r>
      <w:r w:rsidRPr="001B709E">
        <w:t> </w:t>
      </w:r>
      <w:r w:rsidRPr="00D3386A">
        <w:t>aplikácii postupov podľa §</w:t>
      </w:r>
      <w:r w:rsidR="00AD73AC">
        <w:t xml:space="preserve"> </w:t>
      </w:r>
      <w:r w:rsidRPr="00D3386A">
        <w:t>41 a §</w:t>
      </w:r>
      <w:r w:rsidR="00AD73AC">
        <w:t xml:space="preserve"> </w:t>
      </w:r>
      <w:r w:rsidRPr="00D3386A">
        <w:t>41</w:t>
      </w:r>
      <w:r w:rsidR="00AD73AC">
        <w:t xml:space="preserve"> </w:t>
      </w:r>
      <w:r w:rsidRPr="00D3386A">
        <w:t>a zákona o</w:t>
      </w:r>
      <w:r w:rsidRPr="001B709E">
        <w:t> </w:t>
      </w:r>
      <w:r w:rsidRPr="00D3386A">
        <w:t>príspevku z</w:t>
      </w:r>
      <w:r w:rsidRPr="001B709E">
        <w:t> </w:t>
      </w:r>
      <w:r w:rsidRPr="00D3386A">
        <w:t xml:space="preserve">EŠIF, RO koná ako zmluvná strana až do momentu podania podnetu </w:t>
      </w:r>
      <w:r w:rsidRPr="00EA316A">
        <w:t>správnemu orgánu na konanie podľa</w:t>
      </w:r>
      <w:r w:rsidR="00AD73AC">
        <w:t xml:space="preserve"> </w:t>
      </w:r>
      <w:r w:rsidRPr="00EA316A">
        <w:t>§</w:t>
      </w:r>
      <w:r w:rsidR="00AD73AC">
        <w:t xml:space="preserve"> </w:t>
      </w:r>
      <w:r w:rsidRPr="00EA316A">
        <w:t>41 ods. 5 alebo §</w:t>
      </w:r>
      <w:r w:rsidR="00CC48CB">
        <w:t> </w:t>
      </w:r>
      <w:r w:rsidRPr="00EA316A">
        <w:t>41a ods. 3 zákona o</w:t>
      </w:r>
      <w:r w:rsidRPr="001B709E">
        <w:t> </w:t>
      </w:r>
      <w:r w:rsidRPr="00D3386A">
        <w:t>príspevku z</w:t>
      </w:r>
      <w:r w:rsidRPr="001B709E">
        <w:t> </w:t>
      </w:r>
      <w:r w:rsidRPr="00D3386A">
        <w:t>EŠIF. Akýkoľvek úkon, ktorý poskytovateľ vykoná do</w:t>
      </w:r>
      <w:r w:rsidR="00CC48CB">
        <w:t> </w:t>
      </w:r>
      <w:r w:rsidRPr="00D3386A">
        <w:t>momentu podania podnetu správnemu orgánu na konanie podľa §41 ods. 5 alebo</w:t>
      </w:r>
      <w:r w:rsidR="00AD73AC">
        <w:t xml:space="preserve"> </w:t>
      </w:r>
      <w:r w:rsidRPr="00D3386A">
        <w:t>§</w:t>
      </w:r>
      <w:r w:rsidR="00AD73AC">
        <w:t xml:space="preserve"> </w:t>
      </w:r>
      <w:r w:rsidRPr="00D3386A">
        <w:t>41a ods. 3 zákona o</w:t>
      </w:r>
      <w:r w:rsidRPr="001B709E">
        <w:t> </w:t>
      </w:r>
      <w:r w:rsidRPr="00D3386A">
        <w:t>príspevku z</w:t>
      </w:r>
      <w:r w:rsidRPr="001B709E">
        <w:t> </w:t>
      </w:r>
      <w:r w:rsidRPr="00D3386A">
        <w:t>EŠIF, je úkonom zmluvnej strany zmluvy o</w:t>
      </w:r>
      <w:r w:rsidRPr="001B709E">
        <w:t> </w:t>
      </w:r>
      <w:r w:rsidRPr="00D3386A">
        <w:t>NFP, ktorá má súkromnoprávnu povahu a</w:t>
      </w:r>
      <w:r w:rsidRPr="001B709E">
        <w:t> </w:t>
      </w:r>
      <w:r w:rsidRPr="00D3386A">
        <w:t>nároky z</w:t>
      </w:r>
      <w:r w:rsidRPr="001B709E">
        <w:t> </w:t>
      </w:r>
      <w:r w:rsidRPr="00D3386A">
        <w:t>ktorej je možné uplatňovať v</w:t>
      </w:r>
      <w:r w:rsidRPr="001B709E">
        <w:t> </w:t>
      </w:r>
      <w:r w:rsidRPr="00D3386A">
        <w:t>civilnom konaní a</w:t>
      </w:r>
      <w:r w:rsidRPr="001B709E">
        <w:t> </w:t>
      </w:r>
      <w:r w:rsidRPr="00D3386A">
        <w:t xml:space="preserve">nie prostredníctvom správneho súdnictva. </w:t>
      </w:r>
      <w:r w:rsidRPr="00EA316A">
        <w:t xml:space="preserve"> </w:t>
      </w:r>
    </w:p>
    <w:p w14:paraId="24602A55" w14:textId="77777777" w:rsidR="00B650E5" w:rsidRDefault="00B650E5" w:rsidP="000E286B">
      <w:pPr>
        <w:spacing w:before="120" w:after="120"/>
        <w:jc w:val="both"/>
      </w:pPr>
    </w:p>
    <w:p w14:paraId="1844D1FA" w14:textId="77777777" w:rsidR="00B650E5" w:rsidRPr="00DE5D89" w:rsidRDefault="00B650E5" w:rsidP="00DE5D89">
      <w:pPr>
        <w:spacing w:before="120" w:after="120"/>
        <w:jc w:val="both"/>
        <w:rPr>
          <w:b/>
        </w:rPr>
      </w:pPr>
      <w:r w:rsidRPr="00DE5D89">
        <w:rPr>
          <w:b/>
        </w:rPr>
        <w:t xml:space="preserve">Stupne </w:t>
      </w:r>
      <w:r>
        <w:rPr>
          <w:b/>
        </w:rPr>
        <w:t>finančnej</w:t>
      </w:r>
      <w:r w:rsidRPr="00DE5D89">
        <w:rPr>
          <w:b/>
        </w:rPr>
        <w:t xml:space="preserve"> kontroly verejného obstarávania v štádiu pred </w:t>
      </w:r>
      <w:r>
        <w:rPr>
          <w:b/>
        </w:rPr>
        <w:t>podpisom zmluvy o NFP</w:t>
      </w:r>
      <w:r w:rsidRPr="00DE5D89">
        <w:rPr>
          <w:b/>
        </w:rPr>
        <w:t>:</w:t>
      </w:r>
    </w:p>
    <w:p w14:paraId="23382828" w14:textId="77777777" w:rsidR="00B650E5" w:rsidRDefault="0053588C" w:rsidP="00DE5D89">
      <w:pPr>
        <w:spacing w:before="120" w:after="120"/>
        <w:jc w:val="both"/>
      </w:pPr>
      <w:r>
        <w:rPr>
          <w:noProof/>
        </w:rPr>
        <w:lastRenderedPageBreak/>
        <w:drawing>
          <wp:inline distT="0" distB="0" distL="0" distR="0" wp14:anchorId="17C0332A" wp14:editId="43778F79">
            <wp:extent cx="5952490" cy="2148205"/>
            <wp:effectExtent l="0" t="0" r="0" b="0"/>
            <wp:docPr id="19" name="Obrázok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30"/>
                    <pic:cNvPicPr>
                      <a:picLocks noChangeAspect="1" noChangeArrowheads="1"/>
                    </pic:cNvPicPr>
                  </pic:nvPicPr>
                  <pic:blipFill>
                    <a:blip r:embed="rId203">
                      <a:extLst>
                        <a:ext uri="{28A0092B-C50C-407E-A947-70E740481C1C}">
                          <a14:useLocalDpi xmlns:a14="http://schemas.microsoft.com/office/drawing/2010/main" val="0"/>
                        </a:ext>
                      </a:extLst>
                    </a:blip>
                    <a:srcRect/>
                    <a:stretch>
                      <a:fillRect/>
                    </a:stretch>
                  </pic:blipFill>
                  <pic:spPr bwMode="auto">
                    <a:xfrm>
                      <a:off x="0" y="0"/>
                      <a:ext cx="5952490" cy="2148205"/>
                    </a:xfrm>
                    <a:prstGeom prst="rect">
                      <a:avLst/>
                    </a:prstGeom>
                    <a:noFill/>
                    <a:ln>
                      <a:noFill/>
                    </a:ln>
                  </pic:spPr>
                </pic:pic>
              </a:graphicData>
            </a:graphic>
          </wp:inline>
        </w:drawing>
      </w:r>
    </w:p>
    <w:p w14:paraId="3C69532F" w14:textId="77777777" w:rsidR="009D6DF9" w:rsidRDefault="009D6DF9">
      <w:pPr>
        <w:spacing w:before="120" w:after="120"/>
        <w:jc w:val="both"/>
        <w:rPr>
          <w:b/>
        </w:rPr>
      </w:pPr>
    </w:p>
    <w:p w14:paraId="2FA904F2" w14:textId="77777777" w:rsidR="009D6DF9" w:rsidRDefault="009D6DF9">
      <w:pPr>
        <w:spacing w:before="120" w:after="120"/>
        <w:jc w:val="both"/>
        <w:rPr>
          <w:b/>
        </w:rPr>
      </w:pPr>
    </w:p>
    <w:p w14:paraId="022F8DB6" w14:textId="77777777" w:rsidR="009D6DF9" w:rsidRDefault="009D6DF9">
      <w:pPr>
        <w:spacing w:before="120" w:after="120"/>
        <w:jc w:val="both"/>
        <w:rPr>
          <w:b/>
        </w:rPr>
      </w:pPr>
    </w:p>
    <w:p w14:paraId="755C31C4" w14:textId="77777777" w:rsidR="00B650E5" w:rsidRDefault="00B650E5">
      <w:pPr>
        <w:spacing w:before="120" w:after="120"/>
        <w:jc w:val="both"/>
        <w:rPr>
          <w:b/>
        </w:rPr>
      </w:pPr>
      <w:r>
        <w:rPr>
          <w:b/>
        </w:rPr>
        <w:t>Stupne finančnej kontroly verejného obstarávania v štádiu po podpise Zmluvy o NFP:</w:t>
      </w:r>
    </w:p>
    <w:p w14:paraId="6CEE2450" w14:textId="77777777" w:rsidR="00B650E5" w:rsidRDefault="0053588C" w:rsidP="00DE5D89">
      <w:pPr>
        <w:spacing w:before="120" w:after="120"/>
        <w:jc w:val="both"/>
      </w:pPr>
      <w:r>
        <w:rPr>
          <w:noProof/>
        </w:rPr>
        <w:drawing>
          <wp:inline distT="0" distB="0" distL="0" distR="0" wp14:anchorId="5CC7FE28" wp14:editId="7F6E1F44">
            <wp:extent cx="6184900" cy="3761105"/>
            <wp:effectExtent l="0" t="0" r="0" b="0"/>
            <wp:docPr id="20" name="Obrázok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31"/>
                    <pic:cNvPicPr>
                      <a:picLocks noChangeAspect="1" noChangeArrowheads="1"/>
                    </pic:cNvPicPr>
                  </pic:nvPicPr>
                  <pic:blipFill>
                    <a:blip r:embed="rId204">
                      <a:extLst>
                        <a:ext uri="{28A0092B-C50C-407E-A947-70E740481C1C}">
                          <a14:useLocalDpi xmlns:a14="http://schemas.microsoft.com/office/drawing/2010/main" val="0"/>
                        </a:ext>
                      </a:extLst>
                    </a:blip>
                    <a:srcRect/>
                    <a:stretch>
                      <a:fillRect/>
                    </a:stretch>
                  </pic:blipFill>
                  <pic:spPr bwMode="auto">
                    <a:xfrm>
                      <a:off x="0" y="0"/>
                      <a:ext cx="6184900" cy="3761105"/>
                    </a:xfrm>
                    <a:prstGeom prst="rect">
                      <a:avLst/>
                    </a:prstGeom>
                    <a:noFill/>
                    <a:ln>
                      <a:noFill/>
                    </a:ln>
                  </pic:spPr>
                </pic:pic>
              </a:graphicData>
            </a:graphic>
          </wp:inline>
        </w:drawing>
      </w:r>
    </w:p>
    <w:p w14:paraId="06F4086D" w14:textId="77777777" w:rsidR="00B650E5" w:rsidRPr="00DE5D89" w:rsidRDefault="00B650E5">
      <w:pPr>
        <w:pStyle w:val="Default"/>
      </w:pPr>
      <w:r w:rsidRPr="00DE5D89">
        <w:t xml:space="preserve">* </w:t>
      </w:r>
      <w:r w:rsidRPr="00DE5D89">
        <w:rPr>
          <w:rStyle w:val="A7"/>
          <w:sz w:val="24"/>
          <w:u w:val="single"/>
        </w:rPr>
        <w:t>Ex post kontrola sa vykonáva ako:</w:t>
      </w:r>
      <w:r w:rsidRPr="00DE5D89">
        <w:rPr>
          <w:rStyle w:val="A7"/>
          <w:sz w:val="24"/>
        </w:rPr>
        <w:t xml:space="preserve"> </w:t>
      </w:r>
    </w:p>
    <w:p w14:paraId="5AF3FEB6" w14:textId="77777777" w:rsidR="00B650E5" w:rsidRPr="00DE5D89" w:rsidRDefault="00B650E5" w:rsidP="00DE5D89">
      <w:pPr>
        <w:pStyle w:val="Odsekzoznamu"/>
        <w:numPr>
          <w:ilvl w:val="1"/>
          <w:numId w:val="385"/>
        </w:numPr>
        <w:ind w:left="426" w:hanging="426"/>
      </w:pPr>
      <w:r>
        <w:t xml:space="preserve">finančná </w:t>
      </w:r>
      <w:r w:rsidRPr="00DE5D89">
        <w:t>kontrola VO, ktoré nespadá pod písm. b) – g) tohto odseku (ďalej len „štandardná ex post kontrola“),</w:t>
      </w:r>
    </w:p>
    <w:p w14:paraId="5D7F6009" w14:textId="77777777" w:rsidR="00B650E5" w:rsidRPr="00DE5D89" w:rsidRDefault="00B650E5" w:rsidP="00DE5D89">
      <w:pPr>
        <w:pStyle w:val="Odsekzoznamu"/>
        <w:numPr>
          <w:ilvl w:val="1"/>
          <w:numId w:val="385"/>
        </w:numPr>
        <w:ind w:left="426" w:hanging="426"/>
      </w:pPr>
      <w:r>
        <w:t xml:space="preserve">finančná </w:t>
      </w:r>
      <w:r w:rsidRPr="00DE5D89">
        <w:t>kontrola VO, ktoré bolo predmetom druhej ex ante kontroly (ďalej len „následná ex post kontrola“),</w:t>
      </w:r>
    </w:p>
    <w:p w14:paraId="7A9423E4" w14:textId="77777777" w:rsidR="00B650E5" w:rsidRPr="00DE5D89" w:rsidRDefault="00B650E5" w:rsidP="00DE5D89">
      <w:pPr>
        <w:pStyle w:val="Odsekzoznamu"/>
        <w:numPr>
          <w:ilvl w:val="1"/>
          <w:numId w:val="385"/>
        </w:numPr>
        <w:ind w:left="426" w:hanging="426"/>
      </w:pPr>
      <w:r>
        <w:t xml:space="preserve">finančná </w:t>
      </w:r>
      <w:r w:rsidRPr="00DE5D89">
        <w:t xml:space="preserve">kontrola zákaziek </w:t>
      </w:r>
      <w:r>
        <w:t xml:space="preserve">s nízkymi hodnotami </w:t>
      </w:r>
      <w:r w:rsidRPr="00DE5D89">
        <w:t xml:space="preserve">podľa § </w:t>
      </w:r>
      <w:r>
        <w:t xml:space="preserve">117 </w:t>
      </w:r>
      <w:r w:rsidRPr="00DE5D89">
        <w:t>ZVO,</w:t>
      </w:r>
    </w:p>
    <w:p w14:paraId="2031CDE1" w14:textId="77777777" w:rsidR="00B650E5" w:rsidRPr="00DE5D89" w:rsidRDefault="00B650E5" w:rsidP="00DE5D89">
      <w:pPr>
        <w:pStyle w:val="Odsekzoznamu"/>
        <w:numPr>
          <w:ilvl w:val="1"/>
          <w:numId w:val="385"/>
        </w:numPr>
        <w:ind w:left="426" w:hanging="426"/>
      </w:pPr>
      <w:r>
        <w:t xml:space="preserve">finančná </w:t>
      </w:r>
      <w:r w:rsidRPr="00DE5D89">
        <w:t>kontrola VO, v ktorého rámci viacerí prijímatelia nadobúdajú tovary, práce alebo služby prostredníctvom</w:t>
      </w:r>
      <w:r>
        <w:t xml:space="preserve"> </w:t>
      </w:r>
      <w:r w:rsidRPr="00DE5D89">
        <w:t>centrálnej obstarávacej organizácie,</w:t>
      </w:r>
    </w:p>
    <w:p w14:paraId="31B3E185" w14:textId="77777777" w:rsidR="00B650E5" w:rsidRDefault="00B650E5" w:rsidP="00DE5D89">
      <w:pPr>
        <w:pStyle w:val="Odsekzoznamu"/>
        <w:numPr>
          <w:ilvl w:val="1"/>
          <w:numId w:val="385"/>
        </w:numPr>
        <w:spacing w:before="120" w:after="120"/>
        <w:ind w:left="426" w:hanging="426"/>
        <w:jc w:val="both"/>
      </w:pPr>
      <w:r>
        <w:t xml:space="preserve">finančná </w:t>
      </w:r>
      <w:r w:rsidRPr="00DE5D89">
        <w:t>kontrola VO v rámci schvaľovacieho procesu ŽoNFP</w:t>
      </w:r>
    </w:p>
    <w:p w14:paraId="5CDF684E" w14:textId="77777777" w:rsidR="00B650E5" w:rsidRDefault="00B650E5" w:rsidP="00DE5D89">
      <w:pPr>
        <w:pStyle w:val="Odsekzoznamu"/>
        <w:numPr>
          <w:ilvl w:val="1"/>
          <w:numId w:val="385"/>
        </w:numPr>
        <w:spacing w:before="120" w:after="120"/>
        <w:ind w:left="426" w:hanging="426"/>
        <w:jc w:val="both"/>
      </w:pPr>
      <w:r>
        <w:lastRenderedPageBreak/>
        <w:t>finančná kontrola VO národných projektov, veľkých projektov, ktoré sú súčasťou zoznamu projektov a projektov technickej pomoci pred podpisom zmluvy o NFP,</w:t>
      </w:r>
    </w:p>
    <w:p w14:paraId="01B172FF" w14:textId="77777777" w:rsidR="00B650E5" w:rsidRDefault="00B650E5" w:rsidP="00DE5D89">
      <w:pPr>
        <w:pStyle w:val="Odsekzoznamu"/>
        <w:numPr>
          <w:ilvl w:val="1"/>
          <w:numId w:val="385"/>
        </w:numPr>
        <w:spacing w:before="120" w:after="120"/>
        <w:ind w:left="426" w:hanging="426"/>
        <w:jc w:val="both"/>
      </w:pPr>
      <w:r>
        <w:t>finančná kontrola zákaziek realizovaných cez elektronické trhovisko</w:t>
      </w:r>
    </w:p>
    <w:p w14:paraId="0F956161" w14:textId="77777777" w:rsidR="00B650E5" w:rsidRDefault="00B650E5" w:rsidP="003120E4">
      <w:pPr>
        <w:pStyle w:val="SRK5"/>
        <w:jc w:val="both"/>
      </w:pPr>
      <w:bookmarkStart w:id="344" w:name="_Toc386529564"/>
      <w:bookmarkStart w:id="345" w:name="_Toc390248454"/>
      <w:bookmarkStart w:id="346" w:name="_Toc453234030"/>
      <w:bookmarkStart w:id="347" w:name="_Toc501630083"/>
      <w:bookmarkStart w:id="348" w:name="kapitola_33721"/>
      <w:r>
        <w:t xml:space="preserve">3.3.7.2.1.  Prvá </w:t>
      </w:r>
      <w:r w:rsidR="00FB1D18">
        <w:t>ex ante</w:t>
      </w:r>
      <w:r>
        <w:t xml:space="preserve"> kontrola po podpise zmluvy o </w:t>
      </w:r>
      <w:bookmarkEnd w:id="344"/>
      <w:bookmarkEnd w:id="345"/>
      <w:bookmarkEnd w:id="346"/>
      <w:r>
        <w:t>NFP</w:t>
      </w:r>
      <w:bookmarkEnd w:id="347"/>
    </w:p>
    <w:bookmarkEnd w:id="348"/>
    <w:p w14:paraId="70C57751" w14:textId="77777777" w:rsidR="00B650E5" w:rsidRDefault="00B650E5">
      <w:pPr>
        <w:numPr>
          <w:ilvl w:val="0"/>
          <w:numId w:val="237"/>
        </w:numPr>
        <w:spacing w:before="120" w:after="120"/>
        <w:ind w:left="426" w:hanging="426"/>
        <w:jc w:val="both"/>
      </w:pPr>
      <w:r>
        <w:t xml:space="preserve">Prvú </w:t>
      </w:r>
      <w:r w:rsidR="00FB1D18">
        <w:t>ex ante</w:t>
      </w:r>
      <w:r>
        <w:t xml:space="preserv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14:paraId="627F4E4B" w14:textId="77777777" w:rsidR="00B650E5" w:rsidRDefault="00B650E5">
      <w:pPr>
        <w:numPr>
          <w:ilvl w:val="0"/>
          <w:numId w:val="237"/>
        </w:numPr>
        <w:spacing w:before="120" w:after="120"/>
        <w:ind w:left="426" w:hanging="426"/>
        <w:jc w:val="both"/>
      </w:pPr>
      <w:bookmarkStart w:id="349" w:name="kapitola_33721_ods_2"/>
      <w:r>
        <w:t xml:space="preserve">Povinnosť prijímateľa predkladať dokumentáciu na prvú </w:t>
      </w:r>
      <w:r w:rsidR="00FB1D18">
        <w:t>ex ante</w:t>
      </w:r>
      <w:r>
        <w:t xml:space="preserve"> kontrolu sa vzťahuje na všetky nadlimitné zákazky, </w:t>
      </w:r>
      <w:r w:rsidR="00322B00">
        <w:t xml:space="preserve">nadlimitné zákazky realizované podlimitným postupom zadávania zákazky, </w:t>
      </w:r>
      <w:r>
        <w:t>na</w:t>
      </w:r>
      <w:r w:rsidRPr="00D97958">
        <w:t xml:space="preserve"> nadlimitné verejné súťaže s využitím elektronického trhoviska</w:t>
      </w:r>
      <w:r>
        <w:t xml:space="preserve"> podľa</w:t>
      </w:r>
      <w:r w:rsidR="00322B00">
        <w:t xml:space="preserve"> </w:t>
      </w:r>
      <w:r>
        <w:t xml:space="preserve">§ 66 ods. 8 ZVO </w:t>
      </w:r>
      <w:r w:rsidR="00322B00">
        <w:t xml:space="preserve">                     </w:t>
      </w:r>
      <w:r>
        <w:t xml:space="preserve">na bežne dostupné tovary alebo bežne dostupné služby, ktoré nie sú intelektuálnej povahy </w:t>
      </w:r>
      <w:r w:rsidR="00322B00">
        <w:t xml:space="preserve">                      </w:t>
      </w:r>
      <w:r>
        <w:t xml:space="preserve">a na podlimitné zákazky na stavebné práce </w:t>
      </w:r>
      <w:r w:rsidR="00F87669">
        <w:t xml:space="preserve">bez využitia elektronického trhoviska </w:t>
      </w:r>
      <w:r>
        <w:t>a podlimitné zákazky na služby podľa prílohy č. 1 ZVO (sociálne služby a iné osobitné služby)</w:t>
      </w:r>
      <w:r w:rsidR="00294899">
        <w:t xml:space="preserve"> bez využitia elektronického trhoviska</w:t>
      </w:r>
      <w:r>
        <w:t>.</w:t>
      </w:r>
    </w:p>
    <w:bookmarkEnd w:id="349"/>
    <w:p w14:paraId="48EB746E" w14:textId="77777777" w:rsidR="00B650E5" w:rsidRDefault="00B650E5">
      <w:pPr>
        <w:numPr>
          <w:ilvl w:val="0"/>
          <w:numId w:val="237"/>
        </w:numPr>
        <w:spacing w:before="120" w:after="120"/>
        <w:ind w:left="426" w:hanging="426"/>
        <w:jc w:val="both"/>
      </w:pPr>
      <w:r>
        <w:t xml:space="preserve">Prvá </w:t>
      </w:r>
      <w:r w:rsidR="00FB1D18">
        <w:t>ex ante</w:t>
      </w:r>
      <w:r>
        <w:t xml:space="preserve"> kontrola sa povinne nevykonáva pri:</w:t>
      </w:r>
    </w:p>
    <w:p w14:paraId="0BDE69FE" w14:textId="77777777" w:rsidR="00B650E5" w:rsidRDefault="00B650E5">
      <w:pPr>
        <w:numPr>
          <w:ilvl w:val="0"/>
          <w:numId w:val="49"/>
        </w:numPr>
        <w:spacing w:before="120" w:after="120"/>
        <w:ind w:left="851" w:hanging="425"/>
        <w:jc w:val="both"/>
      </w:pPr>
      <w:r>
        <w:t>zákazkách s nízkymi hodnotami podľa § 117  ZVO,</w:t>
      </w:r>
    </w:p>
    <w:p w14:paraId="6E94FA6E" w14:textId="77777777" w:rsidR="00B650E5" w:rsidRDefault="00B650E5">
      <w:pPr>
        <w:numPr>
          <w:ilvl w:val="0"/>
          <w:numId w:val="49"/>
        </w:numPr>
        <w:spacing w:before="120" w:after="120"/>
        <w:ind w:left="851" w:hanging="425"/>
        <w:jc w:val="both"/>
      </w:pPr>
      <w:r>
        <w:t>kontrole VO v rámci schvaľovania ŽoNFP,</w:t>
      </w:r>
    </w:p>
    <w:p w14:paraId="645840E6" w14:textId="77777777" w:rsidR="00B650E5" w:rsidRDefault="00B650E5">
      <w:pPr>
        <w:numPr>
          <w:ilvl w:val="0"/>
          <w:numId w:val="49"/>
        </w:numPr>
        <w:spacing w:before="120" w:after="120"/>
        <w:ind w:left="851" w:hanging="425"/>
        <w:jc w:val="both"/>
      </w:pPr>
      <w:r>
        <w:t>podlimitných zákazkách, okrem podlimitných zákaziek podľa ods. 2.,</w:t>
      </w:r>
    </w:p>
    <w:p w14:paraId="28BEA9F9" w14:textId="77777777" w:rsidR="00B650E5" w:rsidRDefault="00B650E5" w:rsidP="00FB1682">
      <w:pPr>
        <w:numPr>
          <w:ilvl w:val="0"/>
          <w:numId w:val="49"/>
        </w:numPr>
        <w:spacing w:before="120" w:after="120"/>
        <w:ind w:left="851" w:hanging="425"/>
        <w:jc w:val="both"/>
      </w:pPr>
      <w:r>
        <w:t>zákazkách, v rámci ktorých viacerí prijímatelia nadobúdajú tovary, práce alebo služby prostredníctvom centrálnej obstarávacej organizácie podľa § 15 ods. 2 a ods. 4 ZVO, týkajú sa viacerých operačných programov</w:t>
      </w:r>
      <w:r w:rsidRPr="00FE4B08">
        <w:t xml:space="preserve"> a jednotlivé RO</w:t>
      </w:r>
      <w:r>
        <w:t>/SO</w:t>
      </w:r>
      <w:r w:rsidRPr="00FE4B08">
        <w:t xml:space="preserve">, ktoré sú zároveň COO nie sú tou istou právnickou osobou. </w:t>
      </w:r>
      <w:r>
        <w:t xml:space="preserve"> </w:t>
      </w:r>
    </w:p>
    <w:p w14:paraId="358B76F2" w14:textId="77777777" w:rsidR="00B650E5" w:rsidRDefault="00B650E5">
      <w:pPr>
        <w:numPr>
          <w:ilvl w:val="0"/>
          <w:numId w:val="237"/>
        </w:numPr>
        <w:spacing w:before="120" w:after="120"/>
        <w:ind w:left="426" w:hanging="426"/>
        <w:jc w:val="both"/>
      </w:pPr>
      <w:r>
        <w:t>Predbežnému schváleniu RO podľa relevantnosti k príslušnému postupu VO podliehajú nasledovné dokumenty:</w:t>
      </w:r>
    </w:p>
    <w:p w14:paraId="425EF250" w14:textId="77777777" w:rsidR="00B650E5" w:rsidRDefault="00B650E5">
      <w:pPr>
        <w:numPr>
          <w:ilvl w:val="0"/>
          <w:numId w:val="43"/>
        </w:numPr>
        <w:spacing w:before="120" w:after="120"/>
        <w:ind w:left="851" w:hanging="425"/>
        <w:jc w:val="both"/>
      </w:pPr>
      <w:r>
        <w:t>dokument preukazujúci určenie predpokladanej hodnoty zákazky, vrátane dokladov rozhodujúcich pre jej kalkuláciu,</w:t>
      </w:r>
    </w:p>
    <w:p w14:paraId="4F82BD14" w14:textId="77777777" w:rsidR="00B650E5" w:rsidRDefault="00B650E5">
      <w:pPr>
        <w:numPr>
          <w:ilvl w:val="0"/>
          <w:numId w:val="43"/>
        </w:numPr>
        <w:spacing w:before="120" w:after="120"/>
        <w:ind w:left="851" w:hanging="425"/>
        <w:jc w:val="both"/>
      </w:pPr>
      <w:r>
        <w:t>návrh oznámenia o vyhlásení VO,</w:t>
      </w:r>
    </w:p>
    <w:p w14:paraId="659C962F" w14:textId="77777777" w:rsidR="00B650E5" w:rsidRDefault="00B650E5">
      <w:pPr>
        <w:numPr>
          <w:ilvl w:val="0"/>
          <w:numId w:val="43"/>
        </w:numPr>
        <w:spacing w:before="120" w:after="120"/>
        <w:ind w:left="851" w:hanging="425"/>
        <w:jc w:val="both"/>
      </w:pPr>
      <w:r>
        <w:t>návrh oznámenia o vyhlásení súťaže návrhov (pri súťaži návrhov),</w:t>
      </w:r>
    </w:p>
    <w:p w14:paraId="433A74D2" w14:textId="77777777" w:rsidR="00B650E5" w:rsidRDefault="00B650E5" w:rsidP="00C80B86">
      <w:pPr>
        <w:numPr>
          <w:ilvl w:val="0"/>
          <w:numId w:val="43"/>
        </w:numPr>
        <w:spacing w:before="120" w:after="120"/>
        <w:ind w:left="851" w:hanging="425"/>
        <w:jc w:val="both"/>
      </w:pPr>
      <w:r>
        <w:t>návrh výzvy na predkladanie ponúk (pri podlimitnej zákazke bez využitia elektronického trhoviska),</w:t>
      </w:r>
    </w:p>
    <w:p w14:paraId="34A07DC6" w14:textId="77777777" w:rsidR="00B650E5" w:rsidRDefault="00B650E5">
      <w:pPr>
        <w:numPr>
          <w:ilvl w:val="0"/>
          <w:numId w:val="43"/>
        </w:numPr>
        <w:spacing w:before="120" w:after="120"/>
        <w:ind w:left="851" w:hanging="425"/>
        <w:jc w:val="both"/>
      </w:pPr>
      <w:r>
        <w:t>návrh oznámenia o zámere uzavrieť zmluvu (pri priamom rokovacom konaní),</w:t>
      </w:r>
    </w:p>
    <w:p w14:paraId="0C05D479" w14:textId="77777777" w:rsidR="00B650E5" w:rsidRDefault="00B650E5" w:rsidP="009D6DF9">
      <w:pPr>
        <w:numPr>
          <w:ilvl w:val="0"/>
          <w:numId w:val="43"/>
        </w:numPr>
        <w:spacing w:before="120" w:after="120"/>
        <w:ind w:left="851" w:hanging="425"/>
        <w:jc w:val="both"/>
      </w:pPr>
      <w:r w:rsidRPr="00CA67A4">
        <w:t>odôvodnenie použitia priameho rokovacieho konania</w:t>
      </w:r>
      <w:r w:rsidR="00CC48CB">
        <w:t>,</w:t>
      </w:r>
    </w:p>
    <w:p w14:paraId="56B4DAA1" w14:textId="77777777" w:rsidR="00B650E5" w:rsidRDefault="00B650E5" w:rsidP="009D6DF9">
      <w:pPr>
        <w:numPr>
          <w:ilvl w:val="0"/>
          <w:numId w:val="43"/>
        </w:numPr>
        <w:spacing w:before="120" w:after="120"/>
        <w:ind w:left="851" w:hanging="425"/>
        <w:jc w:val="both"/>
      </w:pPr>
      <w:r>
        <w:t>návrh súťažných podkladov,</w:t>
      </w:r>
    </w:p>
    <w:p w14:paraId="733446ED" w14:textId="77777777" w:rsidR="00B650E5" w:rsidRDefault="00B650E5">
      <w:pPr>
        <w:numPr>
          <w:ilvl w:val="0"/>
          <w:numId w:val="43"/>
        </w:numPr>
        <w:spacing w:before="120" w:after="120"/>
        <w:ind w:left="851" w:hanging="425"/>
        <w:jc w:val="both"/>
      </w:pPr>
      <w:r>
        <w:t>návrh súťažných podmienok (pri súťaži návrhov),</w:t>
      </w:r>
    </w:p>
    <w:p w14:paraId="3791D647" w14:textId="77777777" w:rsidR="00B650E5" w:rsidRDefault="00B650E5">
      <w:pPr>
        <w:numPr>
          <w:ilvl w:val="0"/>
          <w:numId w:val="43"/>
        </w:numPr>
        <w:spacing w:before="120" w:after="120"/>
        <w:ind w:left="851" w:hanging="425"/>
        <w:jc w:val="both"/>
      </w:pPr>
      <w:r>
        <w:t>odôvodnenie použitia súťažného dialógu,</w:t>
      </w:r>
    </w:p>
    <w:p w14:paraId="70D63616" w14:textId="77777777" w:rsidR="00B650E5" w:rsidRDefault="00B650E5">
      <w:pPr>
        <w:numPr>
          <w:ilvl w:val="0"/>
          <w:numId w:val="43"/>
        </w:numPr>
        <w:spacing w:before="120" w:after="120"/>
        <w:ind w:left="851" w:hanging="425"/>
        <w:jc w:val="both"/>
      </w:pPr>
      <w:r>
        <w:t>návrh výzvy na účasť v súťažnom dialógu,</w:t>
      </w:r>
    </w:p>
    <w:p w14:paraId="64E5D117" w14:textId="77777777" w:rsidR="00B650E5" w:rsidRDefault="00B650E5">
      <w:pPr>
        <w:numPr>
          <w:ilvl w:val="0"/>
          <w:numId w:val="43"/>
        </w:numPr>
        <w:spacing w:before="120" w:after="120"/>
        <w:ind w:left="851" w:hanging="425"/>
        <w:jc w:val="both"/>
      </w:pPr>
      <w:r>
        <w:t>návrh informatívneho dokumentu (pri súťažnom dialógu),</w:t>
      </w:r>
    </w:p>
    <w:p w14:paraId="5F935D29" w14:textId="77777777" w:rsidR="00B650E5" w:rsidRDefault="00B650E5" w:rsidP="003120E4">
      <w:pPr>
        <w:numPr>
          <w:ilvl w:val="0"/>
          <w:numId w:val="43"/>
        </w:numPr>
        <w:spacing w:before="120" w:after="120"/>
        <w:ind w:left="851" w:hanging="425"/>
        <w:jc w:val="both"/>
      </w:pPr>
      <w:r w:rsidRPr="00577A63">
        <w:t xml:space="preserve">návrh zmluvného formuláru obsahujúceho štandardné zmluvné podmienky, opis predmetu zákazky, prípadné objednávkové atribúty (najmä konkrétne zmluvné špecifikácie a podmienky súťaže v rámci súťaže realizovanej cez elektronické trhovisko), a zároveň </w:t>
      </w:r>
      <w:r w:rsidRPr="00577A63">
        <w:lastRenderedPageBreak/>
        <w:t>automaticky vytvorené oznámenie o vyhlásení verejného obstarávania a súťažné podklady</w:t>
      </w:r>
      <w:r>
        <w:t xml:space="preserve">, </w:t>
      </w:r>
      <w:r w:rsidRPr="002801FF">
        <w:t>ktoré boli automatizovaným spôsobom vytvorené z údajov zo zverejnenej ponuky na elektronickom trhovisku a informácií od prijímateľa</w:t>
      </w:r>
      <w:r w:rsidRPr="00577A63">
        <w:t xml:space="preserve"> (špeciálne v rámci nadlimitnej </w:t>
      </w:r>
      <w:r>
        <w:t xml:space="preserve">verejnej </w:t>
      </w:r>
      <w:r w:rsidRPr="00577A63">
        <w:t>súťaže realizovanej cez elektronické trhovisko)</w:t>
      </w:r>
      <w:r>
        <w:t>.</w:t>
      </w:r>
    </w:p>
    <w:p w14:paraId="3369C6C3" w14:textId="77777777" w:rsidR="00B650E5" w:rsidRDefault="00B650E5">
      <w:pPr>
        <w:numPr>
          <w:ilvl w:val="0"/>
          <w:numId w:val="237"/>
        </w:numPr>
        <w:spacing w:before="120" w:after="120"/>
        <w:ind w:left="426" w:hanging="426"/>
        <w:jc w:val="both"/>
      </w:pPr>
      <w:bookmarkStart w:id="350" w:name="kapitola_33721_ods_5"/>
      <w:r>
        <w:t xml:space="preserve">RO je oprávnený v zmluve o NFP alebo v inom záväznom dokumente, na ktorý zmluva o NFP odkazuje, určiť prijímateľom povinnosti prvej </w:t>
      </w:r>
      <w:r w:rsidR="00FB1D18">
        <w:t>ex ante</w:t>
      </w:r>
      <w:r>
        <w:t xml:space="preserve"> kontroly aj nad rámec uvedeného rozsahu. To znamená, že môže definovať rozsah predbežného schvaľovania aj pre podlimitné zákazky </w:t>
      </w:r>
      <w:r w:rsidR="00B61557">
        <w:t xml:space="preserve">s využitím </w:t>
      </w:r>
      <w:r>
        <w:t>elektronického trhoviska</w:t>
      </w:r>
      <w:r w:rsidR="00B61557">
        <w:t>, podlimitné zákazky na dodanie tovaru alebo poskytnutie služieb</w:t>
      </w:r>
      <w:r>
        <w:t xml:space="preserve"> a tiež na iné fázy procesu VO, napríklad na kontrolu vyhodnotenia splnenia podmienok účasti alebo ponúk, pričom tieto kontroly si RO zadefinuje ako samostatné povinné prvé </w:t>
      </w:r>
      <w:r w:rsidR="00FB1D18">
        <w:t>ex ante</w:t>
      </w:r>
      <w:r>
        <w:t xml:space="preserve"> kontroly vrátane súvisiacich pravidiel tejto kontroly. Uvedené nemá vplyv na povinnosť vykonania prvej </w:t>
      </w:r>
      <w:r w:rsidR="00FB1D18">
        <w:t>ex ante</w:t>
      </w:r>
      <w:r>
        <w:t xml:space="preserve"> kontroly v zmysle </w:t>
      </w:r>
      <w:hyperlink w:anchor="kapitola_33721_ods_2" w:tooltip="ods. 2, 3 a 4" w:history="1">
        <w:r>
          <w:rPr>
            <w:rStyle w:val="Hypertextovprepojenie"/>
          </w:rPr>
          <w:t>ods. 2, 3 a 4</w:t>
        </w:r>
      </w:hyperlink>
      <w:r>
        <w:t xml:space="preserve">. </w:t>
      </w:r>
    </w:p>
    <w:bookmarkEnd w:id="350"/>
    <w:p w14:paraId="7BFAEAA6" w14:textId="77777777" w:rsidR="00B650E5" w:rsidRDefault="00B650E5">
      <w:pPr>
        <w:numPr>
          <w:ilvl w:val="0"/>
          <w:numId w:val="237"/>
        </w:numPr>
        <w:spacing w:before="120" w:after="120"/>
        <w:ind w:left="426" w:hanging="426"/>
        <w:jc w:val="both"/>
      </w:pPr>
      <w:r w:rsidRPr="00530C13">
        <w:t xml:space="preserve">Vyhlásenie alebo začatie realizácie VO prijímateľom  pred riadnym ukončením </w:t>
      </w:r>
      <w:r>
        <w:t xml:space="preserve">prvej </w:t>
      </w:r>
      <w:r w:rsidR="00FB1D18">
        <w:t>ex ante</w:t>
      </w:r>
      <w:r w:rsidRPr="00530C13">
        <w:t xml:space="preserve"> kontroly zo strany RO (zaslanie správy z kontroly)</w:t>
      </w:r>
      <w:r>
        <w:t>, resp. nepredloženie dokumentácie na túto kontrolu</w:t>
      </w:r>
      <w:r w:rsidRPr="00530C13">
        <w:t xml:space="preserve"> </w:t>
      </w:r>
      <w:r>
        <w:t xml:space="preserve">bude môcť RO vyhodnotiť ako podstatné porušenie zmluvy o NFP. Pokiaľ prijímateľ vyhlási VO v rozpore s požiadavkami RO vyplývajúcimi z výsledkov prvej </w:t>
      </w:r>
      <w:r w:rsidR="00FB1D18">
        <w:t>ex ante</w:t>
      </w:r>
      <w:r>
        <w:t xml:space="preserve"> kontroly a v rámci </w:t>
      </w:r>
      <w:r w:rsidR="00FB1D18">
        <w:t>ex post</w:t>
      </w:r>
      <w:r>
        <w:t xml:space="preserve"> kontroly RO zistí pochybenie pri VO súvisiace s týmto rozporom, určí RO zodpovedajúcu výšku </w:t>
      </w:r>
      <w:r w:rsidR="00FB1D18">
        <w:t>ex ante</w:t>
      </w:r>
      <w:r>
        <w:t xml:space="preserve"> finančnej opravy alebo nepripustí výdavky do financovania v plnom rozsahu. Nepripustenie do financovania znamená, že všetky výdavky vychádzajúce z realizácie výsledku daného VO budú zo strany RO v prípade, že budú zahrnuté v ŽoP, označené ako neoprávnené. Ak si RO v zmysle </w:t>
      </w:r>
      <w:hyperlink w:anchor="kapitola_33721_ods_5" w:tooltip="ods. 5" w:history="1">
        <w:r>
          <w:rPr>
            <w:rStyle w:val="Hypertextovprepojenie"/>
          </w:rPr>
          <w:t>ods. 5</w:t>
        </w:r>
      </w:hyperlink>
      <w:r>
        <w:t xml:space="preserve"> určí ako povinné aj iné prvé </w:t>
      </w:r>
      <w:r w:rsidR="00FB1D18">
        <w:t>ex ante</w:t>
      </w:r>
      <w:r>
        <w:t xml:space="preserve"> kontroly (napr. prvá </w:t>
      </w:r>
      <w:r w:rsidR="00FB1D18">
        <w:t>ex ante</w:t>
      </w:r>
      <w:r>
        <w:t xml:space="preserve"> kontrola podlimitných zákaziek </w:t>
      </w:r>
      <w:r w:rsidR="0000401A">
        <w:t xml:space="preserve">s využitím </w:t>
      </w:r>
      <w:r>
        <w:t xml:space="preserve">elektronického trhoviska), je oprávnený v prípade nerešpektovania pravidiel tejto kontroly zo strany prijímateľa vyvodiť voči nemu obdobné postihy ako sú  uvedené v tomto odseku. </w:t>
      </w:r>
    </w:p>
    <w:p w14:paraId="6408CAE7" w14:textId="77777777" w:rsidR="00B650E5" w:rsidRDefault="00B650E5">
      <w:pPr>
        <w:numPr>
          <w:ilvl w:val="0"/>
          <w:numId w:val="237"/>
        </w:numPr>
        <w:spacing w:before="120" w:after="120"/>
        <w:ind w:left="426" w:hanging="426"/>
        <w:jc w:val="both"/>
      </w:pPr>
      <w:r>
        <w:t xml:space="preserve">S ohľadom na spoluprácu s ÚVO, PMÚ, resp. s inými orgánmi je RO pri výkone prvej </w:t>
      </w:r>
      <w:r w:rsidR="00FB1D18">
        <w:t>ex ante</w:t>
      </w:r>
      <w:r>
        <w:t xml:space="preserve"> kontroly povinný postupovať v zmysle  </w:t>
      </w:r>
      <w:hyperlink w:anchor="kapitola_3374" w:tooltip="kapitoly 3.3.7.4" w:history="1">
        <w:r>
          <w:rPr>
            <w:rStyle w:val="Hypertextovprepojenie"/>
          </w:rPr>
          <w:t>kapitoly 3.3.7.4</w:t>
        </w:r>
      </w:hyperlink>
      <w:r>
        <w:t xml:space="preserve">. </w:t>
      </w:r>
    </w:p>
    <w:p w14:paraId="405CEFA3" w14:textId="77777777" w:rsidR="00B650E5" w:rsidRDefault="00B650E5">
      <w:pPr>
        <w:numPr>
          <w:ilvl w:val="0"/>
          <w:numId w:val="237"/>
        </w:numPr>
        <w:spacing w:before="120" w:after="120"/>
        <w:ind w:left="426" w:hanging="426"/>
        <w:jc w:val="both"/>
      </w:pPr>
      <w:r>
        <w:t xml:space="preserve">Lehota na výkon prvej </w:t>
      </w:r>
      <w:r w:rsidR="00FB1D18">
        <w:t>ex ante</w:t>
      </w:r>
      <w:r>
        <w:t xml:space="preserve"> kontroly je 15 pracovných dní. V prípade, že RO zašle prijímateľovi žiadosť o vysvetlenie alebo doplnenie dokumentácie, určí v tejto žiadosti lehotu minimálne 5 pracovných dní a maximálne 10 pracovných dní na zaslanie tohto vysvetlenia, doplnenia alebo úpravy zo strany prijímateľa. Dňom odoslania žiadosti </w:t>
      </w:r>
      <w:r w:rsidR="0000401A">
        <w:t xml:space="preserve">sa prerušuje </w:t>
      </w:r>
      <w:r>
        <w:t xml:space="preserve">lehota na výkon kontroly. Dňom nasledujúcim po dni doručenia vysvetlenia alebo doplnenia dokumentácie </w:t>
      </w:r>
      <w:r w:rsidR="0000401A">
        <w:t xml:space="preserve">pokračuje plynutie </w:t>
      </w:r>
      <w:r>
        <w:t>lehot</w:t>
      </w:r>
      <w:r w:rsidR="0000401A">
        <w:t>y</w:t>
      </w:r>
      <w:r>
        <w:t xml:space="preserve"> na výkon finančnej kontroly VO.</w:t>
      </w:r>
    </w:p>
    <w:p w14:paraId="48621363" w14:textId="77777777" w:rsidR="00B650E5" w:rsidRPr="00305CCD" w:rsidRDefault="00B650E5">
      <w:pPr>
        <w:numPr>
          <w:ilvl w:val="0"/>
          <w:numId w:val="237"/>
        </w:numPr>
        <w:spacing w:before="120" w:after="120"/>
        <w:ind w:left="426" w:hanging="426"/>
        <w:jc w:val="both"/>
      </w:pPr>
      <w:r>
        <w:t xml:space="preserve">Pri predĺžení lehôt </w:t>
      </w:r>
      <w:r w:rsidRPr="00530C13">
        <w:t xml:space="preserve">na výkon kontroly </w:t>
      </w:r>
      <w:r w:rsidRPr="00305CCD">
        <w:t xml:space="preserve">postupuje RO podľa </w:t>
      </w:r>
      <w:hyperlink w:anchor="kapitola_3372_ods_7" w:tooltip="kapitoly 3.3.7.2. ods. 7" w:history="1">
        <w:r w:rsidRPr="00530C13">
          <w:rPr>
            <w:rStyle w:val="Hypertextovprepojenie"/>
          </w:rPr>
          <w:t>kapitoly 3.3.7.2. ods. 7</w:t>
        </w:r>
      </w:hyperlink>
      <w:r w:rsidRPr="00530C13">
        <w:t xml:space="preserve">.  </w:t>
      </w:r>
    </w:p>
    <w:p w14:paraId="758E8844" w14:textId="77777777" w:rsidR="00B650E5" w:rsidRDefault="00B650E5" w:rsidP="002657D2">
      <w:pPr>
        <w:numPr>
          <w:ilvl w:val="0"/>
          <w:numId w:val="237"/>
        </w:numPr>
        <w:spacing w:before="120" w:after="120"/>
        <w:ind w:left="426" w:hanging="426"/>
        <w:jc w:val="both"/>
      </w:pPr>
      <w:r w:rsidRPr="00530C13">
        <w:t xml:space="preserve">Pokiaľ RO určí v návrhu správy z kontroly opatrenia na odstránenie zistených nedostatkov a na odstránenie príčin ich vzniku, prijímateľ je  povinný ich v stanovenej lehote (minimálne 5 pracovných dní a maximálne 10 pracovných dní) odstrániť a zaslať na RO takto upravenú dokumentáciu. RO je v odôvodnených prípadoch, ak si to povaha úkonu objektívne vyžaduje, oprávnený stanoviť aj dlhšiu lehotu, resp. stanovenú lehotu predĺžiť. Takýmto postupom by malo byť zabezpečené, že RO nebude mať ďalšie výhrady voči kontrolovanej dokumentácii a kontrolu ukončí zaslaním správy z kontroly prijímateľovi, v ktorej konštatuje, že predmetné verejné obstarávanie verejný obstarávateľ/obstarávateľ môže vyhlásiť. V prípade, že ani po druhej výzve RO, prijímateľ nezabezpečí uspokojivú úpravu kontrolovanej dokumentácie, RO je oprávnený </w:t>
      </w:r>
      <w:r>
        <w:t xml:space="preserve">prvú </w:t>
      </w:r>
      <w:r w:rsidR="00FB1D18">
        <w:t>ex ante</w:t>
      </w:r>
      <w:r w:rsidRPr="00530C13">
        <w:t xml:space="preserve"> kontrolu písomne ukončiť zaslaním správy</w:t>
      </w:r>
      <w:r>
        <w:t xml:space="preserve"> z kontroly</w:t>
      </w:r>
      <w:r w:rsidRPr="00530C13">
        <w:t>, v ktorej</w:t>
      </w:r>
      <w:r>
        <w:t xml:space="preserve"> konštatuje nezapracovanie pripomienok. V tomto prípade bude prijímateľ oprávnený začať postup VO, avšak pokiaľ RO identifikuje pri </w:t>
      </w:r>
      <w:r w:rsidR="00FB1D18">
        <w:t>ex post</w:t>
      </w:r>
      <w:r>
        <w:t xml:space="preserve"> kontrole VO nedostatky, ktoré mali alebo mohli mať vplyv na výsledok VO, </w:t>
      </w:r>
      <w:r w:rsidR="00294899">
        <w:t xml:space="preserve">určí zodpovedajúcu výšku </w:t>
      </w:r>
      <w:r w:rsidR="00FB1D18">
        <w:t>ex ante</w:t>
      </w:r>
      <w:r w:rsidR="00294899">
        <w:t xml:space="preserve"> finančnej opravy alebo nepripustí </w:t>
      </w:r>
      <w:r w:rsidR="00294899">
        <w:lastRenderedPageBreak/>
        <w:t xml:space="preserve">výdavky do financovania v plnom rozsahu. </w:t>
      </w:r>
      <w:r w:rsidR="002657D2">
        <w:t>Zároveň bude môcť RO uvedenú skutočnosť vyhodnotiť ako podstatné porušenie zmluvy o NFP.</w:t>
      </w:r>
    </w:p>
    <w:p w14:paraId="780E8798" w14:textId="77777777" w:rsidR="00B650E5" w:rsidRDefault="00B650E5">
      <w:pPr>
        <w:numPr>
          <w:ilvl w:val="0"/>
          <w:numId w:val="237"/>
        </w:numPr>
        <w:spacing w:before="120" w:after="120"/>
        <w:ind w:left="426" w:hanging="426"/>
        <w:jc w:val="both"/>
      </w:pPr>
      <w:r>
        <w:t xml:space="preserve">Ak RO bude mať záujem zúčastniť sa na procese vyhodnotenia ponúk predložených v procese ako člen komisie bez práva vyhodnocovať, upozorní na túto skutočnosť prijímateľov v záveroch kontroly. Prijímateľ je povinný v dostatočnom predstihu dohodnúť s RO tieto nominácie a súvisiace administratívne úkony. </w:t>
      </w:r>
    </w:p>
    <w:p w14:paraId="6074CBD3" w14:textId="77777777" w:rsidR="00B650E5" w:rsidRDefault="00B650E5">
      <w:pPr>
        <w:pStyle w:val="SRK5"/>
      </w:pPr>
      <w:bookmarkStart w:id="351" w:name="_Toc390248456"/>
      <w:bookmarkStart w:id="352" w:name="_Toc453234032"/>
      <w:bookmarkStart w:id="353" w:name="_Toc501630084"/>
      <w:bookmarkStart w:id="354" w:name="kapitola_33722"/>
      <w:bookmarkStart w:id="355" w:name="kapitola_33723"/>
      <w:r>
        <w:t xml:space="preserve">3.3.7.2.2.  Druhá </w:t>
      </w:r>
      <w:r w:rsidR="00FB1D18">
        <w:t>ex ante</w:t>
      </w:r>
      <w:r>
        <w:t xml:space="preserve"> kontrola</w:t>
      </w:r>
      <w:bookmarkEnd w:id="351"/>
      <w:bookmarkEnd w:id="352"/>
      <w:bookmarkEnd w:id="353"/>
      <w:r>
        <w:t xml:space="preserve">  </w:t>
      </w:r>
    </w:p>
    <w:bookmarkEnd w:id="354"/>
    <w:bookmarkEnd w:id="355"/>
    <w:p w14:paraId="7BBC565C" w14:textId="77777777" w:rsidR="00B650E5" w:rsidRDefault="00B650E5" w:rsidP="00322B00">
      <w:pPr>
        <w:numPr>
          <w:ilvl w:val="0"/>
          <w:numId w:val="239"/>
        </w:numPr>
        <w:spacing w:before="120" w:after="120"/>
        <w:ind w:left="426" w:hanging="426"/>
        <w:jc w:val="both"/>
      </w:pPr>
      <w:r>
        <w:t xml:space="preserve">Druhá </w:t>
      </w:r>
      <w:r w:rsidR="00FB1D18">
        <w:t>ex ante</w:t>
      </w:r>
      <w:r>
        <w:t xml:space="preserve"> kontrola je vykonávaná v rámci zákaziek, ktoré sú s ohľadom na predpokladanú hodnotu zákazky nadlimitné</w:t>
      </w:r>
      <w:r w:rsidR="00322B00">
        <w:t xml:space="preserve">, a to aj v prípade, že je nadlimitná zákazka </w:t>
      </w:r>
      <w:r w:rsidR="00322B00" w:rsidRPr="00322B00">
        <w:t>realizovaná podlimitným postupom</w:t>
      </w:r>
      <w:r w:rsidR="00322B00">
        <w:t xml:space="preserve">. </w:t>
      </w:r>
      <w:r>
        <w:t xml:space="preserve">RO je oprávnený vo svojej riadiacej dokumentácii rozšíriť povinnosť tohto typu kontroly aj nad rámec rozsahu uvedeného v prvej vete (napr. pre všetky podlimitné zákazky bez využitia elektronického trhoviska). </w:t>
      </w:r>
    </w:p>
    <w:p w14:paraId="0349F92B" w14:textId="77777777" w:rsidR="00B650E5" w:rsidRDefault="00B650E5" w:rsidP="00B210A6">
      <w:pPr>
        <w:numPr>
          <w:ilvl w:val="0"/>
          <w:numId w:val="239"/>
        </w:numPr>
        <w:spacing w:before="120" w:after="120"/>
        <w:ind w:left="426" w:hanging="426"/>
        <w:jc w:val="both"/>
      </w:pPr>
      <w:r>
        <w:t>Prijímateľ je povinný zaslať dokumentáciu na kontrolu pred podpisom zmluvy s úspešným uchádzačom vo fáze po vyhodnotení ponúk a po ukončení všetkých revíznych postupov. Prijímateľ predkladá dokumentáciu z VO v plnom rozsahu.</w:t>
      </w:r>
    </w:p>
    <w:p w14:paraId="47E88FE8" w14:textId="77777777" w:rsidR="00B650E5" w:rsidRDefault="00B650E5" w:rsidP="005B6917">
      <w:pPr>
        <w:pStyle w:val="Odsekzoznamu"/>
        <w:numPr>
          <w:ilvl w:val="0"/>
          <w:numId w:val="239"/>
        </w:numPr>
        <w:ind w:left="426" w:hanging="426"/>
      </w:pPr>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p w14:paraId="3FE59458" w14:textId="77777777" w:rsidR="00B650E5" w:rsidRDefault="00B650E5" w:rsidP="005B6917">
      <w:pPr>
        <w:numPr>
          <w:ilvl w:val="0"/>
          <w:numId w:val="239"/>
        </w:numPr>
        <w:spacing w:before="120" w:after="120"/>
        <w:ind w:left="426" w:hanging="426"/>
        <w:jc w:val="both"/>
      </w:pPr>
      <w:r>
        <w:t xml:space="preserve">Pri výkone kontroly je RO povinný postupovať v zmysle </w:t>
      </w:r>
      <w:hyperlink w:anchor="kapitola_3374" w:tooltip="kapitoly 3.3.7.4" w:history="1">
        <w:r>
          <w:rPr>
            <w:rStyle w:val="Hypertextovprepojenie"/>
          </w:rPr>
          <w:t>kapitoly 3.3.7.4</w:t>
        </w:r>
      </w:hyperlink>
      <w:r>
        <w:t xml:space="preserve">. </w:t>
      </w:r>
    </w:p>
    <w:p w14:paraId="6578D560" w14:textId="77777777" w:rsidR="00B650E5" w:rsidRDefault="00B650E5" w:rsidP="005B6917">
      <w:pPr>
        <w:numPr>
          <w:ilvl w:val="0"/>
          <w:numId w:val="239"/>
        </w:numPr>
        <w:spacing w:before="120" w:after="120"/>
        <w:ind w:left="426" w:hanging="426"/>
        <w:jc w:val="both"/>
      </w:pPr>
      <w:r>
        <w:t xml:space="preserve">Lehota na výkon  kontroly je 20 pracovných dní. Ak RO zašle prijímateľovi žiadosť                                o vysvetlenie alebo doplnenie dokumentácie, určí v tejto žiadosti lehotu minimálne 5 pracovných dní a maximálne 10 pracovných dní na zaslanie tohto vysvetlenia alebo doplnenia zo strany prijímateľa (uvedené lehoty sa netýkajú prípadov, keď lehota na výkon kontroly neplynie z titulu výkonu kontroly ÚVO). Dňom odoslania žiadosti </w:t>
      </w:r>
      <w:r w:rsidR="0000401A">
        <w:t xml:space="preserve">sa prerušuje </w:t>
      </w:r>
      <w:r>
        <w:t xml:space="preserve">lehota na výkon kontroly. Dňom nasledujúcim po dni doručenia vysvetlenia alebo doplnenia dokumentácie na RO </w:t>
      </w:r>
      <w:r w:rsidR="00C85C75">
        <w:t xml:space="preserve">pokračuje plynutie </w:t>
      </w:r>
      <w:r>
        <w:t>lehot</w:t>
      </w:r>
      <w:r w:rsidR="00C85C75">
        <w:t>y</w:t>
      </w:r>
      <w:r>
        <w:t xml:space="preserve"> na výkon finančnej kontroly VO. Doplnením dokumentácie nemôže dôjsť </w:t>
      </w:r>
      <w:r w:rsidR="00C85C75">
        <w:t xml:space="preserve">                        </w:t>
      </w:r>
      <w:r>
        <w:t xml:space="preserve">k zmene pôvodne predložených dokladov, resp. údajov v nich uvedených. Pokiaľ takúto situáciu RO identifikuje, je oprávnený postupovať v zmysle </w:t>
      </w:r>
      <w:hyperlink w:anchor="kapitola_33743" w:history="1">
        <w:r>
          <w:rPr>
            <w:rStyle w:val="Hypertextovprepojenie"/>
          </w:rPr>
          <w:t>kapitoly 3.3.7.4.3</w:t>
        </w:r>
      </w:hyperlink>
      <w:r>
        <w:t>.  Zároveň, ak napriek čestnému vyhláseniu prijímateľa (viď. kapitola 3.3.7.2. ods. 6) RO identifikuje, že dokumentácia nie je kompletná a pre riadne ukončenie kontroly je nevyhnutné vyzvať prijímateľa na doplnenie týchto chýbajúcich dokladov, uvedenú skutočnosť bude môcť RO vyhodnotiť ako podstatné porušenie zmluvy o NFP.</w:t>
      </w:r>
      <w:r w:rsidRPr="00DF11F0">
        <w:t xml:space="preserve"> </w:t>
      </w:r>
      <w:r>
        <w:t>Súčasťou kontroly je aj vecná kontrola</w:t>
      </w:r>
      <w:r w:rsidRPr="00DF11F0">
        <w:t xml:space="preserve"> súladu predmetu obstarávania, návrhu zmluvných podmienok a iných údajov so schválenou ŽoNFP a účinnou zmluvou o NFP. Závery z výkonu vecnej kontroly sú súčasťou </w:t>
      </w:r>
      <w:r>
        <w:t>návrhu správy/</w:t>
      </w:r>
      <w:r w:rsidRPr="00DF11F0">
        <w:t>s</w:t>
      </w:r>
      <w:r>
        <w:t>právy z kontroly</w:t>
      </w:r>
      <w:r w:rsidRPr="00DF11F0">
        <w:t>.</w:t>
      </w:r>
    </w:p>
    <w:p w14:paraId="679EA2CF" w14:textId="77777777" w:rsidR="00B650E5" w:rsidRDefault="00B650E5" w:rsidP="005B6917">
      <w:pPr>
        <w:numPr>
          <w:ilvl w:val="0"/>
          <w:numId w:val="239"/>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 xml:space="preserve">. </w:t>
      </w:r>
    </w:p>
    <w:p w14:paraId="4BD8BE5C" w14:textId="77777777" w:rsidR="00B650E5" w:rsidRDefault="00B650E5" w:rsidP="005B6917">
      <w:pPr>
        <w:numPr>
          <w:ilvl w:val="0"/>
          <w:numId w:val="239"/>
        </w:numPr>
        <w:spacing w:before="120" w:after="120"/>
        <w:ind w:left="426" w:hanging="426"/>
        <w:jc w:val="both"/>
      </w:pPr>
      <w:r>
        <w:t>Ak RO nezašle návrh správy z kontroly (v prípade zistení nedostatkov) alebo správu z kontroly         (v prípade, ak kontrolou neboli zistené nedostatky) vo vyššie uvedených lehotách, pričom RO lehotu kontroly nepredĺžil, prijímateľ je oprávnený, ak je to relevantné, pozastaviť realizáciu hlavných aktivít projektu do času zaslania návrhu správy z kontroly alebo správy z kontroly. Prijímateľ je v takom prípade povinný oznámiť RO pozastavenie realizácie hlavných aktivít v súlade s relevantnými ustanoveniami zmluvy o NFP. Týmto ustanovením nie je dotknutá povinnosť RO vykonať kontrolu VO.</w:t>
      </w:r>
    </w:p>
    <w:p w14:paraId="550B9D1F" w14:textId="77777777" w:rsidR="00182DE1" w:rsidRDefault="00B650E5" w:rsidP="00EC07EA">
      <w:pPr>
        <w:numPr>
          <w:ilvl w:val="0"/>
          <w:numId w:val="239"/>
        </w:numPr>
        <w:spacing w:before="120" w:after="120"/>
        <w:ind w:left="426" w:hanging="426"/>
        <w:jc w:val="both"/>
      </w:pPr>
      <w:r>
        <w:t xml:space="preserve">Ak RO zistí </w:t>
      </w:r>
      <w:r w:rsidR="00FA0488">
        <w:t>porušenie pravidiel a postupov VO</w:t>
      </w:r>
      <w:r>
        <w:t>, ktoré je možné postupmi v zmysle ZVO odstrániť (napr. opätovné vyhodnotenie podmienok účasti alebo ponúk)</w:t>
      </w:r>
      <w:r w:rsidR="00AD3B1A">
        <w:t xml:space="preserve"> alebo ak zistí také porušenie ustanovení </w:t>
      </w:r>
      <w:r w:rsidR="00AD3B1A" w:rsidRPr="00530C13">
        <w:t>legislatívy SR a</w:t>
      </w:r>
      <w:r w:rsidR="00AD3B1A">
        <w:t> </w:t>
      </w:r>
      <w:r w:rsidR="00AD3B1A" w:rsidRPr="00530C13">
        <w:t>EÚ</w:t>
      </w:r>
      <w:r w:rsidR="00AD3B1A">
        <w:t xml:space="preserve"> (napr. na základe zistení vecnej kontroly)</w:t>
      </w:r>
      <w:r>
        <w:t>,</w:t>
      </w:r>
      <w:r w:rsidR="00AD3B1A">
        <w:t xml:space="preserve"> ktoré je </w:t>
      </w:r>
      <w:r w:rsidR="00AD3B1A">
        <w:lastRenderedPageBreak/>
        <w:t>možné odstrániť,</w:t>
      </w:r>
      <w:r>
        <w:t xml:space="preserve"> vyzve prijímateľa na zaslanie podnetu na ÚVO podľa § 169 ods. 1 písm. b) v spojení s § 169 ods. 2 ZVO. </w:t>
      </w:r>
    </w:p>
    <w:p w14:paraId="399795F7" w14:textId="77777777" w:rsidR="00AC1BE4" w:rsidRDefault="00B650E5" w:rsidP="00AC1BE4">
      <w:pPr>
        <w:numPr>
          <w:ilvl w:val="0"/>
          <w:numId w:val="239"/>
        </w:numPr>
        <w:spacing w:before="120" w:after="120"/>
        <w:ind w:left="426" w:hanging="426"/>
        <w:jc w:val="both"/>
      </w:pPr>
      <w:r w:rsidRPr="00530C13">
        <w:t>Ak RO zistí porušenie p</w:t>
      </w:r>
      <w:r w:rsidR="00F8333A">
        <w:t>ravidiel</w:t>
      </w:r>
      <w:r w:rsidRPr="00530C13">
        <w:t xml:space="preserve"> a postupov VO</w:t>
      </w:r>
      <w:r>
        <w:t xml:space="preserve">, </w:t>
      </w:r>
      <w:r w:rsidRPr="00530C13">
        <w:t>ktoré mali alebo mohli mať vplyv na výsledok VO</w:t>
      </w:r>
      <w:r w:rsidR="008A2E61">
        <w:t xml:space="preserve"> a</w:t>
      </w:r>
      <w:r>
        <w:t xml:space="preserve"> nie je možné odstrániť protiprávny stav, vyzve prijímateľa na zaslanie podnetu na ÚVO podľa § 169 ods. 1 písm. b) v</w:t>
      </w:r>
      <w:r w:rsidR="008A2E61">
        <w:t> </w:t>
      </w:r>
      <w:r>
        <w:t>spojení</w:t>
      </w:r>
      <w:r w:rsidR="008A2E61">
        <w:t xml:space="preserve"> </w:t>
      </w:r>
      <w:r>
        <w:t>s § 169 ods. 2 ZVO</w:t>
      </w:r>
      <w:r w:rsidR="00AC1BE4">
        <w:t>, ak RO zároveň vyhodnotí,</w:t>
      </w:r>
      <w:r w:rsidR="00AC1BE4" w:rsidRPr="00AC1BE4">
        <w:t xml:space="preserve"> </w:t>
      </w:r>
      <w:r w:rsidR="00AC1BE4">
        <w:t xml:space="preserve">že opakovaním procesu VO by vznikli vysoké dodatočné náklady, a teda bolo by prípustné uplatniť </w:t>
      </w:r>
      <w:r w:rsidR="00FB1D18">
        <w:t>ex ante</w:t>
      </w:r>
      <w:r w:rsidR="00AC1BE4">
        <w:t xml:space="preserve"> finančnú opravu pred podpisom zmluvy s úspešným uchádzačom. </w:t>
      </w:r>
      <w:r w:rsidR="00AC1BE4" w:rsidRPr="00654198">
        <w:t>V prípade, že nie je možné preukázať, že opakovaním procesu VO by vznikli vysoké dodatočné náklady, RO konštatuje nesúhlas s podpísaním zmluvy s úspešným uchádzačom a vyzve prijímateľa, aby zrušil použitý postup zadávania zákazky a odporučí vyhlásiť nové verejné obstarávanie.</w:t>
      </w:r>
      <w:r w:rsidR="00AC1BE4">
        <w:t xml:space="preserve"> </w:t>
      </w:r>
      <w:r w:rsidR="00AC1BE4" w:rsidRPr="00AC1BE4">
        <w:t>V prípade nesúhlasu RO s podpísaním zmluvy a výzvy adresovanej prijímateľovi na opakovanie procesu VO, nadlimitná zákazka prestáva spĺňať podmienku uvedenú v § 169 ods. 2 ZVO, podľa ktorého povinnosť prijímateľa na podanie podnetu na výkon kontroly pred uzavretím zmluvy sa týka zákaziek, čo aj z časti financovaných z prostriedkov EÚ.</w:t>
      </w:r>
    </w:p>
    <w:p w14:paraId="0760E732" w14:textId="77777777" w:rsidR="00B650E5" w:rsidRPr="00530C13" w:rsidRDefault="00B650E5" w:rsidP="002E198C">
      <w:pPr>
        <w:numPr>
          <w:ilvl w:val="0"/>
          <w:numId w:val="239"/>
        </w:numPr>
        <w:spacing w:before="120" w:after="120"/>
        <w:ind w:left="426" w:hanging="426"/>
        <w:jc w:val="both"/>
      </w:pPr>
      <w:r>
        <w:t xml:space="preserve">Ak RO nezistí porušenie </w:t>
      </w:r>
      <w:r w:rsidR="00F8333A">
        <w:t>pravidiel</w:t>
      </w:r>
      <w:r>
        <w:t xml:space="preserve"> a postupov VO, resp. porušenie pravidiel a ustanovení  legislatívy SR a EÚ, ktoré mali alebo mohli mať vplyv na výsledok VO, vyzve prijímateľa na podanie podnetu na výkon kontroly podľa § 169 ods. 1 písm. b) v spojení s § 169 ods. 2 ZVO.</w:t>
      </w:r>
    </w:p>
    <w:p w14:paraId="2B922110" w14:textId="77777777" w:rsidR="00B650E5" w:rsidRPr="00530C13" w:rsidRDefault="00B650E5" w:rsidP="005B6917">
      <w:pPr>
        <w:numPr>
          <w:ilvl w:val="0"/>
          <w:numId w:val="239"/>
        </w:numPr>
        <w:spacing w:before="120" w:after="120"/>
        <w:ind w:left="426" w:hanging="426"/>
        <w:jc w:val="both"/>
      </w:pPr>
      <w:r w:rsidRPr="00530C13">
        <w:t xml:space="preserve">Ak RO zistí </w:t>
      </w:r>
      <w:r w:rsidR="0085023A">
        <w:t xml:space="preserve">také </w:t>
      </w:r>
      <w:r w:rsidRPr="00530C13">
        <w:t xml:space="preserve">porušenie </w:t>
      </w:r>
      <w:r w:rsidR="00F8333A">
        <w:t>pravidiel</w:t>
      </w:r>
      <w:r w:rsidRPr="00530C13">
        <w:t xml:space="preserve"> a postupov VO</w:t>
      </w:r>
      <w:r>
        <w:t xml:space="preserve">, </w:t>
      </w:r>
      <w:r w:rsidRPr="00530C13">
        <w:t>ktoré mali alebo mohli mať vplyv na výsledok VO</w:t>
      </w:r>
      <w:r w:rsidR="0085023A">
        <w:t xml:space="preserve">, </w:t>
      </w:r>
      <w:r>
        <w:t>nie je možné  odstrániť protiprávny stav,</w:t>
      </w:r>
      <w:r w:rsidRPr="00530C13">
        <w:t xml:space="preserve"> resp. </w:t>
      </w:r>
      <w:r>
        <w:t xml:space="preserve">zistí </w:t>
      </w:r>
      <w:r w:rsidRPr="00530C13">
        <w:t>porušenie pravidiel a ustanovení  legislatívy SR a</w:t>
      </w:r>
      <w:r>
        <w:t> </w:t>
      </w:r>
      <w:r w:rsidRPr="00530C13">
        <w:t>EÚ</w:t>
      </w:r>
      <w:r>
        <w:t xml:space="preserve"> (napr. na základe zistení vecnej kontroly také skutočnosti, ktoré ovplyvňujú posudzovanie oprávnenosti výdavkov predložených prijímateľom v</w:t>
      </w:r>
      <w:r w:rsidR="006D75BF">
        <w:t> </w:t>
      </w:r>
      <w:r>
        <w:t>ŽoP</w:t>
      </w:r>
      <w:r w:rsidR="006D75BF">
        <w:t xml:space="preserve"> – nesúlad predmetu zákazky VO s podpísanou zmluvou o poskytnutí NFP</w:t>
      </w:r>
      <w:r w:rsidR="0085023A">
        <w:t>)</w:t>
      </w:r>
      <w:r w:rsidR="005E61C1">
        <w:t xml:space="preserve"> a identifikované zistenia odôvodňujú nepripustenie výdavkov do financovania</w:t>
      </w:r>
      <w:r>
        <w:t>,</w:t>
      </w:r>
      <w:r w:rsidRPr="00530C13">
        <w:t xml:space="preserve"> </w:t>
      </w:r>
      <w:r>
        <w:t xml:space="preserve">RO vypracuje a zašle prijímateľovi návrh správy z kontroly, obsahujúci zistenia. RO je povinný poskytnúť prijímateľovi lehotu minimálne 5 pracovných dní na podanie námietok. V prípade, že prijímateľ zašle v určenej lehote námietky, je RO povinný ich vyhodnotiť a v prípade ich úplnej alebo čiastočnej opodstatnenosti, zohľadniť ich v správe z kontroly, pričom následne postupuje podľa ods. </w:t>
      </w:r>
      <w:r w:rsidR="004C6AA8">
        <w:t>8</w:t>
      </w:r>
      <w:r w:rsidR="005C0DFF">
        <w:t xml:space="preserve">, </w:t>
      </w:r>
      <w:r w:rsidR="004C6AA8">
        <w:t>9</w:t>
      </w:r>
      <w:r w:rsidR="005C0DFF">
        <w:t xml:space="preserve"> alebo 10</w:t>
      </w:r>
      <w:r>
        <w:t xml:space="preserve"> kapitoly 3.3.7.2.2. V prípade, že námietky prijímateľa sú neopodstatnené, neboli podané alebo boli podané po lehote, vypracuje RO správu z kontroly, ktorej záverom </w:t>
      </w:r>
      <w:r w:rsidRPr="00530C13">
        <w:t xml:space="preserve">je nesúhlas RO s podpísaním zmluvy </w:t>
      </w:r>
      <w:r>
        <w:t xml:space="preserve">prijímateľa </w:t>
      </w:r>
      <w:r w:rsidRPr="00530C13">
        <w:t>s úspešným uchádzačom</w:t>
      </w:r>
      <w:r>
        <w:t xml:space="preserve"> a </w:t>
      </w:r>
      <w:r w:rsidRPr="00530C13">
        <w:t>RO vyzve prijímateľa na opakovanie procesu VO</w:t>
      </w:r>
      <w:r w:rsidR="00BD2807">
        <w:t>, ak nevyzve prijímateľa na zaslanie podnetu na ÚVO podľa ods. 9</w:t>
      </w:r>
      <w:r w:rsidRPr="00530C13">
        <w:t>. Tento nesúhlas predstavuje zároveň deklaráciu RO týkajúcu sa nepripustenia</w:t>
      </w:r>
      <w:r>
        <w:t xml:space="preserve"> </w:t>
      </w:r>
      <w:r w:rsidRPr="00530C13">
        <w:t xml:space="preserve">súvisiacich budúcich výdavkov do financovania v plnom rozsahu, </w:t>
      </w:r>
      <w:r w:rsidR="00C93F30">
        <w:t xml:space="preserve">t. j. </w:t>
      </w:r>
      <w:r w:rsidRPr="00530C13">
        <w:t xml:space="preserve"> pokiaľ by bola zmluva s úspešným uchádzačom aj napriek nesúhlasu RO podpísaná, RO v rámci </w:t>
      </w:r>
      <w:r>
        <w:t xml:space="preserve">následnej </w:t>
      </w:r>
      <w:r w:rsidR="00FB1D18">
        <w:t>ex post</w:t>
      </w:r>
      <w:r w:rsidRPr="00530C13">
        <w:t xml:space="preserve"> kontroly nepripustí výdavky vyplývajúce z predmetnej zmluvy do financovania v plnom rozsahu.</w:t>
      </w:r>
      <w:r>
        <w:t xml:space="preserve"> V prípade nesúhlasu RO s podpísaním zmluvy a výzvy adresovanej prijímateľovi na opakovanie procesu VO, nadlimitná zákazka prestáva spĺňať podmienku uvedenú v § 169 ods. 2 ZVO, podľa ktorého povinnosť prijímateľa na podanie podnetu na výkon kontroly pred uzavretím zmluvy sa týka zákaziek, čo aj z časti financovaných z prostriedkov EÚ.</w:t>
      </w:r>
    </w:p>
    <w:p w14:paraId="200B299F" w14:textId="77777777" w:rsidR="00B650E5" w:rsidRDefault="00B650E5" w:rsidP="001B709E">
      <w:pPr>
        <w:numPr>
          <w:ilvl w:val="0"/>
          <w:numId w:val="237"/>
        </w:numPr>
        <w:spacing w:before="120" w:after="120"/>
        <w:ind w:left="426" w:hanging="426"/>
        <w:jc w:val="both"/>
      </w:pPr>
      <w:r w:rsidRPr="00530C13">
        <w:t>Ak prijímateľ podpíše zmluvu s úspešným uchádzačom pred riadnym ukončením tejto kontroly, resp. vôbec nepredloží dokumentáciu k VO na túto kontrolu</w:t>
      </w:r>
      <w:r w:rsidR="00E9166C">
        <w:t xml:space="preserve"> a </w:t>
      </w:r>
      <w:bookmarkStart w:id="356" w:name="_Toc453234033"/>
      <w:r w:rsidR="00E9166C">
        <w:t xml:space="preserve">RO identifikuje pri </w:t>
      </w:r>
      <w:r w:rsidR="00FB1D18">
        <w:t>ex post</w:t>
      </w:r>
      <w:r w:rsidR="00E9166C">
        <w:t xml:space="preserve"> kontrole VO nedostatky, ktoré mali alebo mohli mať vplyv na výsledok VO, súvisiace výdavky nebudú schválené na financovanie v plnom rozsahu.</w:t>
      </w:r>
      <w:r w:rsidR="00E9166C" w:rsidRPr="002657D2">
        <w:t xml:space="preserve"> </w:t>
      </w:r>
      <w:r w:rsidR="00E9166C">
        <w:t>Zároveň bude môcť RO uvedenú skutočnosť vyhodnotiť ako podstatné porušenie zmluvy o NFP.</w:t>
      </w:r>
    </w:p>
    <w:p w14:paraId="67488530" w14:textId="77777777" w:rsidR="00B650E5" w:rsidRDefault="00B650E5" w:rsidP="00556762">
      <w:pPr>
        <w:numPr>
          <w:ilvl w:val="0"/>
          <w:numId w:val="237"/>
        </w:numPr>
        <w:spacing w:before="120" w:after="120"/>
        <w:ind w:left="426"/>
        <w:jc w:val="both"/>
      </w:pPr>
      <w:r>
        <w:t xml:space="preserve">ÚVO vykonáva kontrolu nadlimitných zákaziek v rámci druhej </w:t>
      </w:r>
      <w:r w:rsidR="00FB1D18">
        <w:t>ex ante</w:t>
      </w:r>
      <w:r>
        <w:t xml:space="preserve"> kontroly na základe podnetu prijímateľa </w:t>
      </w:r>
      <w:r w:rsidRPr="0094199C">
        <w:t xml:space="preserve">podľa </w:t>
      </w:r>
      <w:r>
        <w:t xml:space="preserve">§ 169 ods. 1 písm. b) v spojení s </w:t>
      </w:r>
      <w:r w:rsidRPr="0094199C">
        <w:t>§ 169 ods. 2 ZVO</w:t>
      </w:r>
      <w:r>
        <w:t xml:space="preserve"> </w:t>
      </w:r>
      <w:r w:rsidRPr="0094199C">
        <w:t xml:space="preserve">vo fáze pred uzavretím zmluvy, koncesnej zmluvy alebo rámcovej dohody, pred ukončením súťaže návrhov, pred zadaním zákazky na základe rámcovej dohody alebo pred ukončením postupu inovatívneho </w:t>
      </w:r>
      <w:r w:rsidRPr="0094199C">
        <w:lastRenderedPageBreak/>
        <w:t>partnerstva</w:t>
      </w:r>
      <w:r>
        <w:t xml:space="preserve"> v prípadoch uvedených v ods. </w:t>
      </w:r>
      <w:r w:rsidR="004C6AA8">
        <w:t>8</w:t>
      </w:r>
      <w:r w:rsidR="00182DE1">
        <w:t xml:space="preserve">, </w:t>
      </w:r>
      <w:r w:rsidR="004C6AA8">
        <w:t>9</w:t>
      </w:r>
      <w:r w:rsidR="00182DE1">
        <w:t xml:space="preserve"> a 10</w:t>
      </w:r>
      <w:r>
        <w:t xml:space="preserve">. Podnet na výkon kontroly podáva prijímateľ na základe vyzvania RO podľa ods. </w:t>
      </w:r>
      <w:r w:rsidR="004C6AA8">
        <w:t>8</w:t>
      </w:r>
      <w:r w:rsidR="00182DE1">
        <w:t xml:space="preserve">, </w:t>
      </w:r>
      <w:r w:rsidR="004C6AA8">
        <w:t>9</w:t>
      </w:r>
      <w:r w:rsidR="00321E75">
        <w:t xml:space="preserve"> a </w:t>
      </w:r>
      <w:r w:rsidR="00182DE1">
        <w:t>10</w:t>
      </w:r>
      <w:r>
        <w:t>. Náležitosťou podnetu</w:t>
      </w:r>
      <w:r w:rsidRPr="00A506D8">
        <w:t xml:space="preserve"> na výkon kontroly </w:t>
      </w:r>
      <w:r>
        <w:t>zasielaného prijímateľom na ÚVO je označenie príslušného RO/SO, operačného</w:t>
      </w:r>
      <w:r w:rsidRPr="00A506D8">
        <w:t xml:space="preserve"> program</w:t>
      </w:r>
      <w:r>
        <w:t>u, náz</w:t>
      </w:r>
      <w:r w:rsidRPr="00A506D8">
        <w:t>v</w:t>
      </w:r>
      <w:r>
        <w:t>u a čísla</w:t>
      </w:r>
      <w:r w:rsidRPr="00A506D8">
        <w:t xml:space="preserve"> projektu, </w:t>
      </w:r>
      <w:r w:rsidR="007843F2">
        <w:t xml:space="preserve">kódu VO z ITMS 2014+, </w:t>
      </w:r>
      <w:r w:rsidRPr="00CA67A4">
        <w:t>čísla vestníka VO, označenie značky a dátumu vyhlásenia VO, ktorého sa podnet týka</w:t>
      </w:r>
      <w:r w:rsidRPr="00A506D8">
        <w:t xml:space="preserve">. Dňom odoslania výzvy na podanie podnetu na ÚVO prestáva plynúť lehota na výkon kontroly. Vyzvanie prijímateľa na podanie podnetu na ÚVO </w:t>
      </w:r>
      <w:r>
        <w:t xml:space="preserve">tak </w:t>
      </w:r>
      <w:r w:rsidRPr="00A506D8">
        <w:t>plní funkciu výzvy na doplnenie chýbajúceho dokladu, ktorým je právoplatné rozhodnutie ÚVO predstavujúce pod</w:t>
      </w:r>
      <w:r>
        <w:t xml:space="preserve">klad </w:t>
      </w:r>
      <w:r w:rsidRPr="00A506D8">
        <w:t xml:space="preserve">pre ukončenie </w:t>
      </w:r>
      <w:r>
        <w:t xml:space="preserve">finančnej </w:t>
      </w:r>
      <w:r w:rsidRPr="00A506D8">
        <w:t>kontroly VO.</w:t>
      </w:r>
    </w:p>
    <w:p w14:paraId="642A66C4" w14:textId="77777777" w:rsidR="00B650E5" w:rsidRDefault="00B650E5" w:rsidP="00556762">
      <w:pPr>
        <w:numPr>
          <w:ilvl w:val="0"/>
          <w:numId w:val="237"/>
        </w:numPr>
        <w:spacing w:before="120" w:after="120"/>
        <w:ind w:left="426"/>
        <w:jc w:val="both"/>
      </w:pPr>
      <w:r>
        <w:t xml:space="preserve">RO je povinný informovať Prijímateľa o povinnosti (v príručke pre žiadateľa/prijímateľa) zaslať dokumentáciu k nadlimitnej zákazke alebo koncesii na kontrolu na ÚVO podľa § 169 ods. 2 ZVO v prípadoch uvedených v ods. </w:t>
      </w:r>
      <w:r w:rsidR="004C6AA8">
        <w:t>8</w:t>
      </w:r>
      <w:r w:rsidR="00182DE1">
        <w:t xml:space="preserve">, </w:t>
      </w:r>
      <w:r w:rsidR="004C6AA8">
        <w:t>9</w:t>
      </w:r>
      <w:r w:rsidR="00182DE1">
        <w:t xml:space="preserve"> a 10</w:t>
      </w:r>
      <w:r>
        <w:t xml:space="preserve">. </w:t>
      </w:r>
    </w:p>
    <w:p w14:paraId="49B54F5C" w14:textId="77777777" w:rsidR="00B650E5" w:rsidRDefault="00B650E5" w:rsidP="00556762">
      <w:pPr>
        <w:numPr>
          <w:ilvl w:val="0"/>
          <w:numId w:val="237"/>
        </w:numPr>
        <w:spacing w:before="120" w:after="120"/>
        <w:ind w:left="426"/>
        <w:jc w:val="both"/>
      </w:pPr>
      <w:r>
        <w:t>Prijímateľ predkladá na ÚVO spolu s podnetom na výkon kontroly aj kompletnú dokumentáciu k nadlimitnej zákazke alebo koncesii v origináli, a to najneskôr do 5 pracovných dní po dni, kedy mu bolo zo strany RO doručené vyzvanie na podanie podnetu na výkon kontroly podľa                      § 169 ods. 2 ZVO. Prijímateľ je zároveň povinný informovať RO o podaní podnetu na ÚVO.</w:t>
      </w:r>
    </w:p>
    <w:p w14:paraId="4BB25450" w14:textId="77777777" w:rsidR="00B650E5" w:rsidRDefault="00B650E5" w:rsidP="00556762">
      <w:pPr>
        <w:numPr>
          <w:ilvl w:val="0"/>
          <w:numId w:val="237"/>
        </w:numPr>
        <w:spacing w:before="120" w:after="120"/>
        <w:ind w:left="426"/>
        <w:jc w:val="both"/>
      </w:pPr>
      <w:r>
        <w:t xml:space="preserve">Po doručení podnetu prijímateľa na výkon kontroly si ÚVO vyžiada od príslušného RO predbežné závery z  finančnej kontroly VO a RO mu tieto závery bezodkladne poskytne, pričom v prípade identifikovaných nedostatkov RO uvedie, či tieto mali alebo mohli mať vplyv na výsledok VO. ÚVO rozhodne </w:t>
      </w:r>
      <w:r w:rsidRPr="0073723B">
        <w:t xml:space="preserve">do 30 dní odo dňa doručenia kompletnej dokumentácie v origináli. </w:t>
      </w:r>
      <w:r w:rsidRPr="00CA67A4">
        <w:t>Lehota na vydanie rozhodnutia neplynie v prípade podľa § 173 ods. 4 ZVO (nedoručenie kompletnej dokumentácie v origináli).</w:t>
      </w:r>
      <w:r>
        <w:t xml:space="preserve"> Proti rozhodnutiu ÚVO môže účastník konania a osoba podľa § 175 ods. 11 ZVO podať odvolanie. Odvolanie musí byť doručené ÚVO do 10 dní odo dňa doručenia rozhodnutia, proti ktorému odvolanie smeruje. Podanie odvolania má odkladný účinok do dňa právoplatnosti rozhodnutia rady ÚVO o odvolaní.  Rozhodnutie ÚVO je právoplatné márnym uplynutím lehoty na podanie odvolania alebo dňom doručenia rozhodnutia rady ÚVO podľa § 177 ods. 10 alebo ods. 12 ZVO účastníkom konania a vykonateľné uplynutím lehoty na plnenie, ak nie je ustanovené inak. Rada ÚVO môže na základe podnetu RO, orgánu auditu alebo certifikačného orgánu preskúmať mimo odvolacieho konania rozhodnutie ÚVO vydané podľa § 174 alebo § 175 ZVO za podmienok upravených v ustanovení § 179a ZVO.  </w:t>
      </w:r>
    </w:p>
    <w:p w14:paraId="13595D61" w14:textId="77777777" w:rsidR="00B650E5" w:rsidRDefault="00B650E5" w:rsidP="00556762">
      <w:pPr>
        <w:numPr>
          <w:ilvl w:val="0"/>
          <w:numId w:val="237"/>
        </w:numPr>
        <w:spacing w:before="120" w:after="120"/>
        <w:ind w:left="426"/>
        <w:jc w:val="both"/>
      </w:pPr>
      <w:r>
        <w:t>Prijímateľ je povinný doručiť RO kópiu právoplatného rozhodnutia ÚVO. V prípade, že prijímateľ podal proti rozhodnutiu ÚVO odvolanie, zasiela na vedomie RO spolu s kópiou právoplatného rozhodnutia ÚVO, resp. Rady ÚVO aj písomné vyhotovenie odvolania.  Povinnosť prijímateľa doručiť RO kópiu právoplatného rozhodnutia ÚVO je RO povinný zapracovať do príručky pre prijímateľa.</w:t>
      </w:r>
    </w:p>
    <w:p w14:paraId="665FFD52" w14:textId="77777777" w:rsidR="00FA0488" w:rsidRDefault="00B650E5" w:rsidP="00556762">
      <w:pPr>
        <w:numPr>
          <w:ilvl w:val="0"/>
          <w:numId w:val="237"/>
        </w:numPr>
        <w:spacing w:before="120" w:after="120"/>
        <w:ind w:left="426"/>
        <w:jc w:val="both"/>
      </w:pPr>
      <w:r>
        <w:t xml:space="preserve">Rozhodnutie, ktoré vydá ÚVO predstavuje podklad pre RO na vypracovanie návrhu správy z kontroly (v prípade zistení nedostatkov) alebo správy z kontroly </w:t>
      </w:r>
      <w:r w:rsidRPr="000E286B">
        <w:t xml:space="preserve">(v </w:t>
      </w:r>
      <w:r>
        <w:t>prípade, ak neboli zistené nedostatky</w:t>
      </w:r>
      <w:r w:rsidR="005C0DFF">
        <w:t xml:space="preserve"> </w:t>
      </w:r>
      <w:r w:rsidR="005C0DFF" w:rsidRPr="005C0DFF">
        <w:t xml:space="preserve">alebo RO po vydaní rozhodnutia ÚVO </w:t>
      </w:r>
      <w:r w:rsidR="00E9166C">
        <w:t xml:space="preserve">o zastavení konania </w:t>
      </w:r>
      <w:r w:rsidR="005C0DFF" w:rsidRPr="005C0DFF">
        <w:t xml:space="preserve">netrvá na </w:t>
      </w:r>
      <w:r w:rsidR="00E9166C">
        <w:t xml:space="preserve">predbežne </w:t>
      </w:r>
      <w:r w:rsidR="005C0DFF" w:rsidRPr="005C0DFF">
        <w:t>zistených nedostatkoch</w:t>
      </w:r>
      <w:r w:rsidRPr="000E286B">
        <w:t xml:space="preserve">). </w:t>
      </w:r>
      <w:r>
        <w:t xml:space="preserve">Uvedeným nie je dotknutá zodpovednosť RO za výkon finančnej kontroly VO v zmysle čl. 125 ods. 4 všeobecného nariadenia. </w:t>
      </w:r>
      <w:r w:rsidRPr="000E286B">
        <w:t xml:space="preserve">Návrh správy z kontroly alebo správu z kontroly </w:t>
      </w:r>
      <w:r>
        <w:t>RO vydá do 15 pracovných dní odo dňa doručenia právoplatného</w:t>
      </w:r>
      <w:r w:rsidRPr="009C3CC9">
        <w:t xml:space="preserve"> rozhodnutia ÚVO</w:t>
      </w:r>
      <w:r>
        <w:t>. Právoplatné rozhodnutie doručí na RO prijímateľ a rovnako aj ÚVO, pričom lehota na vypracovanie návrhu správy</w:t>
      </w:r>
      <w:r w:rsidRPr="000E286B">
        <w:t>/</w:t>
      </w:r>
      <w:r>
        <w:t xml:space="preserve">správy z kontroly začne pre RO plynúť odo dňa skoršieho doručenia právoplatného rozhodnutia ÚVO. V prípade, že právoplatné rozhodnutie ÚVO nepotvrdí predbežné závery RO, vypracuje ÚVO sprievodný list, v ktorom uvedie informácie, prečo </w:t>
      </w:r>
      <w:r w:rsidR="003B1847">
        <w:t>nedostatky uvedené v </w:t>
      </w:r>
      <w:r>
        <w:t>predbežn</w:t>
      </w:r>
      <w:r w:rsidR="003B1847">
        <w:t>ých</w:t>
      </w:r>
      <w:r>
        <w:t xml:space="preserve"> záver</w:t>
      </w:r>
      <w:r w:rsidR="003B1847">
        <w:t>och</w:t>
      </w:r>
      <w:r>
        <w:t xml:space="preserve"> </w:t>
      </w:r>
      <w:r w:rsidR="003B1847">
        <w:t xml:space="preserve">kontroly </w:t>
      </w:r>
      <w:r>
        <w:t xml:space="preserve">RO </w:t>
      </w:r>
      <w:r w:rsidR="003B1847">
        <w:t xml:space="preserve">nepovažuje za nedostatky v zmysle ZVO alebo prečo nedostatky zistené RO </w:t>
      </w:r>
      <w:r>
        <w:t xml:space="preserve">nemali alebo nemohli mať vplyv na výsledok VO. Sprievodný list bude prílohou právoplatného rozhodnutia, ktoré na RO doručí ÚVO a tento postup sa vzťahuje na prípady podľa ods. </w:t>
      </w:r>
      <w:r w:rsidR="004C6AA8">
        <w:t>8</w:t>
      </w:r>
      <w:r w:rsidR="00FA0488">
        <w:t xml:space="preserve"> a 9</w:t>
      </w:r>
      <w:r>
        <w:t>.</w:t>
      </w:r>
    </w:p>
    <w:p w14:paraId="0B861DA4" w14:textId="77777777" w:rsidR="00654198" w:rsidRDefault="00FA0488" w:rsidP="00556762">
      <w:pPr>
        <w:numPr>
          <w:ilvl w:val="0"/>
          <w:numId w:val="237"/>
        </w:numPr>
        <w:spacing w:before="120" w:after="120"/>
        <w:ind w:left="426"/>
        <w:jc w:val="both"/>
      </w:pPr>
      <w:r>
        <w:lastRenderedPageBreak/>
        <w:t>V prípade, že právoplatné rozhodnutie ÚVO nepotvrdí predbežné závery RO týkajúce sa porušenia pravidiel a postupov VO,</w:t>
      </w:r>
      <w:r w:rsidRPr="00FA0488">
        <w:t xml:space="preserve"> </w:t>
      </w:r>
      <w:r w:rsidRPr="00530C13">
        <w:t>ktoré mali alebo mohli mať vplyv na výsledok VO</w:t>
      </w:r>
      <w:r>
        <w:t xml:space="preserve"> a nie je možné odstrániť protiprávny stav, je RO oprávnený uplatniť </w:t>
      </w:r>
      <w:r w:rsidR="00FB1D18">
        <w:t>ex ante</w:t>
      </w:r>
      <w:r>
        <w:t xml:space="preserve"> finančnú opravu</w:t>
      </w:r>
      <w:r w:rsidR="007416E4">
        <w:t xml:space="preserve"> pred podpisom zmluvy s úspešným uchádzačom iba v prípade, ak by opakovaním procesu VO vznikli vysoké dodatočné náklady.</w:t>
      </w:r>
      <w:r w:rsidR="00654198">
        <w:t xml:space="preserve"> </w:t>
      </w:r>
      <w:r w:rsidR="00654198" w:rsidRPr="00654198">
        <w:t>V prípade, že nie je možné preukázať, že opakovaním procesu VO by vznikli vysoké dodatočné náklady, RO konštatuje nesúhlas s podpísaním zmluvy s úspešným uchádzačom a vyzve prijímateľa, aby zrušil použitý postup zadávania zákazky a odporučí vyhlásiť nové verejné obstarávanie.</w:t>
      </w:r>
    </w:p>
    <w:p w14:paraId="332BD0CE" w14:textId="77777777" w:rsidR="007416E4" w:rsidRDefault="00B650E5" w:rsidP="00556762">
      <w:pPr>
        <w:numPr>
          <w:ilvl w:val="0"/>
          <w:numId w:val="237"/>
        </w:numPr>
        <w:spacing w:before="120" w:after="120"/>
        <w:ind w:left="426"/>
        <w:jc w:val="both"/>
      </w:pPr>
      <w:r>
        <w:t xml:space="preserve">Záverom kontroly RO môže byť súhlas alebo nesúhlas s podpisom zmluvy s úspešným uchádzačom. V prípade, že je potrebné odstrániť v rámci overovanej zákazky protiprávny stav,            zašle prijímateľ na RO súvisiacu aktualizovanú dokumentáciu (napr. </w:t>
      </w:r>
      <w:r w:rsidRPr="009F68AA">
        <w:t>zápisnicu z opätovného vyhodnotenia ponúk</w:t>
      </w:r>
      <w:r>
        <w:t xml:space="preserve">) a RO skontroluje, či prijímateľ odstránil protiprávny stav v súlade s návrhom správy z kontroly (obsahuje zistenia z rozhodnutia ÚVO a/alebo zistenia RO). V prípade, že prijímateľ odstránil protiprávny stav, vypracuje RO v lehote 15 pracovných dní           od doručenia aktualizovanej dokumentácie správu z kontroly, ktorá obsahuje súhlas s podpísaním zmluvy s úspešným uchádzačom. </w:t>
      </w:r>
      <w:r w:rsidRPr="00501708">
        <w:t xml:space="preserve">V prípade, že prijímateľ </w:t>
      </w:r>
      <w:r>
        <w:t>ne</w:t>
      </w:r>
      <w:r w:rsidRPr="00501708">
        <w:t xml:space="preserve">odstránil protiprávny stav, </w:t>
      </w:r>
      <w:r w:rsidR="007416E4" w:rsidRPr="007416E4">
        <w:t xml:space="preserve">je RO oprávnený uplatniť </w:t>
      </w:r>
      <w:r w:rsidR="00FB1D18">
        <w:t>ex ante</w:t>
      </w:r>
      <w:r w:rsidR="007416E4" w:rsidRPr="007416E4">
        <w:t xml:space="preserve"> finančnú opravu pred podpisom zmluvy s úspešným uchádzačom iba v prípade, ak by opakovaním procesu VO vznikli vysoké dodatočné náklady</w:t>
      </w:r>
      <w:r w:rsidR="00654198">
        <w:t xml:space="preserve"> a zároveň nebol odstránený protiprávny stav konštatovaný v predbežných záveroch RO</w:t>
      </w:r>
      <w:r w:rsidR="000820AC">
        <w:t xml:space="preserve"> a následne v návrhu správy z kontroly</w:t>
      </w:r>
      <w:r w:rsidR="00654198">
        <w:t xml:space="preserve">, pričom ÚVO vydal </w:t>
      </w:r>
      <w:r w:rsidR="000820AC">
        <w:t xml:space="preserve">v rámci kontroly zákazky </w:t>
      </w:r>
      <w:r w:rsidR="00654198">
        <w:t>rozhodnutie o zastavení konania</w:t>
      </w:r>
      <w:r w:rsidR="007416E4" w:rsidRPr="007416E4">
        <w:t>.</w:t>
      </w:r>
      <w:r w:rsidR="00654198" w:rsidRPr="00654198">
        <w:t xml:space="preserve"> </w:t>
      </w:r>
      <w:r w:rsidR="00654198">
        <w:t xml:space="preserve">V prípade, že nie je možné preukázať, že opakovaním procesu VO by vznikli vysoké dodatočné náklady, </w:t>
      </w:r>
      <w:r w:rsidR="000820AC">
        <w:t>RO vyjadrí</w:t>
      </w:r>
      <w:r w:rsidR="00654198">
        <w:t xml:space="preserve"> nesúhlas s podpísaním zmluvy s úspešným uchádzačom a vyzve prijímateľa, aby zrušil použitý postup zadávania zákazky a odporučí vyhlásiť nové verejné obstarávanie.</w:t>
      </w:r>
    </w:p>
    <w:p w14:paraId="32F63977" w14:textId="77777777" w:rsidR="000820AC" w:rsidRDefault="000820AC" w:rsidP="00556762">
      <w:pPr>
        <w:numPr>
          <w:ilvl w:val="0"/>
          <w:numId w:val="237"/>
        </w:numPr>
        <w:spacing w:before="120" w:after="120"/>
        <w:ind w:left="426"/>
        <w:jc w:val="both"/>
      </w:pPr>
      <w:r>
        <w:t>V prípade, že prijímateľ nezruší použitý postup zadávania zákazky alebo neodstráni protiprávny stav, ktorý nariadi ÚVO v právoplatnom rozhodnutí, RO konštatuje nesúhlas s podpísaním zmluvy s úspešným uchádzačom</w:t>
      </w:r>
      <w:r w:rsidRPr="000820AC">
        <w:t xml:space="preserve"> </w:t>
      </w:r>
      <w:r>
        <w:t>a výdavky z VO nebudú schválené na financovanie v plnom rozsahu.</w:t>
      </w:r>
    </w:p>
    <w:p w14:paraId="2B0760C6" w14:textId="77777777" w:rsidR="00B650E5" w:rsidRDefault="00B650E5" w:rsidP="00556762">
      <w:pPr>
        <w:numPr>
          <w:ilvl w:val="0"/>
          <w:numId w:val="237"/>
        </w:numPr>
        <w:spacing w:before="120" w:after="120"/>
        <w:ind w:left="426"/>
        <w:jc w:val="both"/>
      </w:pPr>
      <w:r>
        <w:t xml:space="preserve">ÚVO pri výkone kontroly zákaziek, čo aj z časti financovaných z prostriedkov Európskej únie podľa § 169 ods. 2 ZVO, skúma prítomnosť rizikových indikátorov a postupuje primerane podľa kapitoly </w:t>
      </w:r>
      <w:hyperlink w:anchor="kapitola_337423" w:history="1">
        <w:r w:rsidRPr="00A4642A">
          <w:rPr>
            <w:rStyle w:val="Hypertextovprepojenie"/>
          </w:rPr>
          <w:t>3.3.7.4.2.3</w:t>
        </w:r>
      </w:hyperlink>
      <w:r w:rsidRPr="00A4642A">
        <w:rPr>
          <w:rStyle w:val="Hypertextovprepojenie"/>
          <w:color w:val="auto"/>
          <w:u w:val="none"/>
        </w:rPr>
        <w:t xml:space="preserve"> a kapitoly </w:t>
      </w:r>
      <w:hyperlink w:anchor="kapitola_337431" w:history="1">
        <w:r w:rsidRPr="00A4642A">
          <w:rPr>
            <w:rStyle w:val="Hypertextovprepojenie"/>
          </w:rPr>
          <w:t>3.3.7.4.3.1</w:t>
        </w:r>
      </w:hyperlink>
      <w:r w:rsidRPr="00A4642A">
        <w:rPr>
          <w:rStyle w:val="Hypertextovprepojenie"/>
          <w:color w:val="auto"/>
          <w:u w:val="none"/>
        </w:rPr>
        <w:t>. Pri zvýšenom výskyte rizikových indikátorov sa zvyšuje potreba spolupráce s PMÚ v dôsledku podozrenia s</w:t>
      </w:r>
      <w:r>
        <w:rPr>
          <w:rStyle w:val="Hypertextovprepojenie"/>
        </w:rPr>
        <w:t> </w:t>
      </w:r>
      <w:r>
        <w:t xml:space="preserve">možného porušenia zákona o ochrane hospodárskej súťaže, alebo pri podozrení z protiprávneho konania  sa zvyšuje potreba spolupráce s orgánmi činnými v trestom konaní. Identifikáciu jednotlivých rizikových indikátorov spolu s krátkym odôvodnením a počet identifikovaných rizikových indikátorov vo väzbe na postup zadávania zákazky, ktorý bol predmetom kontroly ÚVO, oznámi ÚVO písomne RO bezodkladne po vydaní rozhodnutia podľa § 175 ZVO. Kvalifikované vyhodnotenie rizikových indikátorov je v kompetencii RO, ktorý postupuje podľa kapitoly </w:t>
      </w:r>
      <w:hyperlink w:anchor="kapitola_337423" w:history="1">
        <w:r w:rsidRPr="00B9035D">
          <w:rPr>
            <w:rStyle w:val="Hypertextovprepojenie"/>
          </w:rPr>
          <w:t>3.3.7.4.2.3</w:t>
        </w:r>
      </w:hyperlink>
      <w:r>
        <w:t xml:space="preserve"> alebo </w:t>
      </w:r>
      <w:hyperlink w:anchor="kapitola_337431" w:history="1">
        <w:r w:rsidRPr="00A4642A">
          <w:rPr>
            <w:rStyle w:val="Hypertextovprepojenie"/>
          </w:rPr>
          <w:t>3.3.7.4.3.1</w:t>
        </w:r>
      </w:hyperlink>
      <w:r>
        <w:t xml:space="preserve">, pričom je oprávnený požiadať PMÚ alebo orgány činné v trestnom konaní o spoluprácu, tým nie sú dotknuté oprávnenia ÚVO postupovať podľa príslušných ustanovení zákona č. </w:t>
      </w:r>
      <w:r w:rsidRPr="00D259CF">
        <w:t>136/2001 Z.</w:t>
      </w:r>
      <w:r>
        <w:t xml:space="preserve"> </w:t>
      </w:r>
      <w:r w:rsidRPr="00D259CF">
        <w:t>z.</w:t>
      </w:r>
      <w:r>
        <w:t xml:space="preserve"> o ochrane hospodárskej súťaže</w:t>
      </w:r>
      <w:r w:rsidRPr="00D259CF">
        <w:t xml:space="preserve"> v znení neskorších predpisov</w:t>
      </w:r>
      <w:r>
        <w:t xml:space="preserve"> alebo príslušných ustanovení Trestného poriadku.</w:t>
      </w:r>
      <w:r w:rsidR="00617B94">
        <w:t xml:space="preserve"> ÚVO informuje RO </w:t>
      </w:r>
      <w:r w:rsidR="000820AC">
        <w:t>v prípade, že podá podnet</w:t>
      </w:r>
      <w:r w:rsidR="00617B94">
        <w:t xml:space="preserve"> na PMÚ alebo orgány činné v trestnom konaní</w:t>
      </w:r>
      <w:r w:rsidR="00617B94" w:rsidRPr="00617B94">
        <w:t>.</w:t>
      </w:r>
      <w:r w:rsidR="00617B94">
        <w:t xml:space="preserve"> </w:t>
      </w:r>
      <w:r>
        <w:t>Prítomnosť rizikových indikátorov zároveň skúma aj RO v rámci výkonu finančnej kontroly VO a obstarávania.</w:t>
      </w:r>
    </w:p>
    <w:p w14:paraId="55185DE6" w14:textId="77777777" w:rsidR="00B650E5" w:rsidRDefault="00B650E5" w:rsidP="00556762">
      <w:pPr>
        <w:numPr>
          <w:ilvl w:val="0"/>
          <w:numId w:val="237"/>
        </w:numPr>
        <w:spacing w:before="120" w:after="120"/>
        <w:ind w:left="426"/>
        <w:jc w:val="both"/>
      </w:pPr>
      <w:bookmarkStart w:id="357" w:name="kapitola_33722_ods24"/>
      <w:r>
        <w:t>Ak RO ani ÚVO nezistí porušenie pravidiel a </w:t>
      </w:r>
      <w:r w:rsidR="00F8333A">
        <w:t>postupov</w:t>
      </w:r>
      <w:r>
        <w:t xml:space="preserve"> VO, ktoré mali alebo mohli mať vplyv na výsledok VO, resp. RO pri vecnej kontrole VO nezistí nesúlad</w:t>
      </w:r>
      <w:r w:rsidRPr="001517B0">
        <w:t xml:space="preserve"> predmetu obstarávania, návrhu zmluvných podmienok a iných údajov so schválenou ŽoNFP a účinnou zmluvou o NFP</w:t>
      </w:r>
      <w:r>
        <w:t xml:space="preserve">, v návrhu správy z kontroly/správe z kontroly RO vyjadrí súhlas s podpísaním zmluvy verejného </w:t>
      </w:r>
      <w:r>
        <w:lastRenderedPageBreak/>
        <w:t xml:space="preserve">obstarávateľa/obstarávateľa/osoby podľa § 8 ZVO (ďalej aj ,,verejný obstarávateľ“)  s úspešným uchádzačom. </w:t>
      </w:r>
      <w:bookmarkEnd w:id="357"/>
    </w:p>
    <w:p w14:paraId="22D735D2" w14:textId="77777777" w:rsidR="00B650E5" w:rsidRPr="00530C13" w:rsidRDefault="00B650E5" w:rsidP="00556762">
      <w:pPr>
        <w:numPr>
          <w:ilvl w:val="0"/>
          <w:numId w:val="237"/>
        </w:numPr>
        <w:spacing w:before="120" w:after="120"/>
        <w:ind w:left="426"/>
        <w:jc w:val="both"/>
      </w:pPr>
      <w:r>
        <w:t xml:space="preserve">Súhlas s podpísaním zmluvy s úspešným uchádzačom predstavuje predpoklad k vydaniu záveru v rámci následnej </w:t>
      </w:r>
      <w:r w:rsidR="00FB1D18">
        <w:t>ex post</w:t>
      </w:r>
      <w:r>
        <w:t xml:space="preserve"> kontroly. Súhlas s podpísaním zmluvy s úspešným uchádzačom je možné udeliť aj v prípade zistení porušení pravidiel a postupov verejného obstaráva</w:t>
      </w:r>
      <w:r w:rsidR="00F80690">
        <w:t xml:space="preserve">nia, ktoré nie </w:t>
      </w:r>
      <w:r w:rsidR="00341477">
        <w:t xml:space="preserve">je </w:t>
      </w:r>
      <w:r w:rsidR="00F80690">
        <w:t>možné odstrániť</w:t>
      </w:r>
      <w:r w:rsidR="007416E4">
        <w:t xml:space="preserve"> alebo v prípadoch, ak prijímateľ neodstránil protiprávny stav</w:t>
      </w:r>
      <w:r w:rsidR="00F80690">
        <w:t xml:space="preserve">, </w:t>
      </w:r>
      <w:r>
        <w:t xml:space="preserve">ak RO určil zodpovedajúcu výšku </w:t>
      </w:r>
      <w:r w:rsidR="00FB1D18">
        <w:t>ex ante</w:t>
      </w:r>
      <w:r>
        <w:t xml:space="preserve"> finančnej opravy</w:t>
      </w:r>
      <w:r w:rsidR="000820AC">
        <w:t xml:space="preserve"> za dodržania podmienok podľa ods. 18, 19 a 20</w:t>
      </w:r>
      <w:r w:rsidR="007416E4">
        <w:t xml:space="preserve">, </w:t>
      </w:r>
      <w:r>
        <w:t>V prípade, že RO v správe z kontroly uvedie skutočnosti, napr. na základe zistení vecnej kontroly VO, ovplyvňujúce posudzovanie oprávnenosti možných výdavkov predložených ďalej prijímateľom v</w:t>
      </w:r>
      <w:r w:rsidR="00341477">
        <w:t> </w:t>
      </w:r>
      <w:r>
        <w:t>rámci ŽoP (nie skutočnosti, ktoré majú vplyv na postupy vo verejnom obstarávaní</w:t>
      </w:r>
      <w:r w:rsidRPr="000E286B">
        <w:t>)</w:t>
      </w:r>
      <w:r>
        <w:t xml:space="preserve">, v záveroch </w:t>
      </w:r>
      <w:r w:rsidRPr="00530C13">
        <w:t xml:space="preserve">kontroly </w:t>
      </w:r>
      <w:r>
        <w:t xml:space="preserve">môže </w:t>
      </w:r>
      <w:r w:rsidRPr="00530C13">
        <w:t>vyd</w:t>
      </w:r>
      <w:r>
        <w:t>ať</w:t>
      </w:r>
      <w:r w:rsidRPr="00530C13">
        <w:t xml:space="preserve"> súhlas s podpísaním zmluvy s úspešným uchádzačom, pričom v zisteniach uvedených </w:t>
      </w:r>
      <w:r w:rsidRPr="00305CCD">
        <w:t>v</w:t>
      </w:r>
      <w:r>
        <w:t> návrhu správy z kontroly</w:t>
      </w:r>
      <w:r w:rsidRPr="00530C13">
        <w:t xml:space="preserve"> uvedie všetky skutočnosti týkajúce sa takýchto zistení. </w:t>
      </w:r>
    </w:p>
    <w:p w14:paraId="35387708" w14:textId="77777777" w:rsidR="00B650E5" w:rsidRDefault="00B650E5" w:rsidP="00556762">
      <w:pPr>
        <w:numPr>
          <w:ilvl w:val="0"/>
          <w:numId w:val="237"/>
        </w:numPr>
        <w:spacing w:before="120" w:after="120"/>
        <w:ind w:left="426"/>
        <w:jc w:val="both"/>
      </w:pPr>
      <w:r>
        <w:t>N</w:t>
      </w:r>
      <w:r w:rsidRPr="00530C13">
        <w:t xml:space="preserve">esúhlas </w:t>
      </w:r>
      <w:r>
        <w:t xml:space="preserve">s podpísaním zmluvy s úspešným uchádzačom </w:t>
      </w:r>
      <w:r w:rsidRPr="00530C13">
        <w:t xml:space="preserve">predstavuje deklaráciu RO týkajúcu sa nepripustenia  súvisiacich budúcich výdavkov do financovania v plnom rozsahu, </w:t>
      </w:r>
      <w:r w:rsidR="00C93F30">
        <w:t xml:space="preserve">t. j. </w:t>
      </w:r>
      <w:r w:rsidRPr="00530C13">
        <w:t xml:space="preserve"> pokiaľ by bola zmluva s úspešným uchádzačom aj napriek nesúhlasu RO podpísaná, RO v rámci </w:t>
      </w:r>
      <w:r>
        <w:t xml:space="preserve">následnej </w:t>
      </w:r>
      <w:r w:rsidR="00FB1D18">
        <w:t>ex post</w:t>
      </w:r>
      <w:r w:rsidRPr="00530C13">
        <w:t xml:space="preserve"> kontroly nepripustí výdavky vyplývajúce z predmetnej zmluvy do financovania v plnom rozsahu.</w:t>
      </w:r>
      <w:r>
        <w:t xml:space="preserve"> Pri nesúhlase RO s podpísaním zmluvy s úspešným uchádzačom, RO vyzve prijímateľa, aby zrušil použitý postup zadávania zákazky a odporučí vyhlásiť nové verejné obstarávanie.</w:t>
      </w:r>
      <w:r w:rsidR="00E16ACF">
        <w:t xml:space="preserve"> RO rozhodne o súhlase alebo nesúhlase s podpísaním zmluvy s úspešným uchádzačom s ohľadom na závažnosť zistení, pričom niektoré nedostatky sú v zmysle metodického pokynu</w:t>
      </w:r>
      <w:r w:rsidR="000820AC">
        <w:rPr>
          <w:rStyle w:val="Odkaznapoznmkupodiarou"/>
        </w:rPr>
        <w:footnoteReference w:id="111"/>
      </w:r>
      <w:r w:rsidR="00E16ACF">
        <w:t xml:space="preserve"> spojené s finančnou opravou 100 %, resp. nepripustením výdavkov do financovania</w:t>
      </w:r>
      <w:r w:rsidR="005F2845">
        <w:t>.</w:t>
      </w:r>
    </w:p>
    <w:p w14:paraId="523B3B28" w14:textId="77777777" w:rsidR="005E61C1" w:rsidRPr="00340593" w:rsidRDefault="005B55E4" w:rsidP="00556762">
      <w:pPr>
        <w:numPr>
          <w:ilvl w:val="0"/>
          <w:numId w:val="237"/>
        </w:numPr>
        <w:spacing w:before="120" w:after="120"/>
        <w:ind w:left="426"/>
        <w:jc w:val="both"/>
      </w:pPr>
      <w:r>
        <w:t>Je na rozhodnutí RO, či</w:t>
      </w:r>
      <w:r w:rsidR="000820AC">
        <w:t xml:space="preserve"> v prípadoch uvedených v ods. 18 a 19</w:t>
      </w:r>
      <w:r>
        <w:t xml:space="preserve"> </w:t>
      </w:r>
      <w:r w:rsidRPr="005B55E4">
        <w:t xml:space="preserve">uplatní </w:t>
      </w:r>
      <w:r w:rsidR="00FB1D18">
        <w:t>ex ante</w:t>
      </w:r>
      <w:r>
        <w:t xml:space="preserve"> </w:t>
      </w:r>
      <w:r w:rsidRPr="005B55E4">
        <w:t xml:space="preserve">finančnú opravu alebo nepripustí výdavky do financovania, pričom </w:t>
      </w:r>
      <w:r>
        <w:t>zohľadní osobitné okolnosti každého prípadu.</w:t>
      </w:r>
    </w:p>
    <w:p w14:paraId="455951C9" w14:textId="77777777" w:rsidR="00B650E5" w:rsidRDefault="00B650E5">
      <w:pPr>
        <w:pStyle w:val="SRK5"/>
      </w:pPr>
      <w:bookmarkStart w:id="358" w:name="_Toc390248457"/>
      <w:bookmarkStart w:id="359" w:name="_Toc501630085"/>
      <w:bookmarkStart w:id="360" w:name="kapitola_33724"/>
      <w:r>
        <w:t>3.3.7.2.3.</w:t>
      </w:r>
      <w:bookmarkEnd w:id="358"/>
      <w:r>
        <w:t xml:space="preserve">  </w:t>
      </w:r>
      <w:bookmarkStart w:id="361" w:name="_Toc386529566"/>
      <w:bookmarkStart w:id="362" w:name="_Toc390248458"/>
      <w:r>
        <w:t xml:space="preserve">Štandardná </w:t>
      </w:r>
      <w:r w:rsidR="00FB1D18">
        <w:t>ex post</w:t>
      </w:r>
      <w:r>
        <w:t xml:space="preserve"> kontrola</w:t>
      </w:r>
      <w:bookmarkEnd w:id="356"/>
      <w:bookmarkEnd w:id="359"/>
      <w:bookmarkEnd w:id="361"/>
      <w:bookmarkEnd w:id="362"/>
      <w:r>
        <w:t xml:space="preserve"> </w:t>
      </w:r>
    </w:p>
    <w:bookmarkEnd w:id="360"/>
    <w:p w14:paraId="0EA36736" w14:textId="77777777" w:rsidR="00B650E5" w:rsidRDefault="00B650E5">
      <w:pPr>
        <w:numPr>
          <w:ilvl w:val="0"/>
          <w:numId w:val="240"/>
        </w:numPr>
        <w:spacing w:before="120" w:after="120"/>
        <w:ind w:left="426" w:hanging="426"/>
        <w:jc w:val="both"/>
      </w:pPr>
      <w:r>
        <w:t xml:space="preserve">RO kontroluje postupy VO na základe dokumentácie predloženej prijímateľom vo fáze po podpise zmluvy s úspešným uchádzačom, pričom táto zmluva je už platná a účinná, okrem prípadov kedy je účinnosť zmluvy viazaná na odkladaciu podmienku (napr. podpis zmluvy o NFP). V týchto osobitných prípadoch RO kontroluje verejné obstarávanie vo fáze po podpise zmluvy s úspešným uchádzačom, ktorá je platná. V prípade zadávania zákazky s využitím elektronického trhoviska sa dokumentácia predkladá vo fáze po vygenerovaní výslednej zmluvy príslušným elektronickým informačným systémom, po jej zverejnení v zmysle zákona o  slobode informácií (pokiaľ sa jedná o povinnú osobu podľa zákona o  slobode informácií), pričom zmluva je už platná a pred nadobudnutím účinnosti zmluvy s dodávateľom (účinnosť je viazaná na odkladaciu podmienku schválenia zákazky zo strany RO), čo sa považuje za stupeň štandardnej </w:t>
      </w:r>
      <w:r w:rsidR="00FB1D18">
        <w:t>ex post</w:t>
      </w:r>
      <w:r>
        <w:t xml:space="preserve"> kontroly. RO v prípade elektronického trhoviska postupuje podľa kapitoly </w:t>
      </w:r>
      <w:hyperlink w:anchor="kapitola_33729" w:history="1">
        <w:r w:rsidRPr="00852284">
          <w:rPr>
            <w:rStyle w:val="Hypertextovprepojenie"/>
          </w:rPr>
          <w:t>3.3.7.2.9.</w:t>
        </w:r>
      </w:hyperlink>
      <w:r>
        <w:t xml:space="preserve"> Prijímateľ predkladá dokumentáciu z VO v plnom rozsahu. Tento druh kontroly sa nevzťahuje na VO, ktoré bolo predmetom druhej </w:t>
      </w:r>
      <w:r w:rsidR="00FB1D18">
        <w:t>ex ante</w:t>
      </w:r>
      <w:r>
        <w:t xml:space="preserve"> kontroly (na tento prípad sa vzťahuje postup uvedený v časti „Následná </w:t>
      </w:r>
      <w:r w:rsidR="00FB1D18">
        <w:t>ex post</w:t>
      </w:r>
      <w:r>
        <w:t xml:space="preserve"> kontrola“). </w:t>
      </w:r>
    </w:p>
    <w:p w14:paraId="2DBB3844" w14:textId="77777777" w:rsidR="00B650E5" w:rsidRDefault="00B650E5" w:rsidP="000E286B">
      <w:pPr>
        <w:numPr>
          <w:ilvl w:val="0"/>
          <w:numId w:val="240"/>
        </w:numPr>
        <w:spacing w:before="120" w:after="120"/>
        <w:ind w:left="426" w:hanging="426"/>
        <w:jc w:val="both"/>
      </w:pPr>
      <w:r>
        <w:t xml:space="preserve">Pokiaľ bola v rámci daného VO vykonaná kontrola VO podľa § 169 ods. 3 ZVO, prijímateľ informuje RO aj o tejto skutočnosti a súčasne s dokumentáciou predloží aj kópiu právoplatného rozhodnutia ÚVO. Rovnakým spôsobom je prijímateľ povinný informovať RO aj o všetkých výsledkoch konania ÚVO vydaných pri výkone dohľadu podľa § 167 ods. 2 ZVO. </w:t>
      </w:r>
      <w:r w:rsidRPr="00D22F02">
        <w:t xml:space="preserve">Po doručení </w:t>
      </w:r>
      <w:r>
        <w:t xml:space="preserve">právoplatného </w:t>
      </w:r>
      <w:r w:rsidRPr="00D22F02">
        <w:t>rozhodnutia ÚVO spracuje  RO závery svojej kontroly</w:t>
      </w:r>
      <w:r>
        <w:t xml:space="preserve"> a závery kontroly ÚVO</w:t>
      </w:r>
      <w:r w:rsidRPr="00D22F02">
        <w:t xml:space="preserve">, </w:t>
      </w:r>
      <w:r w:rsidRPr="00D22F02">
        <w:lastRenderedPageBreak/>
        <w:t xml:space="preserve">čím nie je dotknutá povinnosť vykonania </w:t>
      </w:r>
      <w:r>
        <w:t xml:space="preserve">finančnej </w:t>
      </w:r>
      <w:r w:rsidRPr="00D22F02">
        <w:t xml:space="preserve">kontroly VO, ani zodpovednosť RO za výkon tejto kontroly v zmysle  článku 125 ods. 4 všeobecného nariadenia. </w:t>
      </w:r>
    </w:p>
    <w:p w14:paraId="026A64A5" w14:textId="77777777" w:rsidR="00B650E5" w:rsidRDefault="00B650E5">
      <w:pPr>
        <w:pStyle w:val="Odsekzoznamu"/>
        <w:numPr>
          <w:ilvl w:val="0"/>
          <w:numId w:val="240"/>
        </w:numPr>
        <w:ind w:left="426" w:hanging="426"/>
        <w:jc w:val="both"/>
      </w:pPr>
      <w:bookmarkStart w:id="363"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363"/>
    <w:p w14:paraId="46A3BC8C" w14:textId="77777777" w:rsidR="00B650E5" w:rsidRDefault="00B650E5">
      <w:pPr>
        <w:numPr>
          <w:ilvl w:val="0"/>
          <w:numId w:val="240"/>
        </w:numPr>
        <w:spacing w:before="120" w:after="120"/>
        <w:ind w:left="426" w:hanging="426"/>
        <w:jc w:val="both"/>
      </w:pPr>
      <w:r>
        <w:t>Postupy, práva a povinnosti RO uvedené v tejto časti sa vzťahujú aj na kontrolu dodatkov k zmluvám s úspešným uchádzačom a na dodatky k rámcovým dohodám, pokiaľ nie je uvedené inak.</w:t>
      </w:r>
    </w:p>
    <w:p w14:paraId="12851FF4" w14:textId="77777777" w:rsidR="00B650E5" w:rsidRDefault="00B650E5">
      <w:pPr>
        <w:numPr>
          <w:ilvl w:val="0"/>
          <w:numId w:val="240"/>
        </w:numPr>
        <w:spacing w:before="120" w:after="120"/>
        <w:ind w:left="426" w:hanging="426"/>
        <w:jc w:val="both"/>
      </w:pPr>
      <w:r>
        <w:t xml:space="preserve">Pri výkone štandardnej </w:t>
      </w:r>
      <w:r w:rsidR="00FB1D18">
        <w:t>ex post</w:t>
      </w:r>
      <w:r>
        <w:t xml:space="preserve"> kontroly je RO povinný postupovať v súlade s </w:t>
      </w:r>
      <w:hyperlink w:anchor="kapitola_3374" w:tooltip="kapitolou 3.3.7.4" w:history="1">
        <w:r>
          <w:rPr>
            <w:rStyle w:val="Hypertextovprepojenie"/>
          </w:rPr>
          <w:t>kapitolou 3.3.7.4</w:t>
        </w:r>
      </w:hyperlink>
      <w:r>
        <w:t xml:space="preserve">.  </w:t>
      </w:r>
    </w:p>
    <w:p w14:paraId="18279D00" w14:textId="77777777" w:rsidR="00B650E5" w:rsidRDefault="00B650E5" w:rsidP="008B7562">
      <w:pPr>
        <w:numPr>
          <w:ilvl w:val="0"/>
          <w:numId w:val="240"/>
        </w:numPr>
        <w:spacing w:before="120" w:after="120"/>
        <w:ind w:left="426" w:hanging="426"/>
        <w:jc w:val="both"/>
      </w:pPr>
      <w:r>
        <w:t xml:space="preserve">Lehota na výkon  štandardnej </w:t>
      </w:r>
      <w:r w:rsidR="00FB1D18">
        <w:t>ex post</w:t>
      </w:r>
      <w:r>
        <w:t xml:space="preserve"> kontroly je 20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w:t>
      </w:r>
      <w:r w:rsidR="0099118B">
        <w:t>sa prerušuje</w:t>
      </w:r>
      <w:r>
        <w:t xml:space="preserve"> lehota na výkon kontroly. Dňom nasledujúcim po dni doručenia vysvetlenia alebo doplnenia dokumentácie na RO </w:t>
      </w:r>
      <w:r w:rsidR="0099118B">
        <w:t xml:space="preserve">pokračuje plynutie </w:t>
      </w:r>
      <w:r>
        <w:t>lehot</w:t>
      </w:r>
      <w:r w:rsidR="0099118B">
        <w:t>y</w:t>
      </w:r>
      <w:r>
        <w:t xml:space="preserve"> na výkon finančnej 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xml:space="preserve">. Zároveň, ak aj napriek čestnému vyhláseniu prijímateľa (viď. </w:t>
      </w:r>
      <w:hyperlink w:anchor="kapitola_33724_ods_3" w:tooltip="ods. 3" w:history="1">
        <w:r>
          <w:rPr>
            <w:rStyle w:val="Hypertextovprepojenie"/>
          </w:rPr>
          <w:t>ods. 3</w:t>
        </w:r>
      </w:hyperlink>
      <w:r>
        <w:t xml:space="preserve">) RO identifikuje, že dokumentácia nie je kompletná a pre riadne ukončenie kontroly je nevyhnutné vyzvať prijímateľa na doplnenie týchto chýbajúcich dokladov, uvedenú skutočnosť bude môcť RO vyhodnotiť ako podstatné porušenie zmluvy o NFP, ak prijímateľ nedoplní chýbajúce doklady v lehote určenej RO. </w:t>
      </w:r>
      <w:r w:rsidRPr="008B7562">
        <w:t>Súčasťou kontroly je aj vecná kontrola</w:t>
      </w:r>
      <w:r>
        <w:t xml:space="preserve"> súladu predmetu obstarávania </w:t>
      </w:r>
      <w:r w:rsidRPr="008B7562">
        <w:t>a iných údajov so schválenou ŽoNFP a účinnou zmluvou o NFP. Závery z výkonu vecnej kontroly sú súčasťou návrhu správy/správy z kontroly.</w:t>
      </w:r>
    </w:p>
    <w:p w14:paraId="42BEB5CF" w14:textId="77777777" w:rsidR="00B650E5" w:rsidRDefault="00B650E5" w:rsidP="000E286B">
      <w:pPr>
        <w:numPr>
          <w:ilvl w:val="0"/>
          <w:numId w:val="240"/>
        </w:numPr>
        <w:spacing w:before="120" w:after="120"/>
        <w:ind w:left="426" w:hanging="426"/>
        <w:jc w:val="both"/>
      </w:pPr>
      <w:r>
        <w:t xml:space="preserve">Pri predĺžení lehoty alebo prerušení výkonu kontroly postupuje RO podľa </w:t>
      </w:r>
      <w:hyperlink w:anchor="kapitola_3372_ods_7" w:tooltip="kapitoly 3.3.7.2. ods. 7" w:history="1">
        <w:r w:rsidRPr="000E286B">
          <w:t>kapitoly 3.3.7.2.     ods. 7</w:t>
        </w:r>
      </w:hyperlink>
      <w:r>
        <w:t xml:space="preserve">. </w:t>
      </w:r>
    </w:p>
    <w:p w14:paraId="29519181" w14:textId="77777777" w:rsidR="00B650E5" w:rsidRDefault="00B650E5">
      <w:pPr>
        <w:numPr>
          <w:ilvl w:val="0"/>
          <w:numId w:val="240"/>
        </w:numPr>
        <w:spacing w:before="120" w:after="120"/>
        <w:ind w:left="426" w:hanging="426"/>
        <w:jc w:val="both"/>
      </w:pPr>
      <w:r>
        <w:t>Ak RO nezašle návrh správy z kontroly (v prípade zistení nedostatkov) alebo správu z kontroly     (v prípade, ak kontrolou neboli zistené nedostatky) vo vyššie uvedených lehotách, pričom RO kontrolu nepredĺžil, prijímateľ je oprávnený, ak je to relevantné, pozastaviť realizáciu hlavných aktivít projektu do času zaslania správy z  kontroly. Týmto ustanovením nie je dotknutá povinnosť RO vykonať kontrolu VO.</w:t>
      </w:r>
    </w:p>
    <w:p w14:paraId="3947CA65" w14:textId="77777777" w:rsidR="00B650E5" w:rsidRDefault="00B650E5">
      <w:pPr>
        <w:numPr>
          <w:ilvl w:val="0"/>
          <w:numId w:val="240"/>
        </w:numPr>
        <w:spacing w:before="120" w:after="120"/>
        <w:ind w:left="426" w:hanging="426"/>
        <w:jc w:val="both"/>
      </w:pPr>
      <w:r>
        <w:t xml:space="preserve">Ak pri štandardnej </w:t>
      </w:r>
      <w:r w:rsidR="00FB1D18">
        <w:t>ex post</w:t>
      </w:r>
      <w:r>
        <w:t xml:space="preserve"> kontrole RO nezistí porušenie </w:t>
      </w:r>
      <w:r w:rsidR="00F8333A">
        <w:t>pravidiel</w:t>
      </w:r>
      <w:r>
        <w:t xml:space="preserve">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122C57F1" w14:textId="77777777" w:rsidR="00B650E5" w:rsidRDefault="00B650E5">
      <w:pPr>
        <w:numPr>
          <w:ilvl w:val="0"/>
          <w:numId w:val="240"/>
        </w:numPr>
        <w:spacing w:before="120" w:after="120"/>
        <w:ind w:left="426" w:hanging="426"/>
        <w:jc w:val="both"/>
      </w:pPr>
      <w:r>
        <w:t xml:space="preserve">Ak pri štandardnej </w:t>
      </w:r>
      <w:r w:rsidR="00FB1D18">
        <w:t>ex post</w:t>
      </w:r>
      <w:r>
        <w:t xml:space="preserve"> kontrole RO nezistí porušenie </w:t>
      </w:r>
      <w:r w:rsidR="00F8333A">
        <w:t>pravidiel</w:t>
      </w:r>
      <w:r>
        <w:t xml:space="preserve"> a postupov VO, resp. porušenie pravidiel a ustanovení  legislatívy SR a EÚ, avšak bude zistené iné porušenie, ktoré môže mať vplyv na oprávnenosť príslušných výdavkov (napr. na základe zistení vecnej kontroly VO), RO v záveroch kontroly konštatuje uvedenú skutočnosť a určí prípadné opatrenia, ktoré  je prijímateľ povinný vykonať na odstránenie tohto nedostatku, pričom budúce pripustenie výdavkov súvisiacich s VO do financovania bude závislé od odstránenia alebo ďalšieho vyhodnotenia tohto nedostatku.  </w:t>
      </w:r>
    </w:p>
    <w:p w14:paraId="4A366475" w14:textId="77777777" w:rsidR="00B650E5" w:rsidRDefault="00B650E5">
      <w:pPr>
        <w:numPr>
          <w:ilvl w:val="0"/>
          <w:numId w:val="240"/>
        </w:numPr>
        <w:spacing w:before="120" w:after="120"/>
        <w:ind w:left="426" w:hanging="426"/>
        <w:jc w:val="both"/>
      </w:pPr>
      <w:r>
        <w:t xml:space="preserve">Ak pri štandardnej </w:t>
      </w:r>
      <w:r w:rsidR="00FB1D18">
        <w:t>ex post</w:t>
      </w:r>
      <w:r>
        <w:t xml:space="preserve"> kontrole RO zistí porušenie </w:t>
      </w:r>
      <w:r w:rsidR="00F8333A">
        <w:t>pravidiel</w:t>
      </w:r>
      <w:r>
        <w:t xml:space="preserve"> a postupov VO, resp. porušenie pravidiel a ustanovení legislatívy SR a EÚ, pričom rozsah a závažnosť týchto zistení má taký charakter, že mali alebo mohli mať vplyv na výsledok VO, v takom prípade RO: </w:t>
      </w:r>
    </w:p>
    <w:p w14:paraId="23B8C747" w14:textId="77777777" w:rsidR="00B650E5" w:rsidRDefault="00B650E5">
      <w:pPr>
        <w:pStyle w:val="Odsekzoznamu"/>
        <w:numPr>
          <w:ilvl w:val="1"/>
          <w:numId w:val="241"/>
        </w:numPr>
        <w:spacing w:before="120" w:after="120"/>
        <w:ind w:left="851" w:hanging="425"/>
        <w:jc w:val="both"/>
      </w:pPr>
      <w:bookmarkStart w:id="364" w:name="kapitola_33724_ods_12a_b"/>
      <w:r>
        <w:lastRenderedPageBreak/>
        <w:t>v záveroch kontroly nepripustí výdavky súvisiace s VO do financovania v plnom rozsahu, alebo</w:t>
      </w:r>
    </w:p>
    <w:p w14:paraId="02C1C26B" w14:textId="77777777" w:rsidR="00B650E5" w:rsidRDefault="00B650E5">
      <w:pPr>
        <w:pStyle w:val="Odsekzoznamu"/>
        <w:numPr>
          <w:ilvl w:val="1"/>
          <w:numId w:val="241"/>
        </w:numPr>
        <w:spacing w:before="120" w:after="120"/>
        <w:ind w:left="851" w:hanging="425"/>
        <w:jc w:val="both"/>
      </w:pPr>
      <w:r>
        <w:t>postupuje v zmysle metodického pokynu</w:t>
      </w:r>
      <w:r>
        <w:rPr>
          <w:rStyle w:val="Odkaznapoznmkupodiarou"/>
        </w:rPr>
        <w:footnoteReference w:id="112"/>
      </w:r>
      <w:r>
        <w:t>, ktorý upravuje postup pri určení finančných opráv za VO.</w:t>
      </w:r>
    </w:p>
    <w:bookmarkEnd w:id="364"/>
    <w:p w14:paraId="5E4C2B42" w14:textId="77777777" w:rsidR="00B650E5" w:rsidRDefault="00B650E5">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14:paraId="2B245926" w14:textId="77777777" w:rsidR="00B650E5" w:rsidRDefault="00B650E5">
      <w:pPr>
        <w:numPr>
          <w:ilvl w:val="0"/>
          <w:numId w:val="240"/>
        </w:numPr>
        <w:spacing w:before="120" w:after="120"/>
        <w:ind w:left="426" w:hanging="426"/>
        <w:jc w:val="both"/>
      </w:pPr>
      <w:r>
        <w:t xml:space="preserve">Rozhodnutie RO, či bude postupovať podľa </w:t>
      </w:r>
      <w:hyperlink w:anchor="kapitola_33724_ods_12a_b" w:tooltip="ods. 12 a) alebo b)" w:history="1">
        <w:r>
          <w:rPr>
            <w:rStyle w:val="Hypertextovprepojenie"/>
          </w:rPr>
          <w:t>ods. 1</w:t>
        </w:r>
        <w:r w:rsidR="0099118B">
          <w:rPr>
            <w:rStyle w:val="Hypertextovprepojenie"/>
          </w:rPr>
          <w:t>1</w:t>
        </w:r>
        <w:r>
          <w:rPr>
            <w:rStyle w:val="Hypertextovprepojenie"/>
          </w:rPr>
          <w:t xml:space="preserve"> a) alebo b)</w:t>
        </w:r>
      </w:hyperlink>
      <w:r>
        <w:t xml:space="preserve"> závisí od skutočnosti, či je RO v závislosti od závažnosti zistených nedostatkov oprávnený aplikovať </w:t>
      </w:r>
      <w:r w:rsidR="00FB1D18">
        <w:t>ex ante</w:t>
      </w:r>
      <w:r>
        <w:t xml:space="preserve"> finančnú opravu</w:t>
      </w:r>
      <w:r>
        <w:rPr>
          <w:rStyle w:val="Odkaznapoznmkupodiarou"/>
        </w:rPr>
        <w:footnoteReference w:id="113"/>
      </w:r>
      <w:r>
        <w:t>.</w:t>
      </w:r>
    </w:p>
    <w:p w14:paraId="2C7CCCF0" w14:textId="77777777" w:rsidR="00B650E5" w:rsidRDefault="00B650E5" w:rsidP="001B709E">
      <w:pPr>
        <w:numPr>
          <w:ilvl w:val="0"/>
          <w:numId w:val="240"/>
        </w:numPr>
        <w:spacing w:before="120" w:after="120"/>
        <w:ind w:left="426" w:hanging="426"/>
        <w:jc w:val="both"/>
      </w:pPr>
      <w:r>
        <w:t xml:space="preserve">Ak pri štandardnej </w:t>
      </w:r>
      <w:r w:rsidR="00FB1D18">
        <w:t>ex post</w:t>
      </w:r>
      <w:r>
        <w:t xml:space="preserve"> kontrole RO zistí porušenie </w:t>
      </w:r>
      <w:r w:rsidR="00F8333A">
        <w:t>pravidiel</w:t>
      </w:r>
      <w:r>
        <w:t xml:space="preserve"> a postupov VO, resp. porušenie pravidiel a ustanovení legislatívy SR a EÚ, pričom rozsah, závažnosť a moment zistenia týchto nedostatkov sú v zmysle metodického pokynu</w:t>
      </w:r>
      <w:r>
        <w:rPr>
          <w:rStyle w:val="Odkaznapoznmkupodiarou"/>
        </w:rPr>
        <w:footnoteReference w:id="114"/>
      </w:r>
      <w:r>
        <w:t xml:space="preserve">, ktorý upravuje postup pri určení finančných opráv za VO takého charakteru, že je pri nich nutné aplikovať </w:t>
      </w:r>
      <w:r w:rsidR="00FB1D18">
        <w:t>ex post</w:t>
      </w:r>
      <w:r>
        <w:t xml:space="preserve"> finančnú opravu, RO ďalej postupuje podľa tohto metodického pokynu a súčasne postupuje podľa § 41 alebo § 41a  zákona o príspevku z EŠIF. V osobitých prípadoch, keď objem požadovaných finančných prostriedkov vyplývajúci z </w:t>
      </w:r>
      <w:r w:rsidR="00FB1D18">
        <w:t>ex post</w:t>
      </w:r>
      <w:r>
        <w:t xml:space="preserve"> finančnej opravy presahuje objem vyplatených prostriedkov v rámci predošlých ŽoP, RO určí súčasne aj </w:t>
      </w:r>
      <w:r w:rsidR="00FB1D18">
        <w:t>ex ante</w:t>
      </w:r>
      <w:r>
        <w:t xml:space="preserve"> finančnú opravu, o ktorú budú krátené všetky ďalšie súvisiace ŽoP. Percentuálna výška tejto </w:t>
      </w:r>
      <w:r w:rsidR="00FB1D18">
        <w:t>ex ante</w:t>
      </w:r>
      <w:r>
        <w:t xml:space="preserve"> finančnej opravy musí byť zhodná s určenou </w:t>
      </w:r>
      <w:r w:rsidR="00FB1D18">
        <w:t>ex post</w:t>
      </w:r>
      <w:r>
        <w:t xml:space="preserve"> finančnou opravou. </w:t>
      </w:r>
      <w:r w:rsidRPr="00C75ABE">
        <w:t>Podrobnosti o uplatnení určenej % sadzby finančnej opravy na jednotlivé výdavky NFP na predmet zákazky je upravený v usmernení MF SR č. 2/2015 – U k nezrovnalostiam a finančným opravám v rámci finančného riadenia štrukturálnych fondov, Kohézneho fondu a Európskeho námorného a rybárskeho fondu na programové obdobie 2014 - 2020</w:t>
      </w:r>
      <w:r>
        <w:t>.</w:t>
      </w:r>
    </w:p>
    <w:p w14:paraId="4ACEEDA0" w14:textId="77777777" w:rsidR="00B650E5" w:rsidRDefault="00B650E5">
      <w:pPr>
        <w:pStyle w:val="SRK5"/>
      </w:pPr>
      <w:bookmarkStart w:id="365" w:name="_Toc390248459"/>
      <w:bookmarkStart w:id="366" w:name="_Toc453234034"/>
      <w:bookmarkStart w:id="367" w:name="_Toc501630086"/>
      <w:bookmarkStart w:id="368" w:name="kapitola_33725"/>
      <w:bookmarkStart w:id="369" w:name="_Toc386529567"/>
      <w:r>
        <w:t xml:space="preserve">3.3.7.2.4.   Následná </w:t>
      </w:r>
      <w:r w:rsidR="00FB1D18">
        <w:t>ex post</w:t>
      </w:r>
      <w:r>
        <w:t xml:space="preserve"> kontrola</w:t>
      </w:r>
      <w:bookmarkEnd w:id="365"/>
      <w:bookmarkEnd w:id="366"/>
      <w:bookmarkEnd w:id="367"/>
    </w:p>
    <w:bookmarkEnd w:id="368"/>
    <w:p w14:paraId="7F7EF62D" w14:textId="77777777" w:rsidR="00B650E5" w:rsidRDefault="00B650E5">
      <w:pPr>
        <w:numPr>
          <w:ilvl w:val="0"/>
          <w:numId w:val="242"/>
        </w:numPr>
        <w:spacing w:before="120" w:after="120"/>
        <w:ind w:left="426" w:hanging="426"/>
        <w:jc w:val="both"/>
      </w:pPr>
      <w:r>
        <w:t xml:space="preserve">Následná </w:t>
      </w:r>
      <w:r w:rsidR="00FB1D18">
        <w:t>ex post</w:t>
      </w:r>
      <w:r>
        <w:t xml:space="preserve"> kontrola sa vykonáva pri všetkých VO, v rámci ktorých bola riadne ukončená druhá </w:t>
      </w:r>
      <w:r w:rsidR="00FB1D18">
        <w:t>ex ante</w:t>
      </w:r>
      <w:r>
        <w:t xml:space="preserve"> kontrola. </w:t>
      </w:r>
    </w:p>
    <w:p w14:paraId="44B7217F" w14:textId="77777777" w:rsidR="00B650E5" w:rsidRDefault="00B650E5">
      <w:pPr>
        <w:numPr>
          <w:ilvl w:val="0"/>
          <w:numId w:val="242"/>
        </w:numPr>
        <w:spacing w:before="120" w:after="120"/>
        <w:ind w:left="426" w:hanging="426"/>
        <w:jc w:val="both"/>
      </w:pPr>
      <w:r>
        <w:t xml:space="preserve">Pre potreby finančnej kontroly VO prijímateľ predkladá na RO originál zmluvy s úspešným uchádzačom, resp. jej úradne overenú kópiu (akceptuje sa aj kópia zmluvy overená štatutárnym zástupcom prijímateľa). Túto zmluvu predkladá prijímateľ vrátane všetkých jej príloh. RO je oprávnený v rámci podmienok zmluvy o NFP, resp. záväzných dokumentov, na ktoré zmluva o NFP odkazuje, určiť prijímateľovi výnimku z predkladania týchto príloh, </w:t>
      </w:r>
      <w:r w:rsidR="00C93F30">
        <w:t xml:space="preserve">t. j. </w:t>
      </w:r>
      <w:r>
        <w:t xml:space="preserve"> identifikovať typ príloh (napr. rozsiahla technická dokumentácia), ktoré prijímateľ nemusí na RO predložiť. </w:t>
      </w:r>
    </w:p>
    <w:p w14:paraId="408CD66F" w14:textId="77777777" w:rsidR="00B650E5" w:rsidRDefault="00B650E5">
      <w:pPr>
        <w:numPr>
          <w:ilvl w:val="0"/>
          <w:numId w:val="242"/>
        </w:numPr>
        <w:spacing w:before="120" w:after="120"/>
        <w:ind w:left="426" w:hanging="426"/>
        <w:jc w:val="both"/>
      </w:pPr>
      <w:r>
        <w:t xml:space="preserve">Lehota na výkon následnej </w:t>
      </w:r>
      <w:r w:rsidR="00FB1D18">
        <w:t>ex post</w:t>
      </w:r>
      <w:r>
        <w:t xml:space="preserve"> kontroly je 7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w:t>
      </w:r>
      <w:r w:rsidR="004108DB">
        <w:t xml:space="preserve">sa prerušuje </w:t>
      </w:r>
      <w:r>
        <w:t xml:space="preserve">lehota na výkon kontroly. Dňom nasledujúcim po dni doručenia vysvetlenia alebo doplnenia dokumentácie na RO </w:t>
      </w:r>
      <w:r w:rsidR="004108DB">
        <w:t xml:space="preserve">pokračuje plynutie </w:t>
      </w:r>
      <w:r>
        <w:t>lehot</w:t>
      </w:r>
      <w:r w:rsidR="004108DB">
        <w:t>y</w:t>
      </w:r>
      <w:r>
        <w:t xml:space="preserve"> na výkon finančnej kontroly VO. Doplnením dokumentácie nemôže dôjsť </w:t>
      </w:r>
      <w:r w:rsidR="004108DB">
        <w:t xml:space="preserve">                     </w:t>
      </w:r>
      <w:r>
        <w:lastRenderedPageBreak/>
        <w:t xml:space="preserve">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p>
    <w:p w14:paraId="760B3D3B" w14:textId="77777777" w:rsidR="00B650E5" w:rsidRDefault="00B650E5">
      <w:pPr>
        <w:numPr>
          <w:ilvl w:val="0"/>
          <w:numId w:val="242"/>
        </w:numPr>
        <w:spacing w:before="120" w:after="120"/>
        <w:ind w:left="426" w:hanging="426"/>
        <w:jc w:val="both"/>
      </w:pPr>
      <w:r>
        <w:t>Predmetom tejto kontroly je najmä:</w:t>
      </w:r>
    </w:p>
    <w:p w14:paraId="283909A1" w14:textId="77777777" w:rsidR="00B650E5" w:rsidRDefault="00B650E5">
      <w:pPr>
        <w:numPr>
          <w:ilvl w:val="0"/>
          <w:numId w:val="243"/>
        </w:numPr>
        <w:spacing w:before="120" w:after="120"/>
        <w:ind w:left="851" w:hanging="425"/>
        <w:jc w:val="both"/>
      </w:pPr>
      <w:r>
        <w:t xml:space="preserve">kontrola súladu podpísanej zmluvy s úspešným uchádzačom s jej návrhom kontrolovaným v rámci druhej </w:t>
      </w:r>
      <w:r w:rsidR="00FB1D18">
        <w:t>ex ante</w:t>
      </w:r>
      <w:r>
        <w:t xml:space="preserve"> kontroly,</w:t>
      </w:r>
    </w:p>
    <w:p w14:paraId="2F332F72" w14:textId="77777777" w:rsidR="00B650E5" w:rsidRDefault="00B650E5">
      <w:pPr>
        <w:numPr>
          <w:ilvl w:val="0"/>
          <w:numId w:val="243"/>
        </w:numPr>
        <w:spacing w:before="120" w:after="120"/>
        <w:ind w:left="851" w:hanging="425"/>
        <w:jc w:val="both"/>
      </w:pPr>
      <w:r>
        <w:t>kontrola oprávnenosti osôb podpísať predmetnú zmluvu,</w:t>
      </w:r>
    </w:p>
    <w:p w14:paraId="59AFE69A" w14:textId="77777777" w:rsidR="00B650E5" w:rsidRDefault="00B650E5">
      <w:pPr>
        <w:numPr>
          <w:ilvl w:val="0"/>
          <w:numId w:val="243"/>
        </w:numPr>
        <w:spacing w:before="120" w:after="120"/>
        <w:ind w:left="851" w:hanging="425"/>
        <w:jc w:val="both"/>
      </w:pPr>
      <w:r>
        <w:t xml:space="preserve">kontrola zapracovania prípadných návrhov na úpravu formulovaných RO vo fáze druhej </w:t>
      </w:r>
      <w:r w:rsidR="00FB1D18">
        <w:t>ex ante</w:t>
      </w:r>
      <w:r>
        <w:t xml:space="preserve"> kontroly,</w:t>
      </w:r>
    </w:p>
    <w:p w14:paraId="4C2E9902" w14:textId="77777777" w:rsidR="00B650E5" w:rsidRDefault="00B650E5">
      <w:pPr>
        <w:numPr>
          <w:ilvl w:val="0"/>
          <w:numId w:val="243"/>
        </w:numPr>
        <w:spacing w:before="120" w:after="120"/>
        <w:ind w:left="851" w:hanging="425"/>
        <w:jc w:val="both"/>
      </w:pPr>
      <w:r>
        <w:t>kontrola zverejnenia tejto zmluvy v zmysle zákona o  slobode informácií, </w:t>
      </w:r>
    </w:p>
    <w:p w14:paraId="32B0AD41" w14:textId="77777777" w:rsidR="00B650E5" w:rsidRDefault="00B650E5">
      <w:pPr>
        <w:numPr>
          <w:ilvl w:val="0"/>
          <w:numId w:val="243"/>
        </w:numPr>
        <w:spacing w:before="120" w:after="120"/>
        <w:ind w:left="851" w:hanging="425"/>
        <w:jc w:val="both"/>
      </w:pPr>
      <w:r>
        <w:t>kontrola oznámenia o výsledku VO do vestníka VO,</w:t>
      </w:r>
    </w:p>
    <w:p w14:paraId="3EF3740D" w14:textId="77777777" w:rsidR="00B650E5" w:rsidRDefault="00B650E5">
      <w:pPr>
        <w:numPr>
          <w:ilvl w:val="0"/>
          <w:numId w:val="243"/>
        </w:numPr>
        <w:spacing w:before="120" w:after="120"/>
        <w:ind w:left="851" w:hanging="425"/>
        <w:jc w:val="both"/>
      </w:pPr>
      <w:r>
        <w:t xml:space="preserve">kontrola nových skutočností, ktoré neboli v čase výkonu druhej </w:t>
      </w:r>
      <w:r w:rsidR="00FB1D18">
        <w:t>ex ante</w:t>
      </w:r>
      <w:r>
        <w:t xml:space="preserve"> kontroly známe, alebo z iných dôvodov neboli jej predmetom,</w:t>
      </w:r>
    </w:p>
    <w:p w14:paraId="1CB7DD9B" w14:textId="77777777" w:rsidR="00B650E5" w:rsidRDefault="00B650E5" w:rsidP="00F72591">
      <w:pPr>
        <w:numPr>
          <w:ilvl w:val="0"/>
          <w:numId w:val="242"/>
        </w:numPr>
        <w:spacing w:before="120" w:after="120"/>
        <w:ind w:left="426" w:hanging="426"/>
        <w:jc w:val="both"/>
      </w:pPr>
      <w:r>
        <w:t xml:space="preserve">Ak RO pri kontrole nezistí nedostatky,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54BD56B4" w14:textId="77777777" w:rsidR="00B650E5" w:rsidRDefault="00B650E5" w:rsidP="00DF24CC">
      <w:pPr>
        <w:numPr>
          <w:ilvl w:val="0"/>
          <w:numId w:val="242"/>
        </w:numPr>
        <w:spacing w:before="120" w:after="120"/>
        <w:ind w:left="426" w:hanging="426"/>
        <w:jc w:val="both"/>
      </w:pPr>
      <w:r>
        <w:t>Pokiaľ kontrola identifikuje nedostatky, ktoré je možné odstrániť (napr. nezverejnenie zmluvy,</w:t>
      </w:r>
      <w:r w:rsidRPr="00D97958">
        <w:t xml:space="preserve"> nezverejnenie časti zmluvy alebo prílohy k</w:t>
      </w:r>
      <w:r>
        <w:t> </w:t>
      </w:r>
      <w:r w:rsidRPr="00D97958">
        <w:t>zmluve</w:t>
      </w:r>
      <w:r>
        <w:t xml:space="preserve">, nezaslanie oznámenia o výsledku a pod.), vyzve RO prijímateľa po zaslaní návrhu správy z kontroly na ich odstránenie. Pokiaľ je možné tieto nedostatky odstrániť len úpravou zmluvy s úspešným uchádzačom (formou dodatku), vyzve prijímateľa na vypracovanie a predloženie návrhu takéhoto dodatku na kontrolu RO. Návrh RO na vypracovanie dodatku nemôže byť v rozpore s obmedzeniami ustanovenými v § 18 ZVO, ktorý upravuje zmenu zmluvy, rámcovej dohody alebo koncesnej zmluvy. Je na konkrétnom posúdení RO, či následnú </w:t>
      </w:r>
      <w:r w:rsidR="00FB1D18">
        <w:t>ex post</w:t>
      </w:r>
      <w:r>
        <w:t xml:space="preserve"> kontrolu ukončí až po schválení platného a účinného dodatku alebo aj pred týmto úkonom</w:t>
      </w:r>
      <w:r w:rsidR="00DF24CC">
        <w:t xml:space="preserve"> </w:t>
      </w:r>
      <w:r w:rsidR="00DF24CC" w:rsidRPr="00DF24CC">
        <w:t>(napr. odkladacia podmienka nadobudnutia účinnosti</w:t>
      </w:r>
      <w:r w:rsidR="00DF24CC">
        <w:t xml:space="preserve"> dodatku). </w:t>
      </w:r>
      <w:r>
        <w:t xml:space="preserve">Ak pri kontrole RO zistí porušenie </w:t>
      </w:r>
      <w:r w:rsidR="00F8333A">
        <w:t>pravidiel</w:t>
      </w:r>
      <w:r>
        <w:t xml:space="preserve"> a postupov VO, resp. porušenie pravidiel a ustanovení  legislatívy SR a EÚ, pričom rozsah a závažnosť týchto zistení má taký charakter, že mali alebo mohli mať vplyv na výsledok VO, v tomto prípade RO: </w:t>
      </w:r>
    </w:p>
    <w:p w14:paraId="7EB41798" w14:textId="77777777" w:rsidR="00B650E5" w:rsidRDefault="00B650E5">
      <w:pPr>
        <w:numPr>
          <w:ilvl w:val="0"/>
          <w:numId w:val="244"/>
        </w:numPr>
        <w:spacing w:before="120" w:after="120"/>
        <w:ind w:left="851" w:hanging="425"/>
        <w:jc w:val="both"/>
      </w:pPr>
      <w:bookmarkStart w:id="370" w:name="kapitola_33725_ods_7a"/>
      <w:r>
        <w:t>v záveroch kontroly nepripustí výdavky súvisiace s VO do financovania v plnom rozsahu, alebo</w:t>
      </w:r>
    </w:p>
    <w:p w14:paraId="5DFA2B1C" w14:textId="77777777" w:rsidR="00B650E5" w:rsidRDefault="00B650E5">
      <w:pPr>
        <w:numPr>
          <w:ilvl w:val="0"/>
          <w:numId w:val="244"/>
        </w:numPr>
        <w:spacing w:before="120" w:after="120"/>
        <w:ind w:left="851" w:hanging="425"/>
        <w:jc w:val="both"/>
      </w:pPr>
      <w:bookmarkStart w:id="371" w:name="kapitola_33725_ods_7b"/>
      <w:bookmarkEnd w:id="370"/>
      <w:r>
        <w:t>postupuje podľa metodického pokynu</w:t>
      </w:r>
      <w:r>
        <w:rPr>
          <w:rStyle w:val="Odkaznapoznmkupodiarou"/>
        </w:rPr>
        <w:footnoteReference w:id="115"/>
      </w:r>
      <w:r>
        <w:t>, ktorý upravuje postup pri určení finančných opráv za VO.</w:t>
      </w:r>
    </w:p>
    <w:bookmarkEnd w:id="371"/>
    <w:p w14:paraId="6154CBFA" w14:textId="77777777" w:rsidR="00B650E5" w:rsidRDefault="00B650E5">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Rozhodnutie RO, či bude postupovať podľa </w:t>
      </w:r>
      <w:hyperlink w:anchor="kapitola_33725_ods_7a" w:tooltip="ods. 7 písm. a)" w:history="1">
        <w:r>
          <w:rPr>
            <w:rStyle w:val="Hypertextovprepojenie"/>
          </w:rPr>
          <w:t>ods. 6 písm. a)</w:t>
        </w:r>
      </w:hyperlink>
      <w:r>
        <w:t xml:space="preserve"> alebo </w:t>
      </w:r>
      <w:hyperlink w:anchor="kapitola_33725_ods_7b" w:tooltip="ods. 7 písm. b)" w:history="1">
        <w:r>
          <w:rPr>
            <w:rStyle w:val="Hypertextovprepojenie"/>
          </w:rPr>
          <w:t>ods. 6 písm. b)</w:t>
        </w:r>
      </w:hyperlink>
      <w:r>
        <w:t xml:space="preserve"> závisí od skutočnosti, či je RO v závislosti od závažnosti zistených nedostatkov oprávnený aplikovať </w:t>
      </w:r>
      <w:r w:rsidR="00FB1D18">
        <w:t>ex ante</w:t>
      </w:r>
      <w:r>
        <w:t xml:space="preserve"> finančnú opravu.</w:t>
      </w:r>
    </w:p>
    <w:p w14:paraId="0D222ADD" w14:textId="77777777" w:rsidR="00B650E5" w:rsidRDefault="00B650E5">
      <w:pPr>
        <w:numPr>
          <w:ilvl w:val="0"/>
          <w:numId w:val="242"/>
        </w:numPr>
        <w:spacing w:before="120" w:after="120"/>
        <w:ind w:left="426" w:hanging="426"/>
        <w:jc w:val="both"/>
      </w:pPr>
      <w:r>
        <w:t xml:space="preserve">Pokiaľ RO vyjadril nesúhlas s podpísaním zmluvy s úspešným uchádzačom, nie je možné                    určiť </w:t>
      </w:r>
      <w:r w:rsidR="00FB1D18">
        <w:t>ex ante</w:t>
      </w:r>
      <w:r>
        <w:t xml:space="preserve"> finančnú opravu. RO v záveroch kontroly nepripustí výdavky súvisiace s VO                      do financovania v plnom rozsahu, bez ohľadu na ustanovenie predošlého odseku. </w:t>
      </w:r>
    </w:p>
    <w:p w14:paraId="72D3091E" w14:textId="77777777" w:rsidR="00B650E5" w:rsidRDefault="00B650E5">
      <w:pPr>
        <w:pStyle w:val="SRK5"/>
      </w:pPr>
      <w:bookmarkStart w:id="372" w:name="_Toc390248460"/>
      <w:bookmarkStart w:id="373" w:name="_Toc453234035"/>
      <w:bookmarkStart w:id="374" w:name="_Toc501630087"/>
      <w:bookmarkStart w:id="375" w:name="kapitola_33726"/>
      <w:r>
        <w:lastRenderedPageBreak/>
        <w:t>3.3.7.2.5. Kontrola zákaziek s nízkymi hodnotami podľa § 117 ZVO – všeobecné ustanovenia</w:t>
      </w:r>
      <w:bookmarkEnd w:id="369"/>
      <w:bookmarkEnd w:id="372"/>
      <w:bookmarkEnd w:id="373"/>
      <w:bookmarkEnd w:id="374"/>
    </w:p>
    <w:bookmarkEnd w:id="375"/>
    <w:p w14:paraId="2511C3E1" w14:textId="77777777" w:rsidR="00B650E5" w:rsidRDefault="00B650E5" w:rsidP="001773B0">
      <w:pPr>
        <w:numPr>
          <w:ilvl w:val="0"/>
          <w:numId w:val="245"/>
        </w:numPr>
        <w:spacing w:before="120" w:after="120"/>
        <w:ind w:left="426" w:hanging="426"/>
        <w:jc w:val="both"/>
      </w:pPr>
      <w:r>
        <w:t>RO postupuje pri kontrole VO zákaziek podľa § 117 ZVO v zmysle pravidiel uvedených v </w:t>
      </w:r>
      <w:r w:rsidRPr="000E286B">
        <w:t xml:space="preserve">kapitole </w:t>
      </w:r>
      <w:hyperlink w:anchor="kapitola_33723" w:history="1">
        <w:r w:rsidRPr="00764D0E">
          <w:rPr>
            <w:rStyle w:val="Hypertextovprepojenie"/>
          </w:rPr>
          <w:t>3.3.7.2.</w:t>
        </w:r>
        <w:r w:rsidRPr="00B9035D">
          <w:rPr>
            <w:rStyle w:val="Hypertextovprepojenie"/>
          </w:rPr>
          <w:t>3</w:t>
        </w:r>
      </w:hyperlink>
      <w:r>
        <w:t xml:space="preserve"> a súčasne dodržuje postupy uvedené ďalej v tejto kapitole. Všeobecným predmetom kontroly je skutočnosť, či prijímateľ správne určil postup obstarávania s ohľadom na finančný limit podľa § 5 ods. 4 ZVO. </w:t>
      </w:r>
    </w:p>
    <w:p w14:paraId="35944B82" w14:textId="77777777" w:rsidR="00B650E5" w:rsidRDefault="00B650E5" w:rsidP="001773B0">
      <w:pPr>
        <w:numPr>
          <w:ilvl w:val="0"/>
          <w:numId w:val="245"/>
        </w:numPr>
        <w:spacing w:before="120" w:after="120"/>
        <w:ind w:left="426" w:hanging="426"/>
        <w:jc w:val="both"/>
      </w:pPr>
      <w:r>
        <w:t xml:space="preserve">Dokumentáciu na kontrolu VO predkladá prijímateľ po podpise zmluvy s úspešným uchádzačom. Ak plnenie nie je založené na písomnom zmluvnom vzťahu, predkladá prijímateľ objednávku, ktorá v tomto prípade pre potreby finančnej kontroly VO nahrádza písomný zmluvný vzťah. Pokiaľ výsledok VO nie je formálne zachytený ani písomným zmluvným vzťahom, ani objednávkou, ale iným spôsobom (napr. pokladničným blokom, príjmovým dokladom a pod.), ktorý jednoznačne a hodnoverne preukazuje formálne, príp. aj vecné naplnenie výsledku VO, tento doklad pre potreby finančnej kontroly VO nahrádza písomný zmluvný vzťah. </w:t>
      </w:r>
      <w:r w:rsidRPr="00857D31">
        <w:t xml:space="preserve">Lehota na </w:t>
      </w:r>
      <w:r>
        <w:t>výkon kontroly je 20</w:t>
      </w:r>
      <w:r w:rsidRPr="00857D31">
        <w:t xml:space="preserve"> pracovných dní.</w:t>
      </w:r>
    </w:p>
    <w:p w14:paraId="1521799E" w14:textId="77777777" w:rsidR="00B650E5" w:rsidRDefault="00B650E5">
      <w:pPr>
        <w:numPr>
          <w:ilvl w:val="0"/>
          <w:numId w:val="245"/>
        </w:numPr>
        <w:spacing w:before="120" w:after="120"/>
        <w:ind w:left="426" w:hanging="426"/>
        <w:jc w:val="both"/>
      </w:pPr>
      <w:r>
        <w:t>RO si v riadiacej dokumentácii definuje minimálne povinné náležitosti objednávky, tak aby táto spĺňala minimálne náležitosti písomného zmluvného vzťahu (v závislosti od konkrétneho zmluvného typu). Medzi takéto náležitosti objednávky patrí najmä: dátum jej vyhotovenia, kompletné a správne identifikačné údaje objednávateľa a dodávateľa (</w:t>
      </w:r>
      <w:r w:rsidR="00C93F30">
        <w:t xml:space="preserve">t. j. </w:t>
      </w:r>
      <w:r>
        <w:t xml:space="preserve"> obchodné meno/ názov, IČO, adresu sídla, príp. kontaktné miesta), jednoznačnú špecifikáciu predmetu zákazky,  dohodnutú cenu (bez DPH, výška DPH a cena s DPH), lehotu a miesto plnenia,  ďalšie náležitosti podľa požiadaviek objednávateľa. Na objednávke je potrebné zaznamenanie potvrdenia o jej prijatí dodávateľom, resp. musí byť predložená iná relevantná dokumentácia preukazujúca prevzatie záväzku dodávateľa dodať tovar, uskutočniť stavebné práce alebo poskytnúť službu za podmienok určených v objednávke. </w:t>
      </w:r>
    </w:p>
    <w:p w14:paraId="40436F80" w14:textId="77777777" w:rsidR="00B650E5" w:rsidRDefault="00B650E5">
      <w:pPr>
        <w:numPr>
          <w:ilvl w:val="0"/>
          <w:numId w:val="245"/>
        </w:numPr>
        <w:spacing w:before="120" w:after="120"/>
        <w:ind w:left="426" w:hanging="426"/>
        <w:jc w:val="both"/>
      </w:pPr>
      <w:r>
        <w:t>RO overuje pri kontrole zákaziek s nízkymi hodnotami podľa § 117 ZVO, či vynaložené náklady na obstaranie predmetu zákazky boli primerané kvalite a cene. Zároveň RO overí, či pri obstarávaní neboli porušené základné princípy VO a postupy uvedené v </w:t>
      </w:r>
      <w:r w:rsidRPr="000E286B">
        <w:t xml:space="preserve">kapitole </w:t>
      </w:r>
      <w:hyperlink w:anchor="kapitola_33725" w:history="1">
        <w:r w:rsidRPr="00764D0E">
          <w:rPr>
            <w:rStyle w:val="Hypertextovprepojenie"/>
          </w:rPr>
          <w:t>3.3.7.2.</w:t>
        </w:r>
        <w:r w:rsidRPr="00510CDA">
          <w:rPr>
            <w:rStyle w:val="Hypertextovprepojenie"/>
          </w:rPr>
          <w:t>5</w:t>
        </w:r>
      </w:hyperlink>
      <w:r>
        <w:t>. Pravidlá a povinnosti uvádzané v  </w:t>
      </w:r>
      <w:r w:rsidRPr="000E286B">
        <w:t>kapitole 3.3.7.2.5</w:t>
      </w:r>
      <w:r>
        <w:t xml:space="preserve"> sa vzťahujú na všetky zákazky s nízkymi hodnotami podľa § 117 ZVO, ktoré budú spolufinancované z fondov a ENRF, bez ohľadu na skutočnosť, či ich zrealizoval prijímateľ ešte pred schválením ŽoNFP, alebo až po schválení tejto ŽoNFP. Pokiaľ teda prijímateľ predloží na RO dokumentáciu z procesu verejného obstarávania realizovaného ako zákazka s nízkou hodnotou podľa § 117 ZVO, pri ktorej obstarávaní nepostupoval podľa pravidiel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 xml:space="preserve"> a porušenie týchto pravidiel malo alebo mohlo mať vplyv na výsledok verejného obstarávania, RO je povinný postupovať podľa</w:t>
      </w:r>
      <w:r w:rsidRPr="00BB45A7">
        <w:t xml:space="preserve"> </w:t>
      </w:r>
      <w:r>
        <w:t>metodického pokynu</w:t>
      </w:r>
      <w:r>
        <w:rPr>
          <w:rStyle w:val="Odkaznapoznmkupodiarou"/>
        </w:rPr>
        <w:footnoteReference w:id="116"/>
      </w:r>
      <w:r>
        <w:t xml:space="preserve">, ktorý upravuje postup pri určení finančných opráv za </w:t>
      </w:r>
      <w:r w:rsidR="003E5E8A">
        <w:t xml:space="preserve">porušenie pravidiel a postupov </w:t>
      </w:r>
      <w:r>
        <w:t xml:space="preserve">VO. </w:t>
      </w:r>
      <w:r w:rsidRPr="00B05AB8">
        <w:t xml:space="preserve">Z tohto dôvodu je RO povinný definovať pravidlá vzťahujúce sa na obstarávanie zákaziek </w:t>
      </w:r>
      <w:r>
        <w:t xml:space="preserve">s nízkymi hodnotami </w:t>
      </w:r>
      <w:r w:rsidRPr="00B05AB8">
        <w:t xml:space="preserve">podľa § </w:t>
      </w:r>
      <w:r>
        <w:t xml:space="preserve">117 </w:t>
      </w:r>
      <w:r w:rsidRPr="00B05AB8">
        <w:t>ZVO</w:t>
      </w:r>
      <w:r>
        <w:t xml:space="preserve">, ktoré sú uvedené v kapitole </w:t>
      </w:r>
      <w:r w:rsidRPr="001B709E">
        <w:t>3.3.7.2.5</w:t>
      </w:r>
      <w:r w:rsidRPr="001B709E" w:rsidDel="00F06439">
        <w:t>.</w:t>
      </w:r>
      <w:r w:rsidRPr="00B05AB8">
        <w:t xml:space="preserve"> už </w:t>
      </w:r>
      <w:r w:rsidR="004108DB">
        <w:t xml:space="preserve">                          </w:t>
      </w:r>
      <w:r w:rsidRPr="00B05AB8">
        <w:t>v rámci jednotlivých výziev</w:t>
      </w:r>
      <w:r>
        <w:t>.</w:t>
      </w:r>
    </w:p>
    <w:p w14:paraId="761957D0" w14:textId="77777777" w:rsidR="00B650E5" w:rsidRDefault="00B650E5">
      <w:pPr>
        <w:numPr>
          <w:ilvl w:val="0"/>
          <w:numId w:val="245"/>
        </w:numPr>
        <w:spacing w:before="120" w:after="120"/>
        <w:ind w:left="426" w:hanging="426"/>
        <w:jc w:val="both"/>
      </w:pPr>
      <w:r>
        <w:t xml:space="preserve">Pri obstarávaní takýchto zákaziek je prijímateľ povinný vykonať prieskum trhu.  </w:t>
      </w:r>
    </w:p>
    <w:p w14:paraId="454AD05B" w14:textId="77777777" w:rsidR="00B650E5" w:rsidRDefault="00B650E5">
      <w:pPr>
        <w:numPr>
          <w:ilvl w:val="0"/>
          <w:numId w:val="245"/>
        </w:numPr>
        <w:spacing w:before="120" w:after="120"/>
        <w:ind w:left="426" w:hanging="426"/>
        <w:jc w:val="both"/>
      </w:pPr>
      <w:r>
        <w:t>Zákazky s nízkymi hodnotami podľa § 117  ZVO sa v zmysle tejto kapitoly delia na:</w:t>
      </w:r>
    </w:p>
    <w:p w14:paraId="62280E65" w14:textId="77777777" w:rsidR="00B650E5" w:rsidRDefault="00B650E5">
      <w:pPr>
        <w:numPr>
          <w:ilvl w:val="0"/>
          <w:numId w:val="45"/>
        </w:numPr>
        <w:spacing w:before="120" w:after="120"/>
        <w:ind w:left="851" w:hanging="425"/>
        <w:jc w:val="both"/>
      </w:pPr>
      <w:r>
        <w:t>zákazky, ktorých predpokladaná hodnota bez DPH sa rovná, alebo presahuje 15 000 EUR (ďalej len „zákazky nad 15 000 EUR“),</w:t>
      </w:r>
    </w:p>
    <w:p w14:paraId="35BD22A4" w14:textId="77777777" w:rsidR="00B650E5" w:rsidRDefault="00B650E5">
      <w:pPr>
        <w:numPr>
          <w:ilvl w:val="0"/>
          <w:numId w:val="45"/>
        </w:numPr>
        <w:spacing w:before="120" w:after="120"/>
        <w:ind w:left="851" w:hanging="425"/>
        <w:jc w:val="both"/>
      </w:pPr>
      <w:r>
        <w:t>zákazky, ktorých predpokladaná hodnota bez DPH nepresahuje 15 000 EUR (ďalej len „zákazky do 15 000 EUR“).</w:t>
      </w:r>
    </w:p>
    <w:p w14:paraId="33E6C146" w14:textId="77777777" w:rsidR="00B650E5" w:rsidRDefault="00B650E5">
      <w:pPr>
        <w:pStyle w:val="SRK5"/>
      </w:pPr>
      <w:bookmarkStart w:id="376" w:name="_Toc453234036"/>
      <w:bookmarkStart w:id="377" w:name="_Toc501630088"/>
      <w:bookmarkStart w:id="378" w:name="kapitola_337251"/>
      <w:r>
        <w:lastRenderedPageBreak/>
        <w:t>3.3.7.2.5.1 Zákazky nad 15 000 EUR</w:t>
      </w:r>
      <w:bookmarkEnd w:id="376"/>
      <w:bookmarkEnd w:id="377"/>
    </w:p>
    <w:bookmarkEnd w:id="378"/>
    <w:p w14:paraId="36917026" w14:textId="048F3623" w:rsidR="00B650E5" w:rsidRDefault="00B650E5" w:rsidP="001B709E">
      <w:pPr>
        <w:pStyle w:val="Odsekzoznamu"/>
        <w:numPr>
          <w:ilvl w:val="0"/>
          <w:numId w:val="246"/>
        </w:numPr>
        <w:spacing w:before="120" w:after="120"/>
        <w:jc w:val="both"/>
      </w:pPr>
      <w:r>
        <w:t xml:space="preserve">Zákazky nad 15 000 </w:t>
      </w:r>
      <w:r w:rsidR="00412FD4">
        <w:t xml:space="preserve">EUR </w:t>
      </w:r>
      <w:r w:rsidR="00AD73AC">
        <w:t>na</w:t>
      </w:r>
      <w:r>
        <w:t xml:space="preserve"> účely tejto kapitoly sú zákazky s nízkymi hodnotami podľa § 117 ZVO na tovary, stavebné práce alebo služby</w:t>
      </w:r>
      <w:r w:rsidRPr="0099707E">
        <w:t>.</w:t>
      </w:r>
      <w:r>
        <w:t xml:space="preserve"> V prípade zákaziek nad 15 000 EUR prijímateľ musí vykonať všetky ďalej uvedené úkony, ktoré majú zabezpečiť získanie čo najvyššieho počtu písomných ponúk na obstaranie tovarov, stavebných prác alebo služieb. Za písomnú ponuku sa pokladá aj ponuka podaná elektronicky. Súčasťou dokumentácie musia byť doklady potvrdzujúce kroky uchádzačov v súlade s časovým harmonogramom uvedeným vo výzve na súťaž.</w:t>
      </w:r>
    </w:p>
    <w:p w14:paraId="048833DB" w14:textId="77777777" w:rsidR="00B650E5" w:rsidRDefault="00B650E5" w:rsidP="00501848">
      <w:pPr>
        <w:numPr>
          <w:ilvl w:val="0"/>
          <w:numId w:val="246"/>
        </w:numPr>
        <w:spacing w:before="120" w:after="120"/>
        <w:jc w:val="both"/>
      </w:pPr>
      <w:r>
        <w:t xml:space="preserve">Prijímateľ zverejňuje na svojom webovom sídle zadávanie takejto zákazky minimálne                             5 pracovných dní pred dňom predkladania ponúk (do lehoty sa nezapočítava deň zverejnenia). Prijímateľ je povinný zdokumentovať toto zverejnenie hodnoverným spôsobom. Zadávanie tejto zákazky je realizované zverejnením výzvy na súťaž, v rámci ktorej prijímateľ uvedie najmä svoju identifikáciu, jednoznačne a úplne špecifikuje predmet zákazky, podmienky účasti (ak ich stanovuje), podmienky realizácie zmluvy, kritériá na vyhodnotenie ponúk, presnú lehotu a adresu na predkladanie ponúk. Prijímateľ je povinný v ten istý deň ako zverejnení výzvu na súťaž na svojom webovom sídle, zaslať informáciu o tomto zverejnení aj na osobitný mailový kontakt </w:t>
      </w:r>
      <w:hyperlink r:id="rId205" w:history="1">
        <w:r w:rsidRPr="008E1B96">
          <w:rPr>
            <w:rStyle w:val="Hypertextovprepojenie"/>
          </w:rPr>
          <w:t>zakazkycko@vlada.gov.sk</w:t>
        </w:r>
      </w:hyperlink>
      <w:r>
        <w:t xml:space="preserve">. Táto informácia bude následne zverejnená na webovom sídle </w:t>
      </w:r>
      <w:hyperlink r:id="rId206" w:history="1">
        <w:r w:rsidRPr="00005FB1">
          <w:rPr>
            <w:rStyle w:val="Hypertextovprepojenie"/>
          </w:rPr>
          <w:t>www.partnerskadohoda.gov.sk</w:t>
        </w:r>
      </w:hyperlink>
      <w:r>
        <w:t>. Pravidlá a podrobnosti týkajúcej sa tejto povinnosti sú predmetom metodického pokynu</w:t>
      </w:r>
      <w:r>
        <w:rPr>
          <w:rStyle w:val="Odkaznapoznmkupodiarou"/>
        </w:rPr>
        <w:footnoteReference w:id="117"/>
      </w:r>
      <w:r>
        <w:t xml:space="preserve"> vydaného CKO. Pokiaľ prijímateľ nesplní túto oznamovaciu povinnosť, RO bude uvedené posudzovať ako porušenie princípu transparentnosti a výdavky z predmetného VO nebudú zo strany RO pripustené do financovania. Prijímateľ je súčasne so zverejnením výzvy na súťaž a jej zaslaním na zverejnenie </w:t>
      </w:r>
      <w:r w:rsidRPr="00501848">
        <w:t xml:space="preserve">na osobitný mailový kontakt </w:t>
      </w:r>
      <w:hyperlink r:id="rId207" w:history="1">
        <w:r w:rsidRPr="00BA4471">
          <w:rPr>
            <w:rStyle w:val="Hypertextovprepojenie"/>
          </w:rPr>
          <w:t>zakazkycko@vlada.gov.sk</w:t>
        </w:r>
      </w:hyperlink>
      <w:r>
        <w:t xml:space="preserve">, zároveň povinný zaslať túto výzvu minimálne </w:t>
      </w:r>
      <w:r w:rsidRPr="00664D27">
        <w:t>trom</w:t>
      </w:r>
      <w:r>
        <w:t xml:space="preserve"> vybraným záujemcom. Oslovovaní záujemcovia musia byť subjekty, ktoré sú oprávnené dodávať službu, tovar alebo prácu v rozsahu predmetu zákazky (identifikácia prebieha najmä cez informácie verejne uvedené v obchodnom registri alebo živnostenskom registri). Výber úspešného uchádzača prebieha na základe vyhodnotenia informácií a dokumentácie predloženej záujemcami, pričom prijímateľ je povinný vyhodnotiť ponuky v súlade s podmienkami a kritériami, ktoré si pre tento účel určil. Vo výnimočných prípadoch, kedy môže ísť o jedinečný predmet zákazky, môže prijímateľ osloviť aj menej ako troch záujemcov, pričom táto výnimka musí byť zo strany prijímateľa riadne zdôvodnená a podložená.</w:t>
      </w:r>
    </w:p>
    <w:p w14:paraId="783A080F" w14:textId="77777777" w:rsidR="00B650E5" w:rsidRDefault="00B650E5">
      <w:pPr>
        <w:numPr>
          <w:ilvl w:val="0"/>
          <w:numId w:val="246"/>
        </w:numPr>
        <w:spacing w:before="120" w:after="120"/>
        <w:ind w:left="426" w:hanging="426"/>
        <w:jc w:val="both"/>
      </w:pPr>
      <w:r>
        <w:t>Ak prijímateľovi nebude predložená žiadna ponuka a splnil všetky postupy uvedené v predchádzajúcich odsekoch, je oprávnený vyzvať na rokovanie jedného alebo viacerých záujemcov, s ktorými rokuje o zadaní zákazky.  Predmetom týchto rokovaní nemôže byť zúženie predmetu zákazky, úprava podmienok účasti, podmienok realizácie zmluvy ani kritérií na vyhodnotenie ponúk uvedených vo výzve na súťaž. Z rokovania je prijímateľ povinný vyhotoviť zápis</w:t>
      </w:r>
      <w:r w:rsidR="006F3B93">
        <w:t xml:space="preserve">, </w:t>
      </w:r>
      <w:r>
        <w:t xml:space="preserve"> ako aj zdôvodniť výber záujemcu alebo záujemcov, ktorí boli vyzvaní na rokovanie. </w:t>
      </w:r>
    </w:p>
    <w:p w14:paraId="65542DCB" w14:textId="77777777" w:rsidR="00B650E5" w:rsidRDefault="00B650E5">
      <w:pPr>
        <w:numPr>
          <w:ilvl w:val="0"/>
          <w:numId w:val="246"/>
        </w:numPr>
        <w:spacing w:before="120" w:after="120"/>
        <w:ind w:left="426" w:hanging="426"/>
        <w:jc w:val="both"/>
      </w:pPr>
      <w:r>
        <w:t xml:space="preserve">Celý postup prijímateľa pri zadávaní zákazky bude zhrnutý v zázname z prieskumu trhu, ktorého minimálne náležitosti sú nasledovné: identifikácia prijímateľa, názov zákazky, kód CPV, predmet zákazky, určenie kritéria na vyhodnocovanie ponúk, spôsob vykonania prieskumu a identifikovanie podkladov, na základe ktorých boli ponuky vyhodnocované, zoznam oslovených záujemcov, informácia o skutočnosti, či sú oslovení záujemcovia oprávnení dodávať službu, tovar alebo prácu v rozsahu predmetu zákazky, dátum oslovenia, dátum vyhodnocovania ponúk, zoznam uchádzačov, ktorí predložili ponuku, identifikácia a vyhodnotenie splnenia jednotlivých podmienok účasti a návrhov na plnenie kritérií, identifikácia úspešného dodávateľa/poskytovateľa/zhotoviteľa, konečná zmluvná cena ponuky úspešného uchádzača </w:t>
      </w:r>
      <w:r>
        <w:lastRenderedPageBreak/>
        <w:t xml:space="preserve">(uviesť s DPH aj bez DPH), spôsob vzniku záväzku (zmluva, objednávka...), meno, funkcia, dátum a podpis zodpovednej osoby, ktorá vykonala prieskum.  </w:t>
      </w:r>
    </w:p>
    <w:p w14:paraId="696DB8CF" w14:textId="77777777" w:rsidR="00B650E5" w:rsidRDefault="00B650E5">
      <w:pPr>
        <w:numPr>
          <w:ilvl w:val="0"/>
          <w:numId w:val="246"/>
        </w:numPr>
        <w:spacing w:before="120" w:after="120"/>
        <w:ind w:left="426" w:hanging="426"/>
        <w:jc w:val="both"/>
      </w:pPr>
      <w:r>
        <w:t>Pri komunikácii s prijímateľom, určovaní a dodržiavaní lehôt, spolupráci s inými subjektmi a riešení finančných opráv postupuje RO v rámci tejto kontroly v zmysle postupov uvedených v </w:t>
      </w:r>
      <w:r w:rsidRPr="000E286B">
        <w:t xml:space="preserve">kapitole </w:t>
      </w:r>
      <w:hyperlink w:anchor="kapitola_33725" w:history="1">
        <w:r w:rsidRPr="00764D0E">
          <w:rPr>
            <w:rStyle w:val="Hypertextovprepojenie"/>
          </w:rPr>
          <w:t>3.3.7.2.</w:t>
        </w:r>
        <w:r w:rsidRPr="00510CDA">
          <w:rPr>
            <w:rStyle w:val="Hypertextovprepojenie"/>
          </w:rPr>
          <w:t>5</w:t>
        </w:r>
      </w:hyperlink>
      <w:r>
        <w:t>.</w:t>
      </w:r>
    </w:p>
    <w:p w14:paraId="3157C4E7" w14:textId="77777777" w:rsidR="00B650E5" w:rsidRDefault="00B650E5">
      <w:pPr>
        <w:pStyle w:val="SRK5"/>
      </w:pPr>
      <w:bookmarkStart w:id="379" w:name="_Toc453234037"/>
      <w:bookmarkStart w:id="380" w:name="_Toc501630089"/>
      <w:r>
        <w:t>3.3.7.2.5.2 Zákazky do 15 000 EUR</w:t>
      </w:r>
      <w:bookmarkEnd w:id="379"/>
      <w:bookmarkEnd w:id="380"/>
    </w:p>
    <w:p w14:paraId="0F299462" w14:textId="77777777" w:rsidR="00B650E5" w:rsidRDefault="00B650E5">
      <w:pPr>
        <w:numPr>
          <w:ilvl w:val="0"/>
          <w:numId w:val="345"/>
        </w:numPr>
        <w:spacing w:before="120" w:after="120"/>
        <w:ind w:left="426" w:hanging="426"/>
        <w:jc w:val="both"/>
      </w:pPr>
      <w:r>
        <w:t>V prípade zákaziek do 15 000 EUR nie je potrebné predloženie písomných ponúk, avšak prijímateľ musí zdôvodniť výber úspešného uchádzača na základe prieskumu trhu  (napr. formou faxu, web stránky, katalógov, cenových ponúk, atď. okrem telefonického prieskumu). Tento prieskum musí byť riadne zdokumentovaný a musí byť z neho hodnoverne zrejmý výsledok výberu úspešného uchádzača. Pri tomto type zákaziek je prijímateľ povinný  osloviť minimálne troch potenciálnych záujemcov alebo identifikovať minimálne troch potenciálnych dodávateľov (napr. cez webové rozhranie). Oslovovaní alebo identifikovaní dodávatelia musia byť subjekty, ktoré sú 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alebo informácií zistenými inými spôsobmi ako je predloženie ponuky (napr. údajmi na webových sídlach záujemcov, informáciami identifikovanými v katalógoch a pod.), pričom prijímateľ je povinný vyhodnotiť ponuky v súlade s podmienkami a kritériami, ktoré si pre tento účel určil. Vo výnimočných prípadoch, kedy môže ísť o jedinečný predmet zákazky môže prijímateľ osloviť/identifikovať aj menej ako troch záujemcov, pričom táto výnimka musí byť zo strany prijímateľa riadne zdôvodnená a podložená.</w:t>
      </w:r>
    </w:p>
    <w:p w14:paraId="492E2B7F" w14:textId="77777777" w:rsidR="00B650E5" w:rsidRDefault="00B650E5" w:rsidP="00EB05F0">
      <w:pPr>
        <w:numPr>
          <w:ilvl w:val="0"/>
          <w:numId w:val="345"/>
        </w:numPr>
        <w:spacing w:before="120" w:after="120"/>
        <w:ind w:left="426" w:hanging="426"/>
        <w:jc w:val="both"/>
      </w:pPr>
      <w:r w:rsidRPr="00EB05F0">
        <w:t>Ak prijímateľ</w:t>
      </w:r>
      <w:r w:rsidR="0048712C">
        <w:t xml:space="preserve"> oslovil na základe výzvy na predkladanie ponúk minimálne troch potenciálnych dodávateľov a v stanovenej lehote na predkladanie ponúk</w:t>
      </w:r>
      <w:r w:rsidRPr="00EB05F0">
        <w:t xml:space="preserve"> neb</w:t>
      </w:r>
      <w:r w:rsidR="0048712C">
        <w:t>ola</w:t>
      </w:r>
      <w:r w:rsidRPr="00EB05F0">
        <w:t xml:space="preserve"> predložená žiadna ponuka, je oprávnený vyzvať na rokovanie jedného alebo viacerých záujemcov, s kt</w:t>
      </w:r>
      <w:r>
        <w:t xml:space="preserve">orými rokuje o zadaní zákazky. </w:t>
      </w:r>
      <w:r w:rsidRPr="00EB05F0">
        <w:t>Predmetom týchto rokovaní nemô</w:t>
      </w:r>
      <w:r>
        <w:t>že byť zúženie predmetu zákazky alebo iná</w:t>
      </w:r>
      <w:r w:rsidRPr="00EB05F0">
        <w:t xml:space="preserve"> úprava podmienok realizácie zmluvy ani </w:t>
      </w:r>
      <w:r>
        <w:t xml:space="preserve">úprava </w:t>
      </w:r>
      <w:r w:rsidRPr="00EB05F0">
        <w:t>kritérií na vyhodnotenie ponúk. Z rokovania je prijímateľ povinný vyhotoviť zápis</w:t>
      </w:r>
      <w:r w:rsidR="006F3B93">
        <w:t>,</w:t>
      </w:r>
      <w:r w:rsidRPr="00EB05F0">
        <w:t xml:space="preserve"> ako aj zdôvodniť výber záujemcu alebo záujemcov, ktorí boli vyzvaní na rokovanie. </w:t>
      </w:r>
    </w:p>
    <w:p w14:paraId="0B479450" w14:textId="77777777" w:rsidR="00B650E5" w:rsidRDefault="00B650E5">
      <w:pPr>
        <w:numPr>
          <w:ilvl w:val="0"/>
          <w:numId w:val="345"/>
        </w:numPr>
        <w:spacing w:before="120" w:after="120"/>
        <w:ind w:left="426" w:hanging="426"/>
        <w:jc w:val="both"/>
      </w:pPr>
      <w:r>
        <w:t xml:space="preserve">Pri zákazkách do 15 000 EUR nie je prijímateľ povinný zverejňovať zadávanie takejto zákazky na svojej stránke, ani zasielať informáciu o zadávaní takýchto zákaziek na mailový kontakt CKO a ani zverejňovať, resp. zasielať výzvu na súťaž vybraným záujemcom. Týmto nie je dotknutá povinnosť prijímateľa dodržať pri obstarávaní takejto zákazky základné princípy VO. </w:t>
      </w:r>
    </w:p>
    <w:p w14:paraId="54116720" w14:textId="77777777" w:rsidR="00B650E5" w:rsidRDefault="00B650E5">
      <w:pPr>
        <w:numPr>
          <w:ilvl w:val="0"/>
          <w:numId w:val="345"/>
        </w:numPr>
        <w:spacing w:before="120" w:after="120"/>
        <w:ind w:left="426" w:hanging="426"/>
        <w:jc w:val="both"/>
      </w:pPr>
      <w:r>
        <w:t xml:space="preserve">Náležitosti záznamu z prieskumu trhu sú najmä: identifikácia prijímateľa, názov zákazky, kód CPV, predmet zákazky, určenie kritéria na vyhodnocovanie ponúk (napr. najnižšia cena), spôsob vykonania prieskumu a identifikovanie podkladov, na základe ktorých boli ponuky vyhodnocované, zoznam oslovených záujemcov alebo zoznam vyhodnocovaných záujemcov, informácia o skutočnosti, či sú oslovení alebo identifikovaní záujemcovia oprávnení dodávať službu, tovar alebo prácu v rozsahu predmetu zákazky, dátum oslovenia alebo vyhodnocovania, v prípade, že boli záujemcovia oslovovaní, tak zoznam uchádzačov, ktorí predložili ponuku, identifikácia a vyhodnotenie splnenia jednotlivých návrhov na plnenie podmienok účasti a plnenie kritérií, identifikácia úspešného dodávateľa/poskytovateľa/zhotoviteľa, konečná zmluvná cena ponuky úspešného uchádzača (uviesť s DPH aj bez DPH), spôsob vzniku záväzku (zmluva, objednávka...), meno, funkcia, dátum a podpis zodpovednej osoby, ktorá vykonala prieskum. </w:t>
      </w:r>
    </w:p>
    <w:p w14:paraId="3AAE1AF4" w14:textId="77777777" w:rsidR="00B650E5" w:rsidRDefault="00B650E5" w:rsidP="000E286B">
      <w:pPr>
        <w:numPr>
          <w:ilvl w:val="0"/>
          <w:numId w:val="345"/>
        </w:numPr>
        <w:spacing w:before="120" w:after="120"/>
        <w:ind w:left="426" w:hanging="426"/>
        <w:jc w:val="both"/>
      </w:pPr>
      <w:r>
        <w:t xml:space="preserve">V rámci kontroly zákaziek do 15 000 EUR môže RO vykonať kontrolu VO ako súčasť kontroly predmetného výdavku v rámci ŽoP, kde RO overí dodržanie pravidiel na zadávanie tohto typu </w:t>
      </w:r>
      <w:r>
        <w:lastRenderedPageBreak/>
        <w:t>zákazky v zmysle kapitoly 3.3.7.2.5.2 Uvedeným nie je dotknutá povinnosť kontroly oprávnenosti výdavku v rámci kontroly deklarovaných výdavkov prijímateľa vo fáze ŽoP.</w:t>
      </w:r>
    </w:p>
    <w:p w14:paraId="444CE4CC" w14:textId="051C9BCF" w:rsidR="004108DB" w:rsidRDefault="004108DB" w:rsidP="000F104E">
      <w:pPr>
        <w:numPr>
          <w:ilvl w:val="0"/>
          <w:numId w:val="345"/>
        </w:numPr>
        <w:spacing w:before="120" w:after="120"/>
        <w:ind w:left="426" w:hanging="426"/>
        <w:jc w:val="both"/>
      </w:pPr>
      <w:r>
        <w:t xml:space="preserve">V prípade zákaziek s nízkou hodnotou, ktorých predpokladaná hodnota je do 5 000 </w:t>
      </w:r>
      <w:r w:rsidR="00412FD4">
        <w:t xml:space="preserve">EUR </w:t>
      </w:r>
      <w:r>
        <w:t>bez DPH, je možné určiť úspešného uchádzača na základe určenia predpokladanej hodnoty zákazky. Predpokladaná hodnota zákazky musí byť určená</w:t>
      </w:r>
      <w:r w:rsidR="000F104E">
        <w:t xml:space="preserve"> oslovením minimálne troch potenciálnych záujemcov alebo ich identifikovaním napr. cez webové rozhranie, pričom oslovovaní alebo identifikovaní dodávatelia musia byť subjekty, ktoré sú oprávnené dodávať službu, tovar alebo prácu v rozsahu predmetu zákazky.</w:t>
      </w:r>
      <w:r>
        <w:t xml:space="preserve"> </w:t>
      </w:r>
    </w:p>
    <w:p w14:paraId="54F23E00" w14:textId="3DE70D66" w:rsidR="00037F9F" w:rsidRDefault="00037F9F" w:rsidP="00420D7A">
      <w:pPr>
        <w:numPr>
          <w:ilvl w:val="0"/>
          <w:numId w:val="345"/>
        </w:numPr>
        <w:spacing w:before="120" w:after="120"/>
        <w:ind w:left="426" w:hanging="426"/>
        <w:jc w:val="both"/>
      </w:pPr>
      <w:r>
        <w:t xml:space="preserve">V prípade zákaziek s nízkou hodnotou, ktorých hodnota je do 1 000 </w:t>
      </w:r>
      <w:r w:rsidR="00412FD4">
        <w:t>EUR</w:t>
      </w:r>
      <w:r>
        <w:t xml:space="preserve"> bez DPH, je možné určiť úspešného uchádzača priamym zadaním, ak </w:t>
      </w:r>
      <w:r w:rsidR="00254816">
        <w:t xml:space="preserve">RO </w:t>
      </w:r>
      <w:r>
        <w:t xml:space="preserve">vo vzťahu k predmetu zákazky určil </w:t>
      </w:r>
      <w:r w:rsidR="00254816">
        <w:t xml:space="preserve">na dané výdavky </w:t>
      </w:r>
      <w:r>
        <w:t>finančné limity</w:t>
      </w:r>
      <w:r w:rsidR="00254816">
        <w:t>, ktoré zohľadňujú dodržanie pravidiel hospodárnosti</w:t>
      </w:r>
      <w:r w:rsidR="00C747A4">
        <w:t xml:space="preserve"> v súlade </w:t>
      </w:r>
      <w:r w:rsidR="00420D7A">
        <w:t xml:space="preserve">                   </w:t>
      </w:r>
      <w:r w:rsidR="00C747A4">
        <w:t xml:space="preserve">s </w:t>
      </w:r>
      <w:r w:rsidR="00420D7A">
        <w:t xml:space="preserve">metodickým pokynom </w:t>
      </w:r>
      <w:hyperlink r:id="rId208" w:history="1">
        <w:r w:rsidR="00420D7A" w:rsidRPr="00556762">
          <w:t>k overovaniu hospodárnosti výdavkov</w:t>
        </w:r>
      </w:hyperlink>
      <w:r w:rsidR="00420D7A">
        <w:rPr>
          <w:rStyle w:val="Odkaznapoznmkupodiarou"/>
        </w:rPr>
        <w:footnoteReference w:id="118"/>
      </w:r>
      <w:r w:rsidR="00420D7A">
        <w:t>.</w:t>
      </w:r>
    </w:p>
    <w:p w14:paraId="6C41624F" w14:textId="77777777" w:rsidR="00B650E5" w:rsidRDefault="00B650E5">
      <w:pPr>
        <w:pStyle w:val="SRK5"/>
        <w:jc w:val="both"/>
      </w:pPr>
      <w:bookmarkStart w:id="381" w:name="_Toc453234039"/>
      <w:bookmarkStart w:id="382" w:name="_Toc386529569"/>
      <w:bookmarkStart w:id="383" w:name="_Toc390248461"/>
      <w:bookmarkStart w:id="384" w:name="_Toc501630090"/>
      <w:r>
        <w:t>3.3.7.2.6. Kontrola verejného obstarávania, v rámci ktorého viacerí prijímatelia nadobúdajú tovary, práce alebo služby prostredníctvom centrálnej obstarávacej organizácie podľa § 15 ods. 2 a ods. 4 ZVO</w:t>
      </w:r>
      <w:bookmarkEnd w:id="381"/>
      <w:r>
        <w:t>.</w:t>
      </w:r>
      <w:bookmarkEnd w:id="382"/>
      <w:bookmarkEnd w:id="383"/>
      <w:bookmarkEnd w:id="384"/>
    </w:p>
    <w:p w14:paraId="23656883" w14:textId="77777777" w:rsidR="00B650E5" w:rsidRDefault="00B650E5" w:rsidP="00437BEE">
      <w:pPr>
        <w:numPr>
          <w:ilvl w:val="0"/>
          <w:numId w:val="248"/>
        </w:numPr>
        <w:spacing w:before="120" w:after="120"/>
        <w:ind w:left="426" w:hanging="426"/>
        <w:jc w:val="both"/>
      </w:pPr>
      <w:bookmarkStart w:id="385" w:name="kapitola_33727_ods_1"/>
      <w:r>
        <w:t>Postupy uvedené v tejto kapitole sa vzťahujú na situáciu, keď viacero prijímateľov (</w:t>
      </w:r>
      <w:r w:rsidR="00C93F30">
        <w:t xml:space="preserve">t. j. </w:t>
      </w:r>
      <w:r>
        <w:t xml:space="preserve"> viac ako jeden) nadobúda, resp. obstaráva tovary, stavebné práce alebo služby prostredníctvom COO, pričom toto nadobúdanie, resp. obstarávanie sa týka toho istého VO a zároveň centrálne VO sa týka viacerých operačných programov a jednotlivé RO/SO, ktoré sú zároveň COO nie sú tou istou právnickou osobou. </w:t>
      </w:r>
    </w:p>
    <w:p w14:paraId="04672E27" w14:textId="77777777" w:rsidR="00B650E5" w:rsidRPr="00437BEE" w:rsidRDefault="00B650E5" w:rsidP="00437BEE">
      <w:pPr>
        <w:numPr>
          <w:ilvl w:val="0"/>
          <w:numId w:val="248"/>
        </w:numPr>
        <w:spacing w:before="120" w:after="120"/>
        <w:ind w:left="426" w:hanging="426"/>
        <w:jc w:val="both"/>
      </w:pPr>
      <w:r>
        <w:t xml:space="preserve">RO, ktorý je rovnakou právnickou osobou ako COO, </w:t>
      </w:r>
      <w:r w:rsidRPr="00437BEE">
        <w:t>je povinn</w:t>
      </w:r>
      <w:r>
        <w:t>ý</w:t>
      </w:r>
      <w:r w:rsidRPr="00437BEE">
        <w:t xml:space="preserve"> informovať príslušné RO o plánovanom vyhlásení takéhoto </w:t>
      </w:r>
      <w:r>
        <w:t xml:space="preserve">centrálneho </w:t>
      </w:r>
      <w:r w:rsidRPr="00437BEE">
        <w:t>VO</w:t>
      </w:r>
      <w:r>
        <w:t>,</w:t>
      </w:r>
      <w:r w:rsidRPr="00437BEE">
        <w:t xml:space="preserve"> a to písomným oznámením adresovaným zástupcom jednotlivých RO</w:t>
      </w:r>
      <w:r>
        <w:t xml:space="preserve"> a tiež prostredníctvom Koordinačného výboru pre spoluprácu pri kontrole VO</w:t>
      </w:r>
      <w:r w:rsidRPr="00437BEE">
        <w:t xml:space="preserve">. V prípade, že centrálne VO je z pohľadu finančného limitu nadlimitnou zákazkou, COO alebo RO, ktorý je rovnakou právnickou osobou ako COO predloží pripravované centrálne VO na ÚVO za účelom výkonu ex ante posúdenia podľa § 168 ZVO. </w:t>
      </w:r>
    </w:p>
    <w:p w14:paraId="0562495D" w14:textId="77777777" w:rsidR="00B650E5" w:rsidRPr="00437BEE" w:rsidRDefault="00B650E5" w:rsidP="00CB3C92">
      <w:pPr>
        <w:numPr>
          <w:ilvl w:val="0"/>
          <w:numId w:val="248"/>
        </w:numPr>
        <w:spacing w:before="120" w:after="120"/>
        <w:ind w:left="426" w:hanging="426"/>
        <w:jc w:val="both"/>
      </w:pPr>
      <w:r>
        <w:t xml:space="preserve">RO, ktorý je rovnakou právnickou osobou ako COO, vykoná druhú </w:t>
      </w:r>
      <w:r w:rsidR="00FB1D18">
        <w:t>ex ante</w:t>
      </w:r>
      <w:r>
        <w:t xml:space="preserve"> kontrolu centrálneho VO, ak sa jedná o nadlimitnú zákazku, pričom postupuje primerane podľa pravidiel uvedených v kapitole 3.3.7.2.2. </w:t>
      </w:r>
      <w:r w:rsidRPr="00CB3C92">
        <w:t xml:space="preserve">Podkladom pre ukončenie druhej </w:t>
      </w:r>
      <w:r w:rsidR="00FB1D18">
        <w:t>ex ante</w:t>
      </w:r>
      <w:r w:rsidRPr="00CB3C92">
        <w:t xml:space="preserve"> kontroly </w:t>
      </w:r>
      <w:r>
        <w:t xml:space="preserve">je </w:t>
      </w:r>
      <w:r w:rsidRPr="00CB3C92">
        <w:t>aj kontrola, ktorú vykonáva ÚVO v prípade nadlimitných zákaziek, čo aj z časti financovaných z prostriedkov Európskej únie, vo fáze pred uzavretím zmluvy, koncesnej zmluvy alebo rámcovej dohody, pred ukončením súťaže návrhov, pred zadaním zákazky na základe rámcovej dohody alebo pred ukončením postupu inovatívneho partnerstva na základe podnetu prijímateľa podľa</w:t>
      </w:r>
      <w:r>
        <w:t xml:space="preserve"> </w:t>
      </w:r>
      <w:r w:rsidRPr="00CB3C92">
        <w:t xml:space="preserve">§ 169 ods. 2 ZVO. </w:t>
      </w:r>
      <w:r>
        <w:t>Jednotlivé RO môžu vo fáze pred podpisom zmluvy vykonať finančnú kontrolu iba                       vo väzbe na čiastkovú zmluvu, uzavretú na základe rámcovej dohody z pohľadu dodržania podmienok na uzavretie čiastkovej zmluvy a dodržania pravidiel hospodárnosti, pokiaľ je zmluvnou stranou čiastkovej zmluvy ich prijímateľ.</w:t>
      </w:r>
    </w:p>
    <w:p w14:paraId="26A53B4B" w14:textId="77777777" w:rsidR="00B650E5" w:rsidRPr="00437BEE" w:rsidRDefault="00B650E5" w:rsidP="001B709E">
      <w:pPr>
        <w:numPr>
          <w:ilvl w:val="0"/>
          <w:numId w:val="248"/>
        </w:numPr>
        <w:spacing w:before="120" w:after="120"/>
        <w:ind w:left="426" w:hanging="426"/>
        <w:jc w:val="both"/>
      </w:pPr>
      <w:r>
        <w:t>Š</w:t>
      </w:r>
      <w:r w:rsidRPr="00437BEE">
        <w:t xml:space="preserve">tandardnú </w:t>
      </w:r>
      <w:r w:rsidR="00FB1D18">
        <w:t>ex post</w:t>
      </w:r>
      <w:r w:rsidRPr="00437BEE">
        <w:t xml:space="preserve"> kontrolu vykonávajú všetky RO, ktorých prijímatelia sú účastníkmi rámcovej dohody, pričom postupu</w:t>
      </w:r>
      <w:r>
        <w:t>jú</w:t>
      </w:r>
      <w:r w:rsidRPr="00437BEE">
        <w:t xml:space="preserve"> podľa kapitoly </w:t>
      </w:r>
      <w:hyperlink w:anchor="kapitola_33723" w:history="1">
        <w:r w:rsidRPr="00510CDA">
          <w:rPr>
            <w:rStyle w:val="Hypertextovprepojenie"/>
          </w:rPr>
          <w:t>3.3.7.2.3.</w:t>
        </w:r>
      </w:hyperlink>
      <w:r w:rsidRPr="00437BEE">
        <w:t xml:space="preserve"> </w:t>
      </w:r>
      <w:r>
        <w:t xml:space="preserve">RO, ktorý je rovnakou právnickou osobou ako COO a vykonal druhú </w:t>
      </w:r>
      <w:r w:rsidR="00FB1D18">
        <w:t>ex ante</w:t>
      </w:r>
      <w:r>
        <w:t xml:space="preserve"> kontrolu, vykonáva následnú </w:t>
      </w:r>
      <w:r w:rsidR="00FB1D18">
        <w:t>ex post</w:t>
      </w:r>
      <w:r>
        <w:t xml:space="preserve"> kontrolu. </w:t>
      </w:r>
      <w:r w:rsidRPr="00437BEE">
        <w:t>RO, ktorý ako prvý ukončí štandar</w:t>
      </w:r>
      <w:r>
        <w:t xml:space="preserve">dnú </w:t>
      </w:r>
      <w:r w:rsidR="00FB1D18">
        <w:t>ex post</w:t>
      </w:r>
      <w:r w:rsidRPr="00437BEE">
        <w:t xml:space="preserve"> kontrolu centrálneho VO realizovaného COO, informuje ostatné RO o tejto skutočnosti</w:t>
      </w:r>
      <w:r>
        <w:t>,</w:t>
      </w:r>
      <w:r w:rsidRPr="00437BEE">
        <w:t xml:space="preserve"> a to rovnakým spôsobom ako je upravený v </w:t>
      </w:r>
      <w:hyperlink w:anchor="kapitola_33727_ods_2" w:tooltip="ods. 2" w:history="1">
        <w:r w:rsidRPr="00437BEE">
          <w:rPr>
            <w:color w:val="0000FF"/>
            <w:u w:val="single"/>
          </w:rPr>
          <w:t>ods. 2</w:t>
        </w:r>
      </w:hyperlink>
      <w:r w:rsidRPr="00437BEE">
        <w:t xml:space="preserve">. </w:t>
      </w:r>
      <w:r>
        <w:t xml:space="preserve">V prípade, že RO, </w:t>
      </w:r>
      <w:r w:rsidRPr="00437BEE">
        <w:t>ktorých prijímatelia sú účastníkmi rámcovej dohody</w:t>
      </w:r>
      <w:r>
        <w:t xml:space="preserve">, identifikujú nedostatky s vplyvom alebo možným vplyvom na výsledok VO, </w:t>
      </w:r>
      <w:r w:rsidRPr="00437BEE">
        <w:t xml:space="preserve">uskutoční </w:t>
      </w:r>
      <w:r>
        <w:t xml:space="preserve">sa </w:t>
      </w:r>
      <w:r w:rsidRPr="00437BEE">
        <w:t xml:space="preserve">stretnutie </w:t>
      </w:r>
      <w:r>
        <w:t xml:space="preserve">týchto </w:t>
      </w:r>
      <w:r w:rsidRPr="00437BEE">
        <w:t xml:space="preserve">RO, pričom pre tieto účely je </w:t>
      </w:r>
      <w:r w:rsidRPr="00437BEE">
        <w:lastRenderedPageBreak/>
        <w:t xml:space="preserve">možné využiť </w:t>
      </w:r>
      <w:r>
        <w:t xml:space="preserve">aj </w:t>
      </w:r>
      <w:r w:rsidRPr="00437BEE">
        <w:t>zasadnutie  Koordinačného výboru pre spoluprácu pri kontrole VO. Výsledkom stretnu</w:t>
      </w:r>
      <w:r>
        <w:t>tia RO, resp.</w:t>
      </w:r>
      <w:r w:rsidRPr="00437BEE">
        <w:t xml:space="preserve"> zasadnutia Koordinačného výboru pre spoluprácu pri kontrole VO </w:t>
      </w:r>
      <w:r>
        <w:t xml:space="preserve">bude vzájomná dohoda </w:t>
      </w:r>
      <w:r w:rsidRPr="002D6CBC">
        <w:t xml:space="preserve">o ďalšom postupe, ktorá bude predstavovať podklad pre záver </w:t>
      </w:r>
      <w:r w:rsidRPr="00437BEE">
        <w:t xml:space="preserve">o pripustení financovania verejného obstarávania v plnom rozsahu, o pripustení do financovania s finančnou opravou alebo nepripustení </w:t>
      </w:r>
      <w:r>
        <w:t>do financovania v plnom rozsahu.</w:t>
      </w:r>
      <w:r w:rsidRPr="00437BEE">
        <w:t xml:space="preserve"> </w:t>
      </w:r>
      <w:r>
        <w:t xml:space="preserve">Uvedeným nie je dotknutá </w:t>
      </w:r>
      <w:r w:rsidRPr="00367AAF">
        <w:t>zodpovedn</w:t>
      </w:r>
      <w:r>
        <w:t xml:space="preserve">osť RO za výkon tejto kontroly </w:t>
      </w:r>
      <w:r w:rsidRPr="00367AAF">
        <w:t xml:space="preserve">v zmysle  článku 125 ods. 4 všeobecného nariadenia. </w:t>
      </w:r>
    </w:p>
    <w:p w14:paraId="2BE0832A" w14:textId="77777777" w:rsidR="00B650E5" w:rsidRDefault="00B650E5">
      <w:pPr>
        <w:pStyle w:val="SRK5"/>
        <w:jc w:val="both"/>
      </w:pPr>
      <w:bookmarkStart w:id="386" w:name="_Toc386529571"/>
      <w:bookmarkStart w:id="387" w:name="_Toc390248462"/>
      <w:bookmarkStart w:id="388" w:name="_Toc453234040"/>
      <w:bookmarkStart w:id="389" w:name="_Toc501630091"/>
      <w:bookmarkStart w:id="390" w:name="kapitola_33728"/>
      <w:bookmarkEnd w:id="385"/>
      <w:r>
        <w:t>3.3.7.2.7. Kontrola verejného obstarávania v rámci schvaľovacieho procesu ŽoNFP alebo hodnotenia národného projektu</w:t>
      </w:r>
      <w:bookmarkEnd w:id="386"/>
      <w:bookmarkEnd w:id="387"/>
      <w:bookmarkEnd w:id="388"/>
      <w:bookmarkEnd w:id="389"/>
    </w:p>
    <w:bookmarkEnd w:id="390"/>
    <w:p w14:paraId="5F14B0B5" w14:textId="5BCA44F8" w:rsidR="00B650E5" w:rsidRDefault="00B650E5">
      <w:pPr>
        <w:numPr>
          <w:ilvl w:val="0"/>
          <w:numId w:val="249"/>
        </w:numPr>
        <w:spacing w:before="120" w:after="120"/>
        <w:ind w:left="426" w:hanging="426"/>
        <w:jc w:val="both"/>
      </w:pPr>
      <w:r>
        <w:t xml:space="preserve">RO </w:t>
      </w:r>
      <w:r w:rsidR="00D5024A">
        <w:t xml:space="preserve">môže </w:t>
      </w:r>
      <w:r>
        <w:t>vykonáva</w:t>
      </w:r>
      <w:r w:rsidR="00D5024A">
        <w:t>ť</w:t>
      </w:r>
      <w:r>
        <w:t xml:space="preserve"> kontrolu VO podľa § 7 zákona o finančnej kontrole v rámci schvaľovacieho procesu ŽoNFP alebo hodnotenia národného projektu (ďalej len „projekt“) v prípade, ak RO uvedie v rámci výzvy alebo záväzných podmienok ako podmienku poskytnutia príspevku</w:t>
      </w:r>
      <w:r w:rsidR="001E3421" w:rsidRPr="003F05D5">
        <w:t>, aby žiadateľ mal v</w:t>
      </w:r>
      <w:r w:rsidR="001E3421">
        <w:t xml:space="preserve"> čase predloženia ŽoNFP ukončené</w:t>
      </w:r>
      <w:r w:rsidR="001E3421" w:rsidRPr="003F05D5">
        <w:t xml:space="preserve"> </w:t>
      </w:r>
      <w:r w:rsidR="00642317">
        <w:t xml:space="preserve">VO </w:t>
      </w:r>
      <w:r w:rsidR="001E3421" w:rsidRPr="003F05D5">
        <w:t xml:space="preserve">(vo fáze po podpise zmluvy s úspešným uchádzačom), alebo aby žiadateľ mal v čase predloženia ŽoNFP </w:t>
      </w:r>
      <w:r w:rsidR="00642317">
        <w:t xml:space="preserve">VO </w:t>
      </w:r>
      <w:r w:rsidR="001E3421" w:rsidRPr="003F05D5">
        <w:t xml:space="preserve">vo fáze pred podpisom zmluvy s úspešným uchádzačom (po vyhodnotení ponúk a po ukončení </w:t>
      </w:r>
      <w:r w:rsidR="001E3421">
        <w:t>všetkých revíznych postupov)</w:t>
      </w:r>
      <w:r w:rsidR="001E3421" w:rsidRPr="003F05D5">
        <w:t>. V tomto prípade je súčasťou výzvy aj informácia, že v schvaľovacom procese ŽoN</w:t>
      </w:r>
      <w:r w:rsidR="001E3421">
        <w:t>FP bude vykonaná aj kontrola VO</w:t>
      </w:r>
      <w:r w:rsidR="001E3421" w:rsidRPr="003F05D5">
        <w:t>.</w:t>
      </w:r>
      <w:r w:rsidR="00904B67">
        <w:t xml:space="preserve"> </w:t>
      </w:r>
      <w:r w:rsidR="00904B67" w:rsidRPr="00904B67">
        <w:t xml:space="preserve">Pre tento typ kontroly sa primerane použijú ustanovenia kapitoly 3.3.7.2.2. </w:t>
      </w:r>
      <w:r w:rsidR="007F7EA6">
        <w:t xml:space="preserve">o druhej ex ante kontrole </w:t>
      </w:r>
      <w:r w:rsidR="00904B67" w:rsidRPr="00904B67">
        <w:t>a kapitoly 3.3.7.2.3</w:t>
      </w:r>
      <w:r w:rsidR="007F7EA6">
        <w:t xml:space="preserve"> o štandardnej ex post kontrole</w:t>
      </w:r>
      <w:r w:rsidR="00904B67" w:rsidRPr="00904B67">
        <w:t>.</w:t>
      </w:r>
      <w:r w:rsidR="007F7EA6">
        <w:t xml:space="preserve"> V prípade výkonu druhej ex ante kontroly v rámci schvaľovacieho procesu ŽoNFP alebo hodnotenia národného projektu sa následná ex post kontrola podľa kapitoly 3.3.7.2.4. vykoná po podpise zmluvy o NFP.</w:t>
      </w:r>
    </w:p>
    <w:p w14:paraId="2F3E8D86" w14:textId="4E51A9BC" w:rsidR="007F7EA6" w:rsidRDefault="001E3421" w:rsidP="007F7EA6">
      <w:pPr>
        <w:numPr>
          <w:ilvl w:val="0"/>
          <w:numId w:val="249"/>
        </w:numPr>
        <w:spacing w:before="120" w:after="120"/>
        <w:ind w:left="426" w:hanging="426"/>
        <w:jc w:val="both"/>
      </w:pPr>
      <w:r w:rsidRPr="003F05D5">
        <w:t xml:space="preserve">RO môže stanoviť podmienku poskytnutia príspevku aj takým spôsobom, aby žiadateľ mal v čase predloženia ŽoNFP </w:t>
      </w:r>
      <w:r>
        <w:t xml:space="preserve">ukončené </w:t>
      </w:r>
      <w:r w:rsidRPr="003F05D5">
        <w:t>verejné obstarávanie alebo verejné obstarávanie vo fáze pred</w:t>
      </w:r>
      <w:r w:rsidR="00F0118E">
        <w:t> </w:t>
      </w:r>
      <w:r w:rsidRPr="003F05D5">
        <w:t>podpisom zmluvy s úspešným uchádz</w:t>
      </w:r>
      <w:r>
        <w:t>ačom (o čom rovnako informuje v rámci výzvy</w:t>
      </w:r>
      <w:r w:rsidRPr="003F05D5">
        <w:t>), ale kontrola VO bude vykonaná po ukončení schvaľovacieho procesu ŽoNFP a súčasn</w:t>
      </w:r>
      <w:r>
        <w:t>e pred</w:t>
      </w:r>
      <w:r w:rsidR="00F0118E">
        <w:t> </w:t>
      </w:r>
      <w:r>
        <w:t xml:space="preserve">uzatvorením zmluvy o NFP </w:t>
      </w:r>
      <w:r w:rsidRPr="003F05D5">
        <w:t>a na základe výsledku kontroly VO následne pristúpi RO k</w:t>
      </w:r>
      <w:r w:rsidR="00412FD4">
        <w:t> </w:t>
      </w:r>
      <w:r w:rsidRPr="003F05D5">
        <w:t>uzatvore</w:t>
      </w:r>
      <w:r>
        <w:t xml:space="preserve">niu, resp. neuzatvoreniu zmluvy </w:t>
      </w:r>
      <w:r w:rsidRPr="003F05D5">
        <w:t xml:space="preserve">o NFP. </w:t>
      </w:r>
      <w:r>
        <w:t xml:space="preserve">Rozhodnutie o schválení žiadosti o NFP by obsahovalo </w:t>
      </w:r>
      <w:r w:rsidR="008239A4">
        <w:t xml:space="preserve">odkladaciu </w:t>
      </w:r>
      <w:r>
        <w:t xml:space="preserve">podmienku, </w:t>
      </w:r>
      <w:r w:rsidR="008239A4">
        <w:t xml:space="preserve">podľa ktorej by nadobudlo účinnosť v prípade kladného výsledku </w:t>
      </w:r>
      <w:r>
        <w:t>základn</w:t>
      </w:r>
      <w:r w:rsidR="008239A4">
        <w:t>ej</w:t>
      </w:r>
      <w:r>
        <w:t xml:space="preserve"> finančn</w:t>
      </w:r>
      <w:r w:rsidR="008239A4">
        <w:t>ej</w:t>
      </w:r>
      <w:r>
        <w:t xml:space="preserve"> kontrol</w:t>
      </w:r>
      <w:r w:rsidR="008239A4">
        <w:t>y</w:t>
      </w:r>
      <w:r>
        <w:t xml:space="preserve"> VO, t. j. neboli by identifikované zistenia, ktoré mali alebo mohli mať vplyv na</w:t>
      </w:r>
      <w:r w:rsidR="008D28B0">
        <w:t> </w:t>
      </w:r>
      <w:r>
        <w:t>výsledok VO</w:t>
      </w:r>
      <w:r w:rsidR="008239A4">
        <w:t>, a to dňom vydania správy z kontroly.</w:t>
      </w:r>
      <w:r>
        <w:t xml:space="preserve"> </w:t>
      </w:r>
      <w:r w:rsidR="008239A4">
        <w:t>P</w:t>
      </w:r>
      <w:r>
        <w:t xml:space="preserve">odmienkou na predloženie návrhu zmluvy o NFP úspešnému žiadateľovi by bolo </w:t>
      </w:r>
      <w:r w:rsidR="008239A4">
        <w:t xml:space="preserve">tiež </w:t>
      </w:r>
      <w:r>
        <w:t>predloženie údajov potrebných na vypracovanie návrhu zmluvy o NFP v lehote určenej riadiacim orgánom.</w:t>
      </w:r>
      <w:r w:rsidR="00584ECC">
        <w:t xml:space="preserve"> Pre tento typ kontroly sa primerane použijú ustanovenia kapitoly 3.3.7.2.2.</w:t>
      </w:r>
      <w:r w:rsidR="007F7EA6">
        <w:t xml:space="preserve"> o druhej ex ante kontrole</w:t>
      </w:r>
      <w:r w:rsidR="00584ECC">
        <w:t xml:space="preserve"> a kapitoly 3.3.7.2.3.</w:t>
      </w:r>
      <w:r w:rsidR="007F7EA6">
        <w:t xml:space="preserve"> o štandardnej ex post kontrole</w:t>
      </w:r>
      <w:r w:rsidR="00584ECC">
        <w:t>, ak ods. 2 neurčuje inak.</w:t>
      </w:r>
      <w:r w:rsidR="007F7EA6">
        <w:t xml:space="preserve"> </w:t>
      </w:r>
      <w:r w:rsidR="007F7EA6" w:rsidRPr="007F7EA6">
        <w:t>V prípade výkonu druhej ex ante kontroly sa následná ex post kontrola podľa kapitoly 3.3.7.2.4. vykoná po podpise zmluvy o NFP.</w:t>
      </w:r>
    </w:p>
    <w:p w14:paraId="25D2D220" w14:textId="716370FE" w:rsidR="00B650E5" w:rsidRDefault="00B650E5">
      <w:pPr>
        <w:numPr>
          <w:ilvl w:val="0"/>
          <w:numId w:val="249"/>
        </w:numPr>
        <w:spacing w:before="120" w:after="120"/>
        <w:ind w:left="426" w:hanging="426"/>
        <w:jc w:val="both"/>
      </w:pPr>
      <w:r>
        <w:t>V prípad</w:t>
      </w:r>
      <w:r w:rsidR="001E3421">
        <w:t>och uvedených v </w:t>
      </w:r>
      <w:hyperlink w:anchor="kapitola_33727_ods_1" w:history="1">
        <w:r w:rsidR="001E3421" w:rsidRPr="00D86276">
          <w:rPr>
            <w:rStyle w:val="Hypertextovprepojenie"/>
          </w:rPr>
          <w:t>ods. 1 a ods. 2</w:t>
        </w:r>
      </w:hyperlink>
      <w:r w:rsidR="001E3421">
        <w:t xml:space="preserve"> </w:t>
      </w:r>
      <w:r>
        <w:t xml:space="preserve">RO definuje podmienku poskytnutia príspevku výlučne na VO, ktorých hodnota v zmysle výsledku VO predstavuje minimálne 30 % z celkovej požadovanej hodnoty NFP. Pri VO, ktoré nebudú dosahovať túto hodnotu, nie je žiadateľ povinný mať </w:t>
      </w:r>
      <w:r w:rsidR="001E3421">
        <w:t xml:space="preserve">ukončené </w:t>
      </w:r>
      <w:r>
        <w:t xml:space="preserve">VO </w:t>
      </w:r>
      <w:r w:rsidR="001E3421">
        <w:t xml:space="preserve">alebo VO pred podpisom zmluvy s úspešným uchádzačom </w:t>
      </w:r>
      <w:r>
        <w:t xml:space="preserve">už v čase predkladania projektu a pri týchto VO bude vykonaná kontrola až po podpise zmluvy o NFP alebo vydaní rozhodnutia o schválení v prípade totožnosti RO a prijímateľa. </w:t>
      </w:r>
    </w:p>
    <w:p w14:paraId="23D3D145" w14:textId="77777777" w:rsidR="00B650E5" w:rsidRDefault="00B650E5">
      <w:pPr>
        <w:numPr>
          <w:ilvl w:val="0"/>
          <w:numId w:val="249"/>
        </w:numPr>
        <w:spacing w:before="120" w:after="120"/>
        <w:ind w:left="426" w:hanging="426"/>
        <w:jc w:val="both"/>
      </w:pPr>
      <w:r>
        <w:t>O všetkých povinnostiach žiadateľa</w:t>
      </w:r>
      <w:r w:rsidR="006F3B93">
        <w:t xml:space="preserve">, </w:t>
      </w:r>
      <w:r>
        <w:t xml:space="preserve"> ako aj o ďalších postupoch uvedených v tejto časti je RO povinný informovať vo výzve, pričom je nutné jasné zadefinovanie podmienok poskytnutia príspevku.  </w:t>
      </w:r>
    </w:p>
    <w:p w14:paraId="10100E06" w14:textId="10564AF0" w:rsidR="00B650E5" w:rsidRDefault="00B650E5">
      <w:pPr>
        <w:numPr>
          <w:ilvl w:val="0"/>
          <w:numId w:val="249"/>
        </w:numPr>
        <w:spacing w:before="120" w:after="120"/>
        <w:ind w:left="426" w:hanging="426"/>
        <w:jc w:val="both"/>
      </w:pPr>
      <w:bookmarkStart w:id="391" w:name="kapitola_33728_ods_4"/>
      <w:r>
        <w:t>RO kontroluje postupy VO na základe dokumentácie predloženej žiadateľom, ktorý predkladá dokumentáciu z VO v plnom rozsahu. Dokumentáciu žiadateľ predkladá písomne</w:t>
      </w:r>
      <w:r w:rsidR="000F104E">
        <w:t xml:space="preserve"> alebo v elektronickej podobe</w:t>
      </w:r>
      <w:r>
        <w:t xml:space="preserve">, pričom časť dokumentácie </w:t>
      </w:r>
      <w:r w:rsidR="009313D0">
        <w:t xml:space="preserve">je povinný </w:t>
      </w:r>
      <w:r>
        <w:t xml:space="preserve">predložiť aj cez ITMS 2014+. </w:t>
      </w:r>
      <w:r w:rsidR="000F104E">
        <w:lastRenderedPageBreak/>
        <w:t xml:space="preserve">Určenie dokumentácie, ktorá má byť predložená elektronicky a dokumentácie, ktorá má byť predložená písomne, môže byť predmetom úpravy v príručkách pre žiadateľa, ktoré vydáva príslušný RO. </w:t>
      </w:r>
      <w:r>
        <w:t xml:space="preserve">Minimálny rozsah dokumentácie, ktorú žiadateľ </w:t>
      </w:r>
      <w:r w:rsidR="009313D0">
        <w:t xml:space="preserve">povinne predkladá </w:t>
      </w:r>
      <w:r>
        <w:t>cez ITMS 2014+ je definovaný rozsahom dokumentácie zverejňovanej v profile podľa § 64 ZVO v závislosti od hodnoty a typu zákazky (pozn. uvedená povinnosť platí pre všetkých žiadateľov</w:t>
      </w:r>
      <w:r w:rsidR="00D5024A">
        <w:t xml:space="preserve"> a nevzťahuje sa na informácie podľa § 64 ods. 1 písm. d) </w:t>
      </w:r>
      <w:r w:rsidR="00887348">
        <w:t xml:space="preserve">a písm. e) </w:t>
      </w:r>
      <w:r w:rsidR="00D5024A">
        <w:t>ZVO</w:t>
      </w:r>
      <w:r>
        <w:t xml:space="preserve">). </w:t>
      </w:r>
      <w:r w:rsidR="00D5024A">
        <w:t xml:space="preserve">V prípade ponúk jednotlivých uchádzačov, predkladá žiadateľ cez ITMS 2014+ iba ponuku úspešného uchádzača. </w:t>
      </w:r>
      <w:r>
        <w:t>RO je vo výzve alebo záväzných podmienkach oprávnený určiť povinnosť predkladania dokumentácie cez ITMS 2014+ aj inej ako je definované v predošlej vete, pričom stanovenie tejto povinnosti závisí najmä od povahy konkrétneho dokumentu, od skutočnosti, či je jeho elektronická podoba využívaná alebo zverejňovaná aj v iných informačných systémoch, alebo či je elektronicky dostupná aj bez neprimeraných administratívnych a technických nárokov na kapacity žiadateľa. Vo svojom podaní je žiadateľ povinný uviesť, ktorú dokumentáciu predkladá v písomnej podobe, ktorú v elektronickej podobe (napr. na CD/DVD) a ktorú predkladá cez ITMS 2014+. Pre potreby overenia splnenia podmienok poskytnutia príspevku týkajúcej sa VO žiadateľ predkladá na RO kópiu originálnej dokumentácie (aj dokumentácia predložená elektronicky, resp. cez ITMS 2014+ sa pre potreby finančnej kontroly VO považuje za kópiu originálnej dokumentácie). Súčasne s dokumentáciou predkladá na RO žiadateľ aj čestné vyhlásenie, v rámci ktorého jasne identifikuje projekt a predkladané VO. Súčasťou tohto dokumentu je súpis všetkej predkladanej dokumentácie a vyhlásenie, že dokumentácia predložená na 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w:t>
      </w:r>
      <w:r w:rsidR="001541DD">
        <w:t xml:space="preserve"> </w:t>
      </w:r>
      <w:r w:rsidR="00D5024A">
        <w:t xml:space="preserve">Čestné vyhlásenie sa rovnako vzťahuje na dokumentáciu predloženú elektronicky v rámci ITMS 2014+ a uvedené pravidlá sa rovnako vzťahujú aj na dopĺňanie dokumentácie. </w:t>
      </w:r>
      <w:r w:rsidR="001541DD">
        <w:t xml:space="preserve">RO kontrolu </w:t>
      </w:r>
      <w:r w:rsidR="00F80690">
        <w:t xml:space="preserve">pravidiel a </w:t>
      </w:r>
      <w:r w:rsidR="001541DD">
        <w:t>postupov VO</w:t>
      </w:r>
      <w:r w:rsidR="00F80690">
        <w:t>,</w:t>
      </w:r>
      <w:r w:rsidR="001541DD">
        <w:t xml:space="preserve"> ako aj výsledky kontroly bezodkladne eviduje v</w:t>
      </w:r>
      <w:r w:rsidR="0023261D">
        <w:t> </w:t>
      </w:r>
      <w:r w:rsidR="001541DD">
        <w:t>ITMS</w:t>
      </w:r>
      <w:r w:rsidR="0023261D">
        <w:t xml:space="preserve"> </w:t>
      </w:r>
      <w:r w:rsidR="001541DD">
        <w:t>2014+.</w:t>
      </w:r>
      <w:r>
        <w:t xml:space="preserve"> </w:t>
      </w:r>
    </w:p>
    <w:bookmarkEnd w:id="391"/>
    <w:p w14:paraId="52F6BA5F" w14:textId="77777777" w:rsidR="00B650E5" w:rsidRDefault="00B650E5">
      <w:pPr>
        <w:numPr>
          <w:ilvl w:val="0"/>
          <w:numId w:val="249"/>
        </w:numPr>
        <w:spacing w:before="120" w:after="120"/>
        <w:ind w:left="426" w:hanging="426"/>
        <w:jc w:val="both"/>
      </w:pPr>
      <w:r>
        <w:t>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14:paraId="5E589F35" w14:textId="73CB436B" w:rsidR="00B650E5" w:rsidRDefault="00B650E5">
      <w:pPr>
        <w:numPr>
          <w:ilvl w:val="0"/>
          <w:numId w:val="249"/>
        </w:numPr>
        <w:spacing w:before="120" w:after="120"/>
        <w:ind w:left="426" w:hanging="426"/>
        <w:jc w:val="both"/>
      </w:pPr>
      <w:r>
        <w:t>Žiadateľ predkladá v rámci konania o ŽoNFP VO vo fáze po podpise zmluvy s úspešným uchádzačom po nadobudnutí  platnosti tejto zmluvy, vrátane všetkých dodatkov k tejto zmluve</w:t>
      </w:r>
      <w:r w:rsidR="007844C1">
        <w:t>, resp. vo fáze pred podpisom zmluvy s úspešným uchádzačom po vyhodnotení ponúk a ukončení všetkých revíznych postupov</w:t>
      </w:r>
      <w:r w:rsidR="007324D5">
        <w:t>,</w:t>
      </w:r>
      <w:r>
        <w:t xml:space="preserve"> a to ako súčasť povinných príloh ŽoNFP.</w:t>
      </w:r>
    </w:p>
    <w:p w14:paraId="08E0A626" w14:textId="77777777" w:rsidR="00B650E5" w:rsidRDefault="00B650E5">
      <w:pPr>
        <w:numPr>
          <w:ilvl w:val="0"/>
          <w:numId w:val="249"/>
        </w:numPr>
        <w:spacing w:before="120" w:after="120"/>
        <w:ind w:left="426" w:hanging="426"/>
        <w:jc w:val="both"/>
      </w:pPr>
      <w:r>
        <w:t xml:space="preserve">Pri overovaní podmienky poskytnutia príspevku v rámci konania o ŽoNFP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2D52B6E1" w14:textId="57E652F6" w:rsidR="00B650E5" w:rsidRPr="00305CCD" w:rsidRDefault="00B650E5">
      <w:pPr>
        <w:numPr>
          <w:ilvl w:val="0"/>
          <w:numId w:val="249"/>
        </w:numPr>
        <w:spacing w:before="120" w:after="120"/>
        <w:ind w:left="426" w:hanging="426"/>
        <w:jc w:val="both"/>
      </w:pPr>
      <w:r>
        <w:t>Overenie podmienky poskytnutia príspevku týkajúcej sa VO musí byť zabezpečené v lehote na ukončenie schvaľovacieho procesu ŽoNFP</w:t>
      </w:r>
      <w:r w:rsidR="001E3421">
        <w:t>, ak je kontrola VO vykonaná v rámci schvaľovacieho procesu žiadosti o NFP</w:t>
      </w:r>
      <w:r>
        <w:t>. V prípade, že RO požaduje od žiadateľa doplnenie alebo vysvetlenie k dokumentácii VO, lehotu na toto doplnenie alebo vysvetlenie určí RO v </w:t>
      </w:r>
      <w:r w:rsidRPr="00530C13">
        <w:t>súlade s lehotami určenými na doplnenie ostatných náležitostí ŽoNFP.</w:t>
      </w:r>
    </w:p>
    <w:p w14:paraId="593E9C9F" w14:textId="5B3A207C" w:rsidR="00B650E5" w:rsidRDefault="00B650E5">
      <w:pPr>
        <w:numPr>
          <w:ilvl w:val="0"/>
          <w:numId w:val="249"/>
        </w:numPr>
        <w:spacing w:before="120" w:after="120"/>
        <w:ind w:left="426" w:hanging="426"/>
        <w:jc w:val="both"/>
      </w:pPr>
      <w:r w:rsidRPr="00530C13">
        <w:t>Závery kontroly zaznamená RO do kontrolného zoznamu. Súčasne závery kontroly prenesie do</w:t>
      </w:r>
      <w:r w:rsidR="007844C1">
        <w:t> </w:t>
      </w:r>
      <w:r w:rsidRPr="00530C13">
        <w:t>výsledku posúdenia ŽoNFP, resp. národného projektu</w:t>
      </w:r>
      <w:r w:rsidR="001E3421">
        <w:t>, ak je kontrola VO vykonaná v rámci schvaľovacieho procesu žiadosti o NFP</w:t>
      </w:r>
      <w:r w:rsidRPr="00530C13">
        <w:t xml:space="preserve">. Výstupom kontroly VO nie je v tomto prípade správa z kontroly, ale rozhodnutie o schválení alebo neschválení ŽoNFP, resp. národného projektu. </w:t>
      </w:r>
      <w:r w:rsidR="00A02733">
        <w:lastRenderedPageBreak/>
        <w:t xml:space="preserve">V prípade uplatnenia postupu podľa ods. 2 je výstupom z kontroly VO návrh správy/správa z kontroly. </w:t>
      </w:r>
      <w:r w:rsidRPr="00530C13">
        <w:t>RO nie je povinný opätovne vykonávať kontrolu VO po podpise zmluvy o NFP. Kontrolu oprávnenosti výdavku z pohľadu jeho súladu s pravidlami, princípmi a postupmi VO vykoná RO vo fáze kontroly príslušnej ŽoP, kde RO overí skutočnosť vykonania uvedenej kontroly a správnosť aplikovania jej záverov. Uvedené však nevylučuje možnosť opätovného vykonania kontroly</w:t>
      </w:r>
      <w:r>
        <w:t xml:space="preserve"> VO, napr. na základe podnetu kontrolných orgánov alebo z vlastného podnetu RO. Dodatky k zmluve s úspešným uchádzačom, ktoré neboli predmetom kontroly v rámci schvaľovacieho procesu žiadosti o NFP, resp. národného projektu podliehajú kontrole v zmysle postupov uvedených v </w:t>
      </w:r>
      <w:r w:rsidRPr="000E286B">
        <w:t>kapitole 3.3.7.2.1</w:t>
      </w:r>
      <w:r>
        <w:t xml:space="preserve">0. </w:t>
      </w:r>
    </w:p>
    <w:p w14:paraId="520B5328" w14:textId="5FFD29A2" w:rsidR="00B650E5" w:rsidRDefault="00B650E5">
      <w:pPr>
        <w:numPr>
          <w:ilvl w:val="0"/>
          <w:numId w:val="249"/>
        </w:numPr>
        <w:spacing w:before="120" w:after="120"/>
        <w:ind w:left="426" w:hanging="426"/>
        <w:jc w:val="both"/>
      </w:pPr>
      <w:r>
        <w:t xml:space="preserve">Ak RO pri kontrole VO nezistí porušenie </w:t>
      </w:r>
      <w:r w:rsidR="00F8333A">
        <w:t>pravidiel</w:t>
      </w:r>
      <w:r>
        <w:t xml:space="preserve"> a postupov VO, ktoré mali alebo mohli mať vplyv na výsledok VO a ani iné porušenie ovplyvňujúce oprávnenosť príslušných výdavkov (napr. na základe zistení vecnej kontroly VO), záverom je konštatovanie splnenia podmienky poskytnutia príspevku týkajúcej sa VO ako jednej z podmienok poskytnutia príspevku stanovených vo výzve.</w:t>
      </w:r>
    </w:p>
    <w:p w14:paraId="178205BE" w14:textId="5A117F12" w:rsidR="00B650E5" w:rsidRDefault="00B650E5">
      <w:pPr>
        <w:numPr>
          <w:ilvl w:val="0"/>
          <w:numId w:val="249"/>
        </w:numPr>
        <w:spacing w:before="120" w:after="120"/>
        <w:ind w:left="426" w:hanging="426"/>
        <w:jc w:val="both"/>
      </w:pPr>
      <w:r>
        <w:t xml:space="preserve"> Ak  RO zistí porušenie </w:t>
      </w:r>
      <w:r w:rsidR="00F8333A">
        <w:t>pravidiel</w:t>
      </w:r>
      <w:r>
        <w:t xml:space="preserve"> a postupov VO, pričom rozsah a závažnosť týchto zistení je taký, že mali alebo mohli mať vplyv na výsledok VO, RO </w:t>
      </w:r>
      <w:r w:rsidR="005F09D3">
        <w:t xml:space="preserve">je oprávnený </w:t>
      </w:r>
      <w:r>
        <w:t xml:space="preserve">danú skutočnosť </w:t>
      </w:r>
      <w:r w:rsidR="005F09D3">
        <w:t xml:space="preserve">vyhodnotiť </w:t>
      </w:r>
      <w:r>
        <w:t>ako nesplnenie podmienky poskytnutia príspevku a rozhodn</w:t>
      </w:r>
      <w:r w:rsidR="005F09D3">
        <w:t>úť</w:t>
      </w:r>
      <w:r>
        <w:t xml:space="preserve"> o neschválení ŽoNFP</w:t>
      </w:r>
      <w:r w:rsidR="005F09D3">
        <w:t xml:space="preserve"> alebo uplatniť </w:t>
      </w:r>
      <w:r w:rsidR="00FB1D18">
        <w:t>ex ante</w:t>
      </w:r>
      <w:r w:rsidR="005F09D3">
        <w:t xml:space="preserve"> finančnú opravu, ktorá bude zohľadnená pri vydaní rozhodnutia o schválení žiadosti o NFP</w:t>
      </w:r>
      <w:r>
        <w:t xml:space="preserve">. </w:t>
      </w:r>
      <w:r w:rsidR="005F09D3">
        <w:t xml:space="preserve">Postup podľa predchádzajúcej vety uplatní </w:t>
      </w:r>
      <w:r>
        <w:t>RO aj v prípade, že nedostatky vo verejnom obstarávaní, ktoré mali alebo mohli mať vplyv na výsledok verejného obstarávania identifikoval ÚVO v rozhodnutí podľa</w:t>
      </w:r>
      <w:r w:rsidR="005F09D3">
        <w:t xml:space="preserve"> </w:t>
      </w:r>
      <w:r>
        <w:t xml:space="preserve">§ 175 ods. 4 ZVO alebo boli identifikované v rozhodnutí Rady ÚVO. RO </w:t>
      </w:r>
      <w:r w:rsidR="005F09D3">
        <w:t xml:space="preserve">je povinný </w:t>
      </w:r>
      <w:r>
        <w:t>konštat</w:t>
      </w:r>
      <w:r w:rsidR="005F09D3">
        <w:t>ovať nesplnenie podmienky poskytnutia príspevku a rozhodnúť o neschválení žiadosti o NFP</w:t>
      </w:r>
      <w:r>
        <w:t xml:space="preserve"> v prípade, že zistenia nedostatkov v rámci kontroly vecného súladu predmetu obstarávania sú takého závažného charakteru, že pre riadnu realizáciu posudzovaného projektu nebude môcť žiadateľ využiť výsledok kontrolovaného VO. Uvedený rozsah a dôsledky musia byť jasne zadefinované v relevantnej podmienke poskytnutia príspevku stanovenej vo výzve. </w:t>
      </w:r>
    </w:p>
    <w:p w14:paraId="72230630" w14:textId="77777777" w:rsidR="00B650E5" w:rsidRDefault="00B650E5">
      <w:pPr>
        <w:pStyle w:val="SRK5"/>
        <w:jc w:val="both"/>
      </w:pPr>
      <w:bookmarkStart w:id="392" w:name="_Toc386529572"/>
      <w:bookmarkStart w:id="393" w:name="_Toc390248463"/>
      <w:bookmarkStart w:id="394" w:name="_Toc453234041"/>
      <w:bookmarkStart w:id="395" w:name="_Toc501630092"/>
      <w:r>
        <w:t>3.3.7.2.8. Kontrola verejného obstarávania</w:t>
      </w:r>
      <w:bookmarkEnd w:id="392"/>
      <w:r>
        <w:t xml:space="preserve"> národných projektov, veľkých projektov, ktoré sú súčasťou zoznamu projektov </w:t>
      </w:r>
      <w:bookmarkEnd w:id="393"/>
      <w:bookmarkEnd w:id="394"/>
      <w:r>
        <w:t>a kontrola projektov technickej pomoci, pred podpisom zmluvy o NFP</w:t>
      </w:r>
      <w:bookmarkEnd w:id="395"/>
      <w:r>
        <w:t xml:space="preserve"> </w:t>
      </w:r>
    </w:p>
    <w:p w14:paraId="44B15A2C" w14:textId="77777777" w:rsidR="00B650E5" w:rsidRDefault="00B650E5">
      <w:pPr>
        <w:numPr>
          <w:ilvl w:val="0"/>
          <w:numId w:val="250"/>
        </w:numPr>
        <w:spacing w:before="120" w:after="120"/>
        <w:ind w:left="426" w:hanging="426"/>
        <w:jc w:val="both"/>
      </w:pPr>
      <w:r>
        <w:t xml:space="preserve">RO môže vykonávať kontrolu VO v rámci národných, veľkých projektov, ktoré sú súčasťou zoznamu projektov a v rámci projektov technickej pomoci, a to vo fáze pred podpisom zmluvy o NFP podľa § 7 zákona o finančnej kontrole (na účely tejto kapitoly ďalej len „individuálne projekty“). Kontrolu individuálnych projektov môže RO vykonávať na základe informácií uvedených v usmernení RO k príprave individuálneho projektu v súlade s § 27 ods. 2, § 28 ods. 3 a § 29 ods. 4 zákona o príspevku z EŠIF. V usmernení RO definuje rozsah tejto spolupráce, vzájomné práva a povinnosti, lehoty a výstupy z tejto kontroly, ako aj iné podstatné náležitosti. Rozsah tejto spolupráce nie je určený, </w:t>
      </w:r>
      <w:r w:rsidR="00C93F30">
        <w:t xml:space="preserve">t. j. </w:t>
      </w:r>
      <w:r>
        <w:t xml:space="preserve"> RO môže aplikovať túto kontrolu nezávisle od hodnoty zákazky, postupu VO alebo fázy realizácie VO. </w:t>
      </w:r>
    </w:p>
    <w:p w14:paraId="62DD11D7" w14:textId="77777777" w:rsidR="00B650E5" w:rsidRDefault="00B650E5">
      <w:pPr>
        <w:numPr>
          <w:ilvl w:val="0"/>
          <w:numId w:val="250"/>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5602465D" w14:textId="77777777" w:rsidR="00B650E5" w:rsidRDefault="00B650E5">
      <w:pPr>
        <w:numPr>
          <w:ilvl w:val="0"/>
          <w:numId w:val="250"/>
        </w:numPr>
        <w:spacing w:before="120" w:after="120"/>
        <w:ind w:left="426" w:hanging="426"/>
        <w:jc w:val="both"/>
      </w:pPr>
      <w:r>
        <w:t xml:space="preserve">Finančná kontrola VO v rámci  individuálnych projektov je uvedená ako možnosť a v prípade, že sa RO rozhodne ju aplikovať, vykonáva ju ako prvú </w:t>
      </w:r>
      <w:r w:rsidR="00FB1D18">
        <w:t>ex ante</w:t>
      </w:r>
      <w:r>
        <w:t xml:space="preserve"> kontrolu, druhú </w:t>
      </w:r>
      <w:r w:rsidR="00FB1D18">
        <w:t>ex ante</w:t>
      </w:r>
      <w:r>
        <w:t xml:space="preserve"> kontrolu a následnú </w:t>
      </w:r>
      <w:r w:rsidR="00FB1D18">
        <w:t>ex post</w:t>
      </w:r>
      <w:r>
        <w:t xml:space="preserve"> kontrolu, ak sa jedná o nadlimitnú zákazku, prípadne ako štandardnú </w:t>
      </w:r>
      <w:r w:rsidR="00FB1D18">
        <w:t>ex post</w:t>
      </w:r>
      <w:r>
        <w:t xml:space="preserve"> kontrolu, ak sa jedná o podlimitnú zákazku alebo zákazku s nízkou hodnotou. Na postupy tejto kontroly sa aplikujú primerane príslušné odseky </w:t>
      </w:r>
      <w:hyperlink w:anchor="kapitola_337" w:tooltip="kapitoly 3.3.7" w:history="1">
        <w:r>
          <w:rPr>
            <w:rStyle w:val="Hypertextovprepojenie"/>
          </w:rPr>
          <w:t>kapitoly 3.3.7</w:t>
        </w:r>
      </w:hyperlink>
      <w:r>
        <w:t>. V prípade, že sa jedná o bežne dostupné tovary, služby alebo stavebné práce, na kontrolu sa primerane aplikujú odseky kapitoly 3.3.7.2.9.</w:t>
      </w:r>
    </w:p>
    <w:p w14:paraId="30522EC9" w14:textId="77777777" w:rsidR="002B2727" w:rsidRPr="002B2727" w:rsidRDefault="00B650E5" w:rsidP="002B2727">
      <w:pPr>
        <w:numPr>
          <w:ilvl w:val="0"/>
          <w:numId w:val="250"/>
        </w:numPr>
        <w:ind w:left="426"/>
        <w:contextualSpacing/>
        <w:jc w:val="both"/>
      </w:pPr>
      <w:r w:rsidRPr="00437BEE">
        <w:lastRenderedPageBreak/>
        <w:t xml:space="preserve">Závery uvedené v správe z kontroly </w:t>
      </w:r>
      <w:r>
        <w:t>(ne</w:t>
      </w:r>
      <w:r w:rsidR="006B1073">
        <w:t>j</w:t>
      </w:r>
      <w:r w:rsidR="008B7D1F">
        <w:t>de</w:t>
      </w:r>
      <w:r>
        <w:t xml:space="preserve"> o správu z kontrolu, ktorú RO vypracúva pri administratívnej finančnej kontrole) </w:t>
      </w:r>
      <w:r w:rsidRPr="00437BEE">
        <w:t>sú platné aj po schválení individuálneho projektu a RO už následne nemusí vykonávať opätovnú kontrolu daného VO po podpise zmluvy o</w:t>
      </w:r>
      <w:r>
        <w:t> </w:t>
      </w:r>
      <w:r w:rsidRPr="00437BEE">
        <w:t>NFP</w:t>
      </w:r>
      <w:r>
        <w:t xml:space="preserve"> </w:t>
      </w:r>
      <w:r w:rsidRPr="004E6C7F">
        <w:t>v prípade, že nepredpokladá, že by opätovne vykonanou kontrolou dospel k iným záverom a ak by výkonom administratívnej finančnej kontroly overil v súvislosti s VO rovnaké skutočnosti, ktoré boli predmetom vykonanej základnej finančnej kontroly</w:t>
      </w:r>
      <w:r w:rsidRPr="00437BEE">
        <w:t xml:space="preserve">. Kontrolu vecného súladu predmetu obstarávania, návrhu zmluvných podmienok a iných údajov so schválenou ŽoNFP a účinnou zmluvou o NFP vykoná RO najneskôr vo fáze kontroly príslušnej ŽoP.  </w:t>
      </w:r>
      <w:r>
        <w:t xml:space="preserve">V prípade, že je vecná kontrola súčasťou kontroly verejného obstarávania, RO vo fáze pred podpisom zmluvy o NFP vykoná kontrolu súladu </w:t>
      </w:r>
      <w:r w:rsidRPr="007A1E8B">
        <w:t xml:space="preserve">predmetu obstarávania, návrhu zmluvných podmienok a iných údajov s opisom projektu. </w:t>
      </w:r>
      <w:r w:rsidRPr="00437BEE">
        <w:t>Dodatky k zmluve s úspešným uchádzačom, ktoré neboli predmetom kontroly  podliehajú kontrole VO v plnom rozsahu.</w:t>
      </w:r>
      <w:r>
        <w:t xml:space="preserve"> </w:t>
      </w:r>
      <w:r w:rsidRPr="00437BEE">
        <w:t xml:space="preserve">Ak kontrola RO zistí porušenie </w:t>
      </w:r>
      <w:r w:rsidR="00F8333A">
        <w:t>pravidiel</w:t>
      </w:r>
      <w:r w:rsidRPr="00437BEE">
        <w:t xml:space="preserve"> a postupov VO, pričom rozsah a závažnosť týchto zistení je taký, že mali alebo mohli mať vplyv na výsledok VO</w:t>
      </w:r>
      <w:r>
        <w:t xml:space="preserve">, RO v záveroch kontroly uvedie, že výdavky z predmetného VO nebudú pripustené do financovania v plnom rozsahu alebo určí zodpovedajúcu výšku </w:t>
      </w:r>
      <w:r w:rsidR="00FB1D18">
        <w:t>ex ante</w:t>
      </w:r>
      <w:r>
        <w:t xml:space="preserve"> finančnej opravy.</w:t>
      </w:r>
      <w:r w:rsidR="00977C0B">
        <w:t xml:space="preserve"> Ak bola kontrola vykonaná ako druhá </w:t>
      </w:r>
      <w:r w:rsidR="00FB1D18">
        <w:t>ex ante</w:t>
      </w:r>
      <w:r w:rsidR="00977C0B">
        <w:t xml:space="preserve"> kontrola, je možné uplatniť </w:t>
      </w:r>
      <w:r w:rsidR="00FB1D18">
        <w:t>ex ante</w:t>
      </w:r>
      <w:r w:rsidR="00977C0B">
        <w:t xml:space="preserve"> finančnú opravu</w:t>
      </w:r>
      <w:r>
        <w:t xml:space="preserve">                  </w:t>
      </w:r>
      <w:r w:rsidR="002B2727" w:rsidRPr="002B2727">
        <w:t>pred podpisom zmluvy s úspešným uchádzačom iba v prípade, ak by opakovaním procesu VO vznikli vysoké dodatočné náklady.</w:t>
      </w:r>
    </w:p>
    <w:p w14:paraId="5BD9960E" w14:textId="77777777" w:rsidR="002B2727" w:rsidRDefault="002B2727" w:rsidP="001B709E">
      <w:pPr>
        <w:ind w:left="426"/>
        <w:contextualSpacing/>
        <w:jc w:val="both"/>
      </w:pPr>
    </w:p>
    <w:p w14:paraId="455E8A67" w14:textId="77777777" w:rsidR="00B650E5" w:rsidRDefault="00B650E5" w:rsidP="000E286B">
      <w:pPr>
        <w:numPr>
          <w:ilvl w:val="0"/>
          <w:numId w:val="250"/>
        </w:numPr>
        <w:ind w:left="426"/>
        <w:contextualSpacing/>
        <w:jc w:val="both"/>
      </w:pPr>
      <w:r w:rsidRPr="00437BEE">
        <w:t xml:space="preserve"> ÚVO rozhodnutím nariadi zrušiť použitý postup zadávania zákazky, </w:t>
      </w:r>
      <w:r>
        <w:t>RO v záveroch kontroly uvedie, že výdavky z predmetného VO nebudú pripustené do financovania v plnom rozsahu, resp. určí nápravný mechanizmus, ktorý bude povinný budúci žiadateľ vykonať v rámci prípravy individuálneho projektu pred jeho predložením. Presný postup budúceho žiadateľa RO určí v usmernení RO k príprave individuálneho projektu.</w:t>
      </w:r>
    </w:p>
    <w:p w14:paraId="56F059CC" w14:textId="77777777" w:rsidR="00B650E5" w:rsidRDefault="00B650E5">
      <w:pPr>
        <w:pStyle w:val="SRK5"/>
        <w:jc w:val="both"/>
      </w:pPr>
      <w:bookmarkStart w:id="396" w:name="_Toc453234042"/>
      <w:bookmarkStart w:id="397" w:name="_Toc501630093"/>
      <w:bookmarkStart w:id="398" w:name="kapitola_337210"/>
      <w:bookmarkStart w:id="399" w:name="kapitola_33729"/>
      <w:bookmarkStart w:id="400" w:name="_Toc390248464"/>
      <w:r>
        <w:t>3.3.7.2.9. Kontrola verejného obstarávania realizovaného cez elektronické trhovisko</w:t>
      </w:r>
      <w:bookmarkEnd w:id="396"/>
      <w:bookmarkEnd w:id="397"/>
    </w:p>
    <w:bookmarkEnd w:id="398"/>
    <w:bookmarkEnd w:id="399"/>
    <w:p w14:paraId="5DB1D2C8" w14:textId="77777777" w:rsidR="00B650E5" w:rsidRDefault="00B650E5" w:rsidP="001B709E">
      <w:pPr>
        <w:pStyle w:val="Odsekzoznamu"/>
        <w:numPr>
          <w:ilvl w:val="3"/>
          <w:numId w:val="32"/>
        </w:numPr>
        <w:spacing w:before="120" w:after="120"/>
        <w:ind w:left="426" w:hanging="426"/>
        <w:contextualSpacing w:val="0"/>
        <w:jc w:val="both"/>
      </w:pPr>
      <w:r>
        <w:t>Elektronické trhovisko je informačný systém verejnej správy, ktorý slúži na zabezpečenie ponuky a nákupu tovarov, stavebných prác alebo služieb bežne dostupných na trhu, ako aj na zabezpečenie s tým súvisiacich činností. Správcom elektronického trhoviska je Ministerstvo vnútra SR.</w:t>
      </w:r>
      <w:r w:rsidR="00E62229">
        <w:t xml:space="preserve"> </w:t>
      </w:r>
      <w:r>
        <w:t xml:space="preserve">Prijímatelia, ktorí spĺňajú podmienky uvedené v § 108 ods. 1 písm. a) ZVO a predpokladaná hodnota zákazky je rovnaká alebo vyššia ako 15 000 EUR, </w:t>
      </w:r>
      <w:r w:rsidR="00E62229">
        <w:t>môžu</w:t>
      </w:r>
      <w:r>
        <w:t xml:space="preserve"> postupovať podľa § 109 až 112 ZVO, ak ide o dodanie tovaru, uskutočnenie stavebných prác alebo poskytnutie služby bežne dostupných na trhu, </w:t>
      </w:r>
      <w:r w:rsidR="00C93F30">
        <w:t xml:space="preserve">t. j. </w:t>
      </w:r>
      <w:r>
        <w:t xml:space="preserve"> realizovať obstarávanie prostredníctvom elektronického trhoviska. </w:t>
      </w:r>
      <w:r w:rsidRPr="00D97958">
        <w:t xml:space="preserve">Prijímatelia môžu v zmysle § </w:t>
      </w:r>
      <w:r>
        <w:t>66</w:t>
      </w:r>
      <w:r w:rsidRPr="00D97958">
        <w:t xml:space="preserve"> ods. </w:t>
      </w:r>
      <w:r>
        <w:t>8</w:t>
      </w:r>
      <w:r w:rsidRPr="00D97958">
        <w:t xml:space="preserve"> realizovať cez elektronické trhovisko aj nadlimitnú verejnú súťaž na nákup tovarov a</w:t>
      </w:r>
      <w:r>
        <w:t> </w:t>
      </w:r>
      <w:r w:rsidRPr="00D97958">
        <w:t>služieb</w:t>
      </w:r>
      <w:r>
        <w:t>,</w:t>
      </w:r>
      <w:r w:rsidRPr="00655AA4">
        <w:t xml:space="preserve"> ktoré nie sú intelektuálnej povahy</w:t>
      </w:r>
      <w:r>
        <w:t>,</w:t>
      </w:r>
      <w:r w:rsidRPr="00D97958">
        <w:t xml:space="preserve"> bežne dostupných na trhu.</w:t>
      </w:r>
      <w:r w:rsidRPr="003943FB">
        <w:t xml:space="preserve"> V prípade nadlimitnej verejnej súťaže s využitím elektronického trhoviska je predmetom kontroly aj oznámenie</w:t>
      </w:r>
      <w:r>
        <w:t xml:space="preserve"> </w:t>
      </w:r>
      <w:r w:rsidRPr="003943FB">
        <w:t>o vyhlásení verejného obstarávania a súťažné podklady, ktoré boli automatizovaným spôsobom vytvorené z údajov zo zverejnenej ponuky na elektronickom trhovisku a</w:t>
      </w:r>
      <w:r>
        <w:t> </w:t>
      </w:r>
      <w:r w:rsidRPr="003943FB">
        <w:t>informácií</w:t>
      </w:r>
      <w:r>
        <w:t xml:space="preserve"> </w:t>
      </w:r>
      <w:r w:rsidRPr="003943FB">
        <w:t>od prijímateľa.</w:t>
      </w:r>
    </w:p>
    <w:p w14:paraId="09F01D2C" w14:textId="77777777" w:rsidR="00B650E5" w:rsidRDefault="00B650E5" w:rsidP="003120E4">
      <w:pPr>
        <w:pStyle w:val="Odsekzoznamu"/>
        <w:numPr>
          <w:ilvl w:val="3"/>
          <w:numId w:val="32"/>
        </w:numPr>
        <w:spacing w:before="120" w:after="120"/>
        <w:ind w:left="426" w:hanging="426"/>
        <w:contextualSpacing w:val="0"/>
        <w:jc w:val="both"/>
      </w:pPr>
      <w:r>
        <w:t>RO využíva na overenie predložených dokumentov a tiež pri dopĺňaní ďalších potrebných informácií, priamo príslušný informačný systém elektronického trhoviska</w:t>
      </w:r>
      <w:r w:rsidR="007324D5">
        <w:t>,</w:t>
      </w:r>
      <w:r>
        <w:t xml:space="preserve"> a to v rozsahu verejne dostupnom.  </w:t>
      </w:r>
    </w:p>
    <w:p w14:paraId="5B9BE4A5" w14:textId="77777777" w:rsidR="00B650E5" w:rsidRDefault="00B650E5" w:rsidP="003120E4">
      <w:pPr>
        <w:pStyle w:val="Odsekzoznamu"/>
        <w:numPr>
          <w:ilvl w:val="3"/>
          <w:numId w:val="32"/>
        </w:numPr>
        <w:spacing w:before="120" w:after="120"/>
        <w:ind w:left="426" w:hanging="426"/>
        <w:contextualSpacing w:val="0"/>
        <w:jc w:val="both"/>
      </w:pPr>
      <w:bookmarkStart w:id="401" w:name="kapitola_337210_ods_4"/>
      <w:r>
        <w:t xml:space="preserve">Pri výkone prvej </w:t>
      </w:r>
      <w:r w:rsidR="00FB1D18">
        <w:t>ex ante</w:t>
      </w:r>
      <w:r>
        <w:t xml:space="preserve"> kontroly postupuje RO podľa ustanovení </w:t>
      </w:r>
      <w:hyperlink w:anchor="kapitola_33721" w:tooltip="kapitoly 3.3.7.2.1" w:history="1">
        <w:r>
          <w:rPr>
            <w:rStyle w:val="Hypertextovprepojenie"/>
          </w:rPr>
          <w:t>kapitoly 3.3.7.2.1</w:t>
        </w:r>
      </w:hyperlink>
      <w:r>
        <w:t xml:space="preserve">, pokiaľ nie je v tejto kapitole uvedené inak. Predmetom kontroly RO je okrem dokumentácie preukazujúcej určenie predpokladanej hodnoty zákazky návrh zmluvného formuláru obsahujúceho štandardné zmluvné podmienky, opis predmetu zákazky, prípadné objednávkové atribúty (najmä konkrétne zmluvné špecifikácie a podmienky súťaže). V rámci opisu predmetu zákazky a prípadných objednávkových atribútov je RO povinný overiť, či uvedené návrhy nie sú v rozpore s princípmi VO (napr. či verejný obstarávateľ pri špecifikovaní predmetu zákazky neporušil princíp </w:t>
      </w:r>
      <w:r>
        <w:lastRenderedPageBreak/>
        <w:t xml:space="preserve">nediskriminácie a rovnakého zaobchádzania). Predmetom kontroly RO je aj skutočnosť, či nedovoleným rozdelením zákazky na viacero menších zákaziek realizovaných prostredníctvom elektronického trhoviska nebol porušený § 6 ods. 16 ZVO. Taktiež RO overuje, či sú vhodne zvolené vzorové zmluvné podmienky pre daný typ zákazky (napr. z aspektu spolufinancovania zákazky z fondov a ENRF). Zároveň však RO nie je oprávnený dávať prijímateľovi návrhy na úpravu vzorových zmluvných podmienok, </w:t>
      </w:r>
      <w:r w:rsidR="00C93F30">
        <w:t>keďže</w:t>
      </w:r>
      <w:r>
        <w:t xml:space="preserve"> tie sú nemennou súčasťou informačného systému elektronického trhoviska. </w:t>
      </w:r>
    </w:p>
    <w:p w14:paraId="069F689C" w14:textId="77777777" w:rsidR="00B650E5" w:rsidRDefault="00B650E5" w:rsidP="003120E4">
      <w:pPr>
        <w:pStyle w:val="Odsekzoznamu"/>
        <w:numPr>
          <w:ilvl w:val="3"/>
          <w:numId w:val="32"/>
        </w:numPr>
        <w:spacing w:before="120" w:after="120"/>
        <w:ind w:left="426" w:hanging="426"/>
        <w:contextualSpacing w:val="0"/>
        <w:jc w:val="both"/>
      </w:pPr>
      <w:r>
        <w:t xml:space="preserve">Pri výkone druhej </w:t>
      </w:r>
      <w:r w:rsidR="00FB1D18">
        <w:t>ex ante</w:t>
      </w:r>
      <w:r>
        <w:t xml:space="preserve"> kontroly nadlimitných zákaziek realizovaných cez elektronické trhovisko, postupuje RO primerane podľa ustanovení kapitoly 3.3.7.2.2, pričom podmienkou na uzavretie zmluvy je ukončenie finančnej kontroly VO zo strany príslušného RO.</w:t>
      </w:r>
    </w:p>
    <w:bookmarkEnd w:id="401"/>
    <w:p w14:paraId="2C7CD3E8" w14:textId="77777777" w:rsidR="00B650E5" w:rsidRPr="00AB2E95" w:rsidRDefault="00B650E5" w:rsidP="00C33709">
      <w:pPr>
        <w:pStyle w:val="Odsekzoznamu"/>
        <w:numPr>
          <w:ilvl w:val="3"/>
          <w:numId w:val="32"/>
        </w:numPr>
        <w:spacing w:before="120" w:after="120"/>
        <w:ind w:left="426" w:hanging="426"/>
        <w:contextualSpacing w:val="0"/>
        <w:jc w:val="both"/>
      </w:pPr>
      <w:r>
        <w:t xml:space="preserve">Pri výkone </w:t>
      </w:r>
      <w:r w:rsidR="00FB1D18">
        <w:t>ex post</w:t>
      </w:r>
      <w:r>
        <w:t xml:space="preserve"> kontroly postupuje RO podľa príslušných ustanovení </w:t>
      </w:r>
      <w:r w:rsidRPr="000E286B">
        <w:t>kapitoly 3.3.7.2.</w:t>
      </w:r>
      <w:r>
        <w:t>3 a 3.3.7.2.4, pokiaľ nie je v tejto kapitole uvedené inak. Dokumentáciu na kontrolu je prijímateľ povinný predložiť na RO vo fáze po vygenerovaní výslednej zmluvy príslušným elektronickým informačným systémom, po jej zverejnení v zmysle zákona o  slobode informácií a pred nadobudnutím účinnosti zmluvy s dodávateľom (pokiaľ sa jedná o povinnú osobu podľa zákona o  slobode informácií). Sprievodnú dokumentáciu tvorí okrem dokumentácie uvedenej v </w:t>
      </w:r>
      <w:r w:rsidRPr="001B709E">
        <w:t xml:space="preserve">ods. </w:t>
      </w:r>
      <w:r w:rsidR="00473244">
        <w:t>3</w:t>
      </w:r>
      <w:r>
        <w:t xml:space="preserve"> (za podmienky, že nebola predmetom prvej </w:t>
      </w:r>
      <w:r w:rsidR="00FB1D18">
        <w:t>ex ante</w:t>
      </w:r>
      <w:r>
        <w:t xml:space="preserve"> kontroly), automaticky vygenerovaná zmluva, ktorá je výsledkom VO a tiež protokol, ktorý zachytávajúci celý priebeh procesu zadávania zákazy prostredníctvom elektronického trhoviska. </w:t>
      </w:r>
      <w:r w:rsidRPr="00AB2E95">
        <w:rPr>
          <w:color w:val="000000"/>
        </w:rPr>
        <w:t xml:space="preserve">Ak výsledok predmetnej finančnej kontroly nebude kladný, nie je splnená podmienka k nadobudnutiu účinnosti Zmluvy v súlade </w:t>
      </w:r>
      <w:r>
        <w:rPr>
          <w:color w:val="000000"/>
        </w:rPr>
        <w:t xml:space="preserve">              </w:t>
      </w:r>
      <w:r w:rsidRPr="00AB2E95">
        <w:rPr>
          <w:color w:val="000000"/>
        </w:rPr>
        <w:t>so všeobecnými zmluvnými podmienkami elektronického kontraktačného systému.</w:t>
      </w:r>
    </w:p>
    <w:p w14:paraId="4BDA3DB4" w14:textId="77777777" w:rsidR="00B650E5" w:rsidRDefault="00B650E5" w:rsidP="000E286B">
      <w:pPr>
        <w:pStyle w:val="Odsekzoznamu"/>
        <w:numPr>
          <w:ilvl w:val="3"/>
          <w:numId w:val="32"/>
        </w:numPr>
        <w:spacing w:before="120" w:after="120"/>
        <w:ind w:left="426" w:hanging="426"/>
        <w:contextualSpacing w:val="0"/>
        <w:jc w:val="both"/>
      </w:pPr>
      <w:r>
        <w:t xml:space="preserve">V prípade, že pri </w:t>
      </w:r>
      <w:r w:rsidR="00FB1D18">
        <w:t>ex post</w:t>
      </w:r>
      <w:r>
        <w:t xml:space="preserve"> kontrole zo strany RO, ktorej súčasťou je vecná kontrola verejného obstarávania, bude zistené </w:t>
      </w:r>
      <w:r w:rsidRPr="006E4AC7">
        <w:t xml:space="preserve">porušenie, ktoré môže mať vplyv na oprávnenosť výdavkov, RO </w:t>
      </w:r>
      <w:r>
        <w:t xml:space="preserve">                 </w:t>
      </w:r>
      <w:r w:rsidRPr="006E4AC7">
        <w:t xml:space="preserve">v záveroch kontroly </w:t>
      </w:r>
      <w:r>
        <w:t xml:space="preserve">uvedie tieto zistenia. </w:t>
      </w:r>
      <w:r w:rsidR="006D0974">
        <w:t xml:space="preserve">V prípade zistení v rámci vecnej kontroly verejného obstarávania, ktoré </w:t>
      </w:r>
      <w:r w:rsidR="006D7E32">
        <w:t>môžu</w:t>
      </w:r>
      <w:r w:rsidR="006D0974" w:rsidRPr="006D0974">
        <w:t xml:space="preserve"> mať vplyv na oprávnenosť výdavkov</w:t>
      </w:r>
      <w:r w:rsidR="006D7E32">
        <w:t xml:space="preserve"> a nie je možné ich odstrániť</w:t>
      </w:r>
      <w:r w:rsidR="006D0974">
        <w:t xml:space="preserve">, RO v záveroch kontroly nepripustí výdavky súvisiace s VO do financovania v plnom rozsahu. </w:t>
      </w:r>
      <w:r>
        <w:t xml:space="preserve">V prípade zistení porušenia </w:t>
      </w:r>
      <w:r w:rsidR="00F8333A">
        <w:t>pravidiel</w:t>
      </w:r>
      <w:r>
        <w:t xml:space="preserve"> a postupov VO, resp. porušenia pravidiel a ustanovení legislatívy SR a EÚ, ktoré mali alebo mohli mať vplyv na výsledok verejného obstarávania a zákazka bola zadávaná s využitím elektronického trhoviska, je RO povinný postupovať podľa</w:t>
      </w:r>
      <w:r w:rsidRPr="00BB45A7">
        <w:t xml:space="preserve"> </w:t>
      </w:r>
      <w:r>
        <w:t>metodického pokynu</w:t>
      </w:r>
      <w:r>
        <w:rPr>
          <w:rStyle w:val="Odkaznapoznmkupodiarou"/>
        </w:rPr>
        <w:footnoteReference w:id="119"/>
      </w:r>
      <w:r>
        <w:t xml:space="preserve">, ktorý upravuje postup pri určení finančných opráv za </w:t>
      </w:r>
      <w:r w:rsidR="003E5E8A">
        <w:t xml:space="preserve">porušenie pravidiel a postupov </w:t>
      </w:r>
      <w:r>
        <w:t>VO.</w:t>
      </w:r>
    </w:p>
    <w:p w14:paraId="0E7DF4BD" w14:textId="77777777" w:rsidR="00B650E5" w:rsidRDefault="00B650E5" w:rsidP="000E286B">
      <w:pPr>
        <w:pStyle w:val="SRK5"/>
        <w:jc w:val="both"/>
      </w:pPr>
      <w:bookmarkStart w:id="402" w:name="_Toc453234043"/>
      <w:bookmarkStart w:id="403" w:name="_Toc501630094"/>
      <w:bookmarkStart w:id="404" w:name="kapitola_337211"/>
      <w:r>
        <w:t>3.3.7.2.10. Kontrola dodatkov</w:t>
      </w:r>
      <w:bookmarkEnd w:id="400"/>
      <w:bookmarkEnd w:id="402"/>
      <w:r w:rsidRPr="00612607">
        <w:t xml:space="preserve"> </w:t>
      </w:r>
      <w:r>
        <w:t>(z</w:t>
      </w:r>
      <w:r w:rsidRPr="00612607">
        <w:t>mena zmluvy, rámcovej dohody a koncesnej zmluvy počas ich trvania</w:t>
      </w:r>
      <w:r>
        <w:t>)</w:t>
      </w:r>
      <w:bookmarkEnd w:id="403"/>
    </w:p>
    <w:bookmarkEnd w:id="404"/>
    <w:p w14:paraId="1122C20B" w14:textId="77777777" w:rsidR="00B650E5" w:rsidRDefault="00B650E5">
      <w:pPr>
        <w:numPr>
          <w:ilvl w:val="0"/>
          <w:numId w:val="251"/>
        </w:numPr>
        <w:spacing w:before="120" w:after="120"/>
        <w:ind w:left="426" w:hanging="426"/>
        <w:jc w:val="both"/>
      </w:pPr>
      <w:r>
        <w:t>Prijímateľ je povinný predložiť na kontrolu RO návrhy všetkých dodatkov súvisiacich s výsledkom VO alebo výsledkom obstarávania spolufinancovaného z fondov a ENRF.  Z uvedeného vyplýva, že prijímateľ zasiela na RO návrh dodatku pred jeho podpisom oboma zmluvnými stranami. Uvedená povinnosť sa vzťahuje aj na prípady, keď sa dodatok vzťahuje na časť výdavkov, ktoré nie sú oprávnenými výdavkami, avšak sú súčasťou zákazky, ktorá je spolufinancovaná z fondov a ENRF.</w:t>
      </w:r>
    </w:p>
    <w:p w14:paraId="7D7AC921" w14:textId="77777777" w:rsidR="00B650E5" w:rsidRDefault="00B650E5">
      <w:pPr>
        <w:numPr>
          <w:ilvl w:val="0"/>
          <w:numId w:val="251"/>
        </w:numPr>
        <w:spacing w:before="120" w:after="120"/>
        <w:ind w:left="426" w:hanging="426"/>
        <w:jc w:val="both"/>
      </w:pPr>
      <w:r>
        <w:t xml:space="preserve">Prijímateľ je zároveň povinný predložiť takýto dodatok ešte pred tým, ako sa skutočnosť menená dodatkom udeje (napr. uplynutie lehoty realizácie diela, zmeny v súpise položiek alebo v rozpočte diela). Uvedená povinnosť sa nevzťahuje na prípady, keď sa dodatkom menia identifikačné a kontaktné údaje zmluvných strán (napr. adresa sídla, kontaktné osoby, číslo bankového účtu a pod.). V tomto prípade (zmene identifikačných a kontaktných údajov) je </w:t>
      </w:r>
      <w:r>
        <w:lastRenderedPageBreak/>
        <w:t>prijímateľ oprávnený predložiť takýto dodatok až po jeho podpise oboma zmluvnými stranami, teda nie je povinný ho predložiť na schválenie pred jeho podpisom.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 RO                  v rámci dodatku riešiaceho takúto mimoriadnu situáciu, prijímateľ zašle návrh dodatku, alebo už samotný podpísaný dodatok až po pominutí tejto mimoriadnej udalosti súčasne so zdôvodnením. Ak sa takáto situácia rieši v rámci priameho rokovacieho konania podľa § 81 ZVO, pričom výsledkom tohto postupu je nová zmluva, RO postupuje pri kontrole podľa príslušnej kapitoly.</w:t>
      </w:r>
    </w:p>
    <w:p w14:paraId="6A82EC79" w14:textId="77777777" w:rsidR="00B650E5" w:rsidRDefault="00B650E5">
      <w:pPr>
        <w:numPr>
          <w:ilvl w:val="0"/>
          <w:numId w:val="251"/>
        </w:numPr>
        <w:spacing w:before="120" w:after="120"/>
        <w:ind w:left="426" w:hanging="426"/>
        <w:jc w:val="both"/>
      </w:pPr>
      <w:r>
        <w:t xml:space="preserve">Pokiaľ prijímateľ plánuje upraviť existujúci zmluvný vzťah na základe priameho rokovacieho konania, je v tomto prípade povinný  predložiť na RO návrh oznámenia o zámere uzavrieť zmluvu </w:t>
      </w:r>
      <w:r w:rsidR="009A6FCC">
        <w:t xml:space="preserve">a odôvodnenie použitia priameho rokovacieho konania </w:t>
      </w:r>
      <w:r>
        <w:t xml:space="preserve">(viď. </w:t>
      </w:r>
      <w:hyperlink w:anchor="kapitola_33721" w:tooltip="kapitola 3.3.7.2.1" w:history="1">
        <w:r>
          <w:rPr>
            <w:rStyle w:val="Hypertextovprepojenie"/>
          </w:rPr>
          <w:t>kapitola 3.3.7.2.1</w:t>
        </w:r>
      </w:hyperlink>
      <w:r>
        <w:t>). Až po kontrole tohto oznámenia a posúdení oprávnenosti použitia priameho rokovacieho konania je prijímateľ oprávnený začať realizovať tento postup. Po uskutočnení rokovaní zasiela  prijímateľ na RO zápisnice z týchto rokovaní spolu s návrhom dodatku. Tento je ďalej predmetom kontroly RO, tak ako je ďalej popísané.</w:t>
      </w:r>
    </w:p>
    <w:p w14:paraId="3BB6D6F8" w14:textId="77777777" w:rsidR="00B650E5" w:rsidRDefault="00B650E5" w:rsidP="003120E4">
      <w:pPr>
        <w:numPr>
          <w:ilvl w:val="0"/>
          <w:numId w:val="251"/>
        </w:numPr>
        <w:spacing w:before="120" w:after="120"/>
        <w:ind w:left="426" w:hanging="426"/>
        <w:jc w:val="both"/>
      </w:pPr>
      <w:r>
        <w:t xml:space="preserve">Predmetom kontroly dodatkov je posúdenie ich súladu s príslušnými ustanoveniami ZVO, a to najmä ustanovením § 18 ZVO. Zároveň RO posudzuje zmeny z neho vyplývajúce po stránke ich súladu so schválenou ŽoNFP a účinnou zmluvou o NFP. </w:t>
      </w:r>
    </w:p>
    <w:p w14:paraId="7061A8FB" w14:textId="77777777" w:rsidR="00B650E5" w:rsidRDefault="00B650E5">
      <w:pPr>
        <w:numPr>
          <w:ilvl w:val="0"/>
          <w:numId w:val="251"/>
        </w:numPr>
        <w:spacing w:before="120" w:after="120"/>
        <w:ind w:left="426" w:hanging="426"/>
        <w:jc w:val="both"/>
      </w:pPr>
      <w:r>
        <w:t xml:space="preserve">Lehota na výkon kontroly návrhu dodatku je 15 pracovných dní. V prípade, že RO zašle prijímateľovi žiadosť o vysvetlenie, úpravu alebo doplnenie dodatku, určí v tejto žiadosti lehotu minimálne 5 pracovných dní a maximálne 10 pracovných dní na zaslanie tohto vysvetlenia, úpravy alebo doplnenia zo strany prijímateľa. Dňom odoslania žiadosti </w:t>
      </w:r>
      <w:r w:rsidR="009A6FCC">
        <w:t xml:space="preserve">sa prerušuje </w:t>
      </w:r>
      <w:r>
        <w:t xml:space="preserve">lehota na výkon kontroly. Dňom nasledujúcim po dni doručenia vysvetlenia, úpravy alebo doplnenia dokumentácie na RO </w:t>
      </w:r>
      <w:r w:rsidR="009A6FCC">
        <w:t xml:space="preserve">pokračuje plynutie </w:t>
      </w:r>
      <w:r>
        <w:t>lehot</w:t>
      </w:r>
      <w:r w:rsidR="009A6FCC">
        <w:t>y</w:t>
      </w:r>
      <w:r>
        <w:t xml:space="preserve"> na výkon finančnej kontroly VO.</w:t>
      </w:r>
    </w:p>
    <w:p w14:paraId="6D9C8A8F" w14:textId="77777777" w:rsidR="00B650E5" w:rsidRDefault="00B650E5">
      <w:pPr>
        <w:numPr>
          <w:ilvl w:val="0"/>
          <w:numId w:val="251"/>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14:paraId="297C8703" w14:textId="77777777" w:rsidR="00B650E5" w:rsidRDefault="00B650E5">
      <w:pPr>
        <w:numPr>
          <w:ilvl w:val="0"/>
          <w:numId w:val="251"/>
        </w:numPr>
        <w:spacing w:before="120" w:after="120"/>
        <w:ind w:left="426" w:hanging="426"/>
        <w:jc w:val="both"/>
      </w:pPr>
      <w:r>
        <w:t>Ak RO nezašle návrh správy z kontroly (v prípade zistení nedostatkov) alebo správu                    z kontroly (ak kontrolou neboli zistené nedostatky) vo vyššie uvedenej lehote, pričom RO kontrolu nepredĺžil a ani ju neprerušil, prijímateľ je oprávnený, ak je to relevantné, pozastaviť realizáciu hlavných aktivít projektu do času zaslania správy z  kontroly. Týmto ustanovením nie je dotknutá povinnosť RO vykonať kontrolu VO.</w:t>
      </w:r>
    </w:p>
    <w:p w14:paraId="295449B2" w14:textId="77777777" w:rsidR="00B650E5" w:rsidRPr="00530C13" w:rsidRDefault="00B650E5">
      <w:pPr>
        <w:numPr>
          <w:ilvl w:val="0"/>
          <w:numId w:val="251"/>
        </w:numPr>
        <w:spacing w:before="120" w:after="120"/>
        <w:ind w:left="426" w:hanging="426"/>
        <w:jc w:val="both"/>
      </w:pPr>
      <w:r>
        <w:t xml:space="preserve">Ak RO nezistí porušenie </w:t>
      </w:r>
      <w:r w:rsidR="00F8333A">
        <w:t>pravidiel</w:t>
      </w:r>
      <w:r>
        <w:t xml:space="preserve"> a postupov VO, resp. porušenie pravidiel a ustanovení  legislatívy SR a EÚ, záverom kontroly je súhlas RO s podpísaním dodatku verejného obstarávateľa  s dodávateľom. Tento súhlas predstavuje predpoklad k vydaniu záveru v rámci </w:t>
      </w:r>
      <w:r w:rsidRPr="00530C13">
        <w:t>následnej kontroly dodatku po jeho podpise. Ak RO zistí skutočnosti ovplyvňujúce posudzovanie oprávnenosti možných v</w:t>
      </w:r>
      <w:r w:rsidRPr="00305CCD">
        <w:t xml:space="preserve">ýdavkov predložených ďalej prijímateľom v rámci ŽoP (napr. na základe zistení vecnej kontroly VO), avšak nezistí  porušenie podľa prvej vety tohto odseku, v záveroch kontroly vydá súhlas s podpísaním dodatku, pričom v zisteniach uvedených </w:t>
      </w:r>
      <w:r w:rsidRPr="00530C13">
        <w:t>v </w:t>
      </w:r>
      <w:r w:rsidRPr="00530C13" w:rsidDel="00CD6BA7">
        <w:t xml:space="preserve"> </w:t>
      </w:r>
      <w:r w:rsidRPr="00530C13">
        <w:t>správe z kontroly uvedie všetky skutočnosti týkajúce sa takýchto zistení.</w:t>
      </w:r>
    </w:p>
    <w:p w14:paraId="219BEFB5" w14:textId="77777777" w:rsidR="00B650E5" w:rsidRDefault="00B650E5" w:rsidP="00FB5CAA">
      <w:pPr>
        <w:numPr>
          <w:ilvl w:val="0"/>
          <w:numId w:val="251"/>
        </w:numPr>
        <w:spacing w:before="120" w:after="120"/>
        <w:ind w:left="426" w:hanging="426"/>
        <w:jc w:val="both"/>
      </w:pPr>
      <w:r w:rsidRPr="00530C13">
        <w:t>Ak RO zistí porušenie</w:t>
      </w:r>
      <w:r>
        <w:t xml:space="preserve"> </w:t>
      </w:r>
      <w:r w:rsidR="00F8333A">
        <w:t>pravidiel</w:t>
      </w:r>
      <w:r>
        <w:t xml:space="preserve"> a postupov VO, resp. porušenie pravidiel a ustanovení  legislatívy SR a EÚ, záverom kontroly je nesúhlas RO s podpísaním dodatku verejného obstarávateľa,  s dodávateľom. Ak nezrealizovanie zmien vyplývajúcich z dodatku preukázateľne spôsobilo nemožnosť splnenia pôvodnej zmluvy, alebo by táto skutočnosť znamenala pre prijímateľa neprimerané ťažkosti, a ak aj napriek nesúhlasu RO prijímateľ takýto dodatok </w:t>
      </w:r>
      <w:r>
        <w:lastRenderedPageBreak/>
        <w:t>podpíše, je RO oprávnený následne postupovať v zmysle metodického pokynu</w:t>
      </w:r>
      <w:r>
        <w:rPr>
          <w:rStyle w:val="Odkaznapoznmkupodiarou"/>
        </w:rPr>
        <w:footnoteReference w:id="120"/>
      </w:r>
      <w:r>
        <w:t xml:space="preserve">, ktorý upravuje postup pri určení finančných opráv za VO určením návrhu </w:t>
      </w:r>
      <w:r w:rsidR="00FB1D18">
        <w:t>ex ante</w:t>
      </w:r>
      <w:r>
        <w:t xml:space="preserve"> finančnej opravy vzťahujúcej sa na konkrétne porušenie uvedené v tomto pokyne. </w:t>
      </w:r>
      <w:r w:rsidRPr="00FB5CAA">
        <w:t xml:space="preserve">Na </w:t>
      </w:r>
      <w:r>
        <w:t xml:space="preserve">kontrolu návrhu </w:t>
      </w:r>
      <w:r w:rsidRPr="00FB5CAA">
        <w:t xml:space="preserve">dodatku </w:t>
      </w:r>
      <w:r>
        <w:t>sa primerane</w:t>
      </w:r>
      <w:r w:rsidRPr="00FB5CAA">
        <w:t xml:space="preserve"> vzťahujú pravi</w:t>
      </w:r>
      <w:r>
        <w:t xml:space="preserve">dlá uvedené v kapitole </w:t>
      </w:r>
      <w:hyperlink w:anchor="kapitola_33722" w:history="1">
        <w:r w:rsidRPr="00764D0E">
          <w:rPr>
            <w:rStyle w:val="Hypertextovprepojenie"/>
          </w:rPr>
          <w:t>3.3.7.2.2</w:t>
        </w:r>
      </w:hyperlink>
      <w:r>
        <w:t xml:space="preserve"> s výnimkou tých častí, ktoré upravujú kontrolu nadlimitných zákaziek pred podpisom zmluvy zo strany ÚVO v zmysle § 169 ods. 2 ZVO</w:t>
      </w:r>
      <w:r w:rsidRPr="00FB5CAA">
        <w:t xml:space="preserve">. </w:t>
      </w:r>
    </w:p>
    <w:p w14:paraId="7647B583" w14:textId="77777777" w:rsidR="00B650E5" w:rsidRDefault="00B650E5">
      <w:pPr>
        <w:numPr>
          <w:ilvl w:val="0"/>
          <w:numId w:val="251"/>
        </w:numPr>
        <w:spacing w:before="120" w:after="120"/>
        <w:ind w:left="426" w:hanging="426"/>
        <w:jc w:val="both"/>
      </w:pPr>
      <w:r>
        <w:t>Po podpise dodatku s dodávateľom, ktorého návrh bol predmetom kontroly RO, zasiela prijímateľ tento dodatok na RO na jeho následnú kontrolu. Na predkladanie takéhoto dodatku a na jeho kontrolu sa primerané vzťahujú pravidlá uvedené v </w:t>
      </w:r>
      <w:r w:rsidRPr="000E286B">
        <w:t xml:space="preserve">kapitole </w:t>
      </w:r>
      <w:hyperlink w:anchor="kapitola_33724" w:history="1">
        <w:r w:rsidRPr="00764D0E">
          <w:rPr>
            <w:rStyle w:val="Hypertextovprepojenie"/>
          </w:rPr>
          <w:t>3.3.7.2</w:t>
        </w:r>
        <w:r>
          <w:rPr>
            <w:rStyle w:val="Hypertextovprepojenie"/>
          </w:rPr>
          <w:t>.</w:t>
        </w:r>
        <w:r w:rsidRPr="00510CDA">
          <w:rPr>
            <w:rStyle w:val="Hypertextovprepojenie"/>
          </w:rPr>
          <w:t>4</w:t>
        </w:r>
      </w:hyperlink>
      <w:r>
        <w:t xml:space="preserve">. </w:t>
      </w:r>
    </w:p>
    <w:p w14:paraId="380B5CB9" w14:textId="77777777" w:rsidR="00B650E5" w:rsidRDefault="00B650E5">
      <w:pPr>
        <w:numPr>
          <w:ilvl w:val="0"/>
          <w:numId w:val="251"/>
        </w:numPr>
        <w:spacing w:before="120" w:after="120"/>
        <w:ind w:left="426" w:hanging="426"/>
        <w:jc w:val="both"/>
      </w:pPr>
      <w:r>
        <w:t>Pokiaľ prijímateľ predloží na kontrolu dodatok, ktorý nebol predmetom kontroly pred jeho podpisom zo strany RO, môže byť toto považované za podstatné porušenie zmluvy o NFP. Pri jeho kontrole postupuje RO primerane podľa pravidiel uvedených v </w:t>
      </w:r>
      <w:r w:rsidRPr="000E286B">
        <w:t xml:space="preserve">kapitole </w:t>
      </w:r>
      <w:hyperlink w:anchor="kapitola_33723" w:history="1">
        <w:r w:rsidRPr="00764D0E">
          <w:rPr>
            <w:rStyle w:val="Hypertextovprepojenie"/>
          </w:rPr>
          <w:t>3.3.7.2.</w:t>
        </w:r>
        <w:r w:rsidRPr="00510CDA">
          <w:rPr>
            <w:rStyle w:val="Hypertextovprepojenie"/>
          </w:rPr>
          <w:t>3</w:t>
        </w:r>
      </w:hyperlink>
      <w:r>
        <w:t xml:space="preserve">. Pokiaľ RO pri kontrole tohto dodatku nezistí porušenie </w:t>
      </w:r>
      <w:r w:rsidR="00F8333A">
        <w:t>pravidiel</w:t>
      </w:r>
      <w:r>
        <w:t xml:space="preserve"> a postupov VO, resp. porušenie pravidiel a ustanovení legislatívy SR a EÚ, predmetný dodatok schváli. Pokiaľ RO pri kontrole takéhoto dodatku zistí porušenie </w:t>
      </w:r>
      <w:r w:rsidR="00F8333A">
        <w:t>pravidiel</w:t>
      </w:r>
      <w:r>
        <w:t xml:space="preserve"> a postupov VO, resp. porušenie pravidiel a ustanovení  legislatívy SR a EÚ, predmetný výdavok neschváli, čo znamená, že súvisiace výdavky vyplývajúce zo zmien tohto výdavku nebudú pripustené do 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w:t>
      </w:r>
      <w:r>
        <w:rPr>
          <w:rStyle w:val="Odkaznapoznmkupodiarou"/>
        </w:rPr>
        <w:footnoteReference w:id="121"/>
      </w:r>
      <w:r>
        <w:t xml:space="preserve">, ktorý upravuje postup pri určení finančných opráv za VO určením návrhu </w:t>
      </w:r>
      <w:r w:rsidR="00FB1D18">
        <w:t>ex ante</w:t>
      </w:r>
      <w:r>
        <w:t xml:space="preserve"> finančnej opravy vzťahujúcej sa na konkrétne porušenie uvedené v tomto pokyne.</w:t>
      </w:r>
    </w:p>
    <w:p w14:paraId="26F1020C" w14:textId="77777777" w:rsidR="00B650E5" w:rsidRDefault="00B650E5" w:rsidP="0045286B">
      <w:pPr>
        <w:pStyle w:val="SRK4"/>
      </w:pPr>
      <w:bookmarkStart w:id="405" w:name="_Toc386529573"/>
      <w:bookmarkStart w:id="406" w:name="_Toc390248465"/>
      <w:bookmarkStart w:id="407" w:name="_Toc453234044"/>
      <w:bookmarkStart w:id="408" w:name="_Toc501630095"/>
      <w:bookmarkStart w:id="409" w:name="kapitola_3373"/>
      <w:r>
        <w:t>3.3.7.3. Kontrola postupov pri obstarávaní zákazky, na ktorú sa ZVO nevzťahuje</w:t>
      </w:r>
      <w:bookmarkEnd w:id="405"/>
      <w:bookmarkEnd w:id="406"/>
      <w:bookmarkEnd w:id="407"/>
      <w:bookmarkEnd w:id="408"/>
      <w:r>
        <w:t xml:space="preserve">  </w:t>
      </w:r>
    </w:p>
    <w:bookmarkEnd w:id="409"/>
    <w:p w14:paraId="06E83BDD" w14:textId="77777777" w:rsidR="00B650E5" w:rsidRDefault="00B650E5" w:rsidP="00356A5B">
      <w:pPr>
        <w:numPr>
          <w:ilvl w:val="0"/>
          <w:numId w:val="252"/>
        </w:numPr>
        <w:spacing w:before="120" w:after="120"/>
        <w:ind w:left="426" w:hanging="426"/>
        <w:jc w:val="both"/>
      </w:pPr>
      <w:r>
        <w:t xml:space="preserve">RO je povinný overiť dodržanie základných princípov ustanovených v Zmluve o fungovaní EÚ aj v rámci zákaziek, na ktoré sa nevzťahuje povinnosť postupovať pri ich obstarávaní v zmysle ZVO. </w:t>
      </w:r>
      <w:r w:rsidR="008B7D1F">
        <w:t>Ide</w:t>
      </w:r>
      <w:r>
        <w:t xml:space="preserve"> o kontrolu postupov pri obstaraní zákazky, ktoré podliehajú výnimke v zmysle § 1 ods. 2 až 12 ZVO</w:t>
      </w:r>
      <w:r w:rsidRPr="00953734">
        <w:t xml:space="preserve"> </w:t>
      </w:r>
      <w:r>
        <w:t xml:space="preserve">a ďalej v ustanovení § 8 ods. 3 ZVO je upravená výnimka pre určité kategórie osôb, ktoré nie sú verejným obstarávateľom, ani obstarávateľom, a ktoré získali finančné prostriedky </w:t>
      </w:r>
      <w:r w:rsidR="009A6FCC">
        <w:t xml:space="preserve">               </w:t>
      </w:r>
      <w:r>
        <w:t xml:space="preserve">v rámci opatrení spoločnej organizácie poľnohospodárskych trhov alebo finančné prostriedky určené na podporu rozvoja vidieka, poľnohospodárskej prvovýroby, potravinárstva, lesného </w:t>
      </w:r>
      <w:r w:rsidR="009A6FCC">
        <w:t xml:space="preserve">                     </w:t>
      </w:r>
      <w:r>
        <w:t>a rybného hospodárstva podľa osobitných predpisov. Povinnosti a postupy pri realizácii a kontrole takýchto zákaziek upravil CKO v metodickom pokyne.</w:t>
      </w:r>
      <w:r>
        <w:rPr>
          <w:rStyle w:val="Odkaznapoznmkupodiarou"/>
        </w:rPr>
        <w:footnoteReference w:id="122"/>
      </w:r>
      <w:r>
        <w:t xml:space="preserve"> </w:t>
      </w:r>
    </w:p>
    <w:p w14:paraId="164D34ED" w14:textId="77777777" w:rsidR="00B650E5" w:rsidRDefault="00B650E5" w:rsidP="0045286B">
      <w:pPr>
        <w:pStyle w:val="SRK4"/>
      </w:pPr>
      <w:bookmarkStart w:id="410" w:name="_Toc386529575"/>
      <w:bookmarkStart w:id="411" w:name="_Toc390248467"/>
      <w:bookmarkStart w:id="412" w:name="_Toc453234045"/>
      <w:bookmarkStart w:id="413" w:name="_Toc501630096"/>
      <w:bookmarkStart w:id="414" w:name="kapitola_3374"/>
      <w:r>
        <w:t>3.3.7.4. Uplatňovanie spolupráce riadiacich orgánov s inými subjektmi v oblasti kontroly verejného obstarávania</w:t>
      </w:r>
      <w:bookmarkEnd w:id="410"/>
      <w:bookmarkEnd w:id="411"/>
      <w:bookmarkEnd w:id="412"/>
      <w:bookmarkEnd w:id="413"/>
    </w:p>
    <w:bookmarkEnd w:id="414"/>
    <w:p w14:paraId="2AF41EF2" w14:textId="77777777" w:rsidR="00B650E5" w:rsidRDefault="00B650E5">
      <w:pPr>
        <w:numPr>
          <w:ilvl w:val="0"/>
          <w:numId w:val="253"/>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14:paraId="72540240" w14:textId="77777777" w:rsidR="00B650E5" w:rsidRDefault="00B650E5">
      <w:pPr>
        <w:numPr>
          <w:ilvl w:val="0"/>
          <w:numId w:val="253"/>
        </w:numPr>
        <w:spacing w:before="120" w:after="120"/>
        <w:ind w:left="426" w:hanging="426"/>
        <w:jc w:val="both"/>
      </w:pPr>
      <w:r>
        <w:t xml:space="preserve">Je dôležité, aby RO v súvislosti s plnením svojich úloh v oblasti poskytovania príspevkov mali zabezpečenú dostatočne kvalifikovanú, efektívnu a účinnú podporu. Zabezpečenie takejto </w:t>
      </w:r>
      <w:r>
        <w:lastRenderedPageBreak/>
        <w:t>podpory činnosťou kompetentných ústredných orgánov štátnej správy má prostredníctvom účinnej spolupráce prispieť k efektívnejšiemu výkonu činností  RO v rámci finančnej kontroly VO. Taktiež má táto spolupráca pomôcť RO identifikovať možné obmedzenia čestnej hospodárskej súťaže alebo iné nezákonné praktiky pri realizácii VO a následné prešetrenie, resp. prekonzultovanie týchto podozrení s týmito orgánmi.</w:t>
      </w:r>
    </w:p>
    <w:p w14:paraId="1BE75760" w14:textId="77777777" w:rsidR="00B650E5" w:rsidRDefault="00B650E5">
      <w:pPr>
        <w:numPr>
          <w:ilvl w:val="0"/>
          <w:numId w:val="253"/>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14:paraId="150FB6C0" w14:textId="77777777" w:rsidR="00B650E5" w:rsidRDefault="00B650E5">
      <w:pPr>
        <w:numPr>
          <w:ilvl w:val="0"/>
          <w:numId w:val="253"/>
        </w:numPr>
        <w:spacing w:before="120" w:after="120"/>
        <w:ind w:left="426" w:hanging="426"/>
        <w:jc w:val="both"/>
      </w:pPr>
      <w:r>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w:t>
      </w:r>
    </w:p>
    <w:p w14:paraId="16E2920F" w14:textId="77777777" w:rsidR="00B650E5" w:rsidRDefault="00B650E5">
      <w:pPr>
        <w:numPr>
          <w:ilvl w:val="0"/>
          <w:numId w:val="253"/>
        </w:numPr>
        <w:spacing w:before="120" w:after="120"/>
        <w:ind w:left="426" w:hanging="426"/>
        <w:jc w:val="both"/>
      </w:pPr>
      <w:r>
        <w:t xml:space="preserve">Spolupráca a súčinnosť s orgánmi činnými v trestnom konaní je vykonávaná v zmysle príslušných ustanovení Trestného poriadku. </w:t>
      </w:r>
    </w:p>
    <w:p w14:paraId="0D0A06AB" w14:textId="77777777" w:rsidR="00B650E5" w:rsidRDefault="00B650E5">
      <w:pPr>
        <w:numPr>
          <w:ilvl w:val="0"/>
          <w:numId w:val="253"/>
        </w:numPr>
        <w:spacing w:before="120" w:after="120"/>
        <w:ind w:left="426" w:hanging="426"/>
        <w:jc w:val="both"/>
      </w:pPr>
      <w:r>
        <w:t>RO sú oprávnené v rámci kontroly jedného VO využiť spoluprácu aj viacerých z uvedených subjektov.</w:t>
      </w:r>
    </w:p>
    <w:p w14:paraId="54AE90F5" w14:textId="77777777" w:rsidR="00B650E5" w:rsidRDefault="00B650E5">
      <w:pPr>
        <w:numPr>
          <w:ilvl w:val="0"/>
          <w:numId w:val="253"/>
        </w:numPr>
        <w:spacing w:before="120" w:after="120"/>
        <w:ind w:left="426" w:hanging="426"/>
        <w:jc w:val="both"/>
      </w:pPr>
      <w:r>
        <w:t xml:space="preserve">Postupy, pravidlá a povinnosti týkajúce sa spolupráce s inými subjektmi v oblasti finančnej kontroly VO, vyplývajúce z tejto kapitoly Systému riadenia EŠIF nadobudnú platnosť a účinnosť uzavretím uvádzaných dohôd o spolupráci. Do doby uzavretia týchto dohôd postupuje RO v prípade potreby spolupráce s týmito subjektmi v zmysle príslušných ustanovení zákonov upravujúcich danú oblasť (napr. ZVO, zákon o ochrane hospodárskej súťaže, Trestný poriadok). </w:t>
      </w:r>
    </w:p>
    <w:p w14:paraId="47FBE1BE" w14:textId="77777777" w:rsidR="00B650E5" w:rsidRDefault="00B650E5">
      <w:pPr>
        <w:numPr>
          <w:ilvl w:val="0"/>
          <w:numId w:val="253"/>
        </w:numPr>
        <w:spacing w:before="120" w:after="120"/>
        <w:ind w:left="426" w:hanging="426"/>
        <w:jc w:val="both"/>
      </w:pPr>
      <w:r>
        <w:t>Zároveň je potrebné, aby rozsah uplatňovania tejto spolupráce bol jednotným spôsobom upravený, čím sa zabezpečí efektívna spolupráca a táto bude zameraná na skutočne rizikové alebo problematické VO. K tomuto účelu bude RO povinný využívať analýzu rizík a RO bude zároveň povinný pri kontrole VO zohľadňovať a skúmať prítomnosť tzv. rizikových indikátorov („red flags“).</w:t>
      </w:r>
    </w:p>
    <w:p w14:paraId="25100E97" w14:textId="77777777" w:rsidR="00B650E5" w:rsidRDefault="00B650E5">
      <w:pPr>
        <w:numPr>
          <w:ilvl w:val="0"/>
          <w:numId w:val="253"/>
        </w:numPr>
        <w:spacing w:before="120" w:after="120"/>
        <w:ind w:left="426" w:hanging="426"/>
        <w:jc w:val="both"/>
      </w:pPr>
      <w:r>
        <w:t xml:space="preserve">Lehota na výkon finančnej kontroly VO do doručenia výsledku tejto spolupráce neplynie, pričom dňom doručenia tohto výsledku na RO, plynie RO nová lehota na výkon kontroly. Pokiaľ povaha spolupráce s niektorými z uvedených subjektov je taká, že si vyžaduje zachovanie mlčanlivosti, je RO povinný dodržať túto povinnosť, či už sa týka komunikácie s prijímateľom, s tretími osobami nepodieľajúcimi sa na výkone kontroly alebo aj v rámci vlastného organizačného úseku. </w:t>
      </w:r>
    </w:p>
    <w:p w14:paraId="740C8527" w14:textId="77777777" w:rsidR="00B650E5" w:rsidRDefault="00B650E5">
      <w:pPr>
        <w:pStyle w:val="SRK5"/>
      </w:pPr>
      <w:bookmarkStart w:id="415" w:name="_Toc386529576"/>
      <w:bookmarkStart w:id="416" w:name="_Toc390248468"/>
      <w:bookmarkStart w:id="417" w:name="_Toc453234046"/>
      <w:bookmarkStart w:id="418" w:name="_Toc501630097"/>
      <w:bookmarkStart w:id="419" w:name="kapitola_33741"/>
      <w:r>
        <w:t>3.3.7.4.1 Spolupráca s ÚVO</w:t>
      </w:r>
      <w:bookmarkEnd w:id="415"/>
      <w:bookmarkEnd w:id="416"/>
      <w:bookmarkEnd w:id="417"/>
      <w:bookmarkEnd w:id="418"/>
      <w:r>
        <w:t xml:space="preserve"> </w:t>
      </w:r>
    </w:p>
    <w:p w14:paraId="1F5D2241" w14:textId="77777777" w:rsidR="00B650E5" w:rsidRDefault="00B650E5">
      <w:pPr>
        <w:pStyle w:val="SRK5"/>
      </w:pPr>
      <w:bookmarkStart w:id="420" w:name="_Toc453234047"/>
      <w:bookmarkStart w:id="421" w:name="_Toc501630098"/>
      <w:bookmarkEnd w:id="419"/>
      <w:r>
        <w:t>3.3.7.4.1.1 Analýza rizík kontrolovaného verejného obstarávania a následný postup</w:t>
      </w:r>
      <w:bookmarkEnd w:id="420"/>
      <w:bookmarkEnd w:id="421"/>
    </w:p>
    <w:p w14:paraId="52F7DF78" w14:textId="77777777" w:rsidR="00B650E5" w:rsidRDefault="00B650E5">
      <w:pPr>
        <w:numPr>
          <w:ilvl w:val="0"/>
          <w:numId w:val="254"/>
        </w:numPr>
        <w:spacing w:before="120" w:after="120"/>
        <w:ind w:left="426" w:hanging="426"/>
        <w:jc w:val="both"/>
      </w:pPr>
      <w:r>
        <w:t xml:space="preserve">Analýza rizík podlimitných zákaziek bez využitia elektronického trhoviska (na účely tejto kapitoly ďalej len „analýza rizík“) je nástroj, ktorý by mal identifikovať riziko VO z pohľadu potrebnej spolupráce s ÚVO. Sústredením odbornej podpory ÚVO na rizikové VO bude zabezpečený zvýšený dohľad na zákazky s potenciálne vyššou mierou chybovosti. Zároveň týmto nástrojom bude eliminované neprimerané zaťaženie ÚVO v rámci žiadostí o kontrolu VO, ktoré nepredstavujú zvýšené riziko z pohľadu ich zložitosti alebo chybovosti a súčasne tak nebude dochádzať k neprimeraným predĺženiam výkonu kontroly. </w:t>
      </w:r>
    </w:p>
    <w:p w14:paraId="0A44DFDB" w14:textId="77777777" w:rsidR="00B650E5" w:rsidRDefault="00B650E5">
      <w:pPr>
        <w:numPr>
          <w:ilvl w:val="0"/>
          <w:numId w:val="254"/>
        </w:numPr>
        <w:spacing w:before="120" w:after="120"/>
        <w:ind w:left="426" w:hanging="426"/>
        <w:jc w:val="both"/>
      </w:pPr>
      <w:r w:rsidRPr="00FC1D1C">
        <w:t xml:space="preserve">Analýza rizík sa týka iba štandardnej </w:t>
      </w:r>
      <w:r w:rsidR="00FB1D18">
        <w:t>ex post</w:t>
      </w:r>
      <w:r w:rsidRPr="00FC1D1C">
        <w:t xml:space="preserve"> kontroly podlimitných zákaziek</w:t>
      </w:r>
      <w:r>
        <w:t xml:space="preserve"> bez využitia elektronického trhoviska, </w:t>
      </w:r>
      <w:r w:rsidR="00C93F30" w:rsidRPr="00556762">
        <w:t>keďže</w:t>
      </w:r>
      <w:r w:rsidRPr="005E60EF">
        <w:t xml:space="preserve"> kont</w:t>
      </w:r>
      <w:r>
        <w:t>rola nadlimitných zákaziek je upravená v ustanovení</w:t>
      </w:r>
      <w:r w:rsidRPr="00FC1D1C">
        <w:t xml:space="preserve"> </w:t>
      </w:r>
      <w:r>
        <w:t xml:space="preserve">                    </w:t>
      </w:r>
      <w:r w:rsidRPr="00FC1D1C">
        <w:t xml:space="preserve">§ 169 ods. 2 ZVO. </w:t>
      </w:r>
      <w:r>
        <w:t xml:space="preserve">V prípade, že RO určil ako povinnú druhú </w:t>
      </w:r>
      <w:r w:rsidR="00FB1D18">
        <w:t>ex ante</w:t>
      </w:r>
      <w:r>
        <w:t xml:space="preserve"> kontrolu aj v prípade podlimitných zákaziek, vykonáva analýzu rizík aj v prípade druhej </w:t>
      </w:r>
      <w:r w:rsidR="00FB1D18">
        <w:t>ex ante</w:t>
      </w:r>
      <w:r>
        <w:t xml:space="preserve"> kontroly podlimitných zákaziek. V ostatných druhoch finančnej kontroly VO, uvedených v </w:t>
      </w:r>
      <w:hyperlink w:anchor="kapitola_3372" w:tooltip="kapitole 3.3.7.2" w:history="1">
        <w:r>
          <w:rPr>
            <w:rStyle w:val="Hypertextovprepojenie"/>
          </w:rPr>
          <w:t>kapitole 3.3.7.2</w:t>
        </w:r>
      </w:hyperlink>
      <w:r>
        <w:t xml:space="preserve"> je RO oprávnený využiť spoluprácu s ÚVO inými spôsobmi uvedenými v </w:t>
      </w:r>
      <w:hyperlink w:anchor="kapitola_337412" w:tooltip="kapitole 3.3.7.4.1.2" w:history="1">
        <w:r>
          <w:rPr>
            <w:rStyle w:val="Hypertextovprepojenie"/>
          </w:rPr>
          <w:t>kapitole 3.3.7.4.1.2</w:t>
        </w:r>
      </w:hyperlink>
      <w:r>
        <w:rPr>
          <w:rStyle w:val="Hypertextovprepojenie"/>
        </w:rPr>
        <w:t>.</w:t>
      </w:r>
      <w:r>
        <w:t xml:space="preserve"> Ak RO už pri výkone analýzy rizík identifikuje také závažné porušenia ZVO, ktoré by v každom prípade </w:t>
      </w:r>
      <w:r>
        <w:lastRenderedPageBreak/>
        <w:t xml:space="preserve">mali za následok </w:t>
      </w:r>
      <w:r>
        <w:rPr>
          <w:b/>
        </w:rPr>
        <w:t>neschválenie</w:t>
      </w:r>
      <w:r>
        <w:t xml:space="preserve"> predmetného VO z jeho strany, je oprávnený tento záver premietnuť do svojej kontroly a predmetné VO nezasielať na kontrolu ÚVO.</w:t>
      </w:r>
    </w:p>
    <w:p w14:paraId="0F4C7F32" w14:textId="77777777" w:rsidR="00B650E5" w:rsidRDefault="00B650E5">
      <w:pPr>
        <w:numPr>
          <w:ilvl w:val="0"/>
          <w:numId w:val="254"/>
        </w:numPr>
        <w:spacing w:before="120" w:after="120"/>
        <w:ind w:left="426" w:hanging="426"/>
        <w:jc w:val="both"/>
      </w:pPr>
      <w:r>
        <w:t>Povinnosť RO aplikovať pri spolupráci v rámci dohody s ÚVO analýzu rizík a pravidlá v zmysle predošlého odseku sa nevzťahujú ani na nasledovné situácie:</w:t>
      </w:r>
    </w:p>
    <w:p w14:paraId="04B86235" w14:textId="77777777" w:rsidR="00B650E5" w:rsidRDefault="00B650E5">
      <w:pPr>
        <w:pStyle w:val="Odsekzoznamu"/>
        <w:numPr>
          <w:ilvl w:val="0"/>
          <w:numId w:val="255"/>
        </w:numPr>
        <w:spacing w:before="120" w:after="120"/>
        <w:ind w:left="851" w:hanging="425"/>
        <w:contextualSpacing w:val="0"/>
        <w:jc w:val="both"/>
      </w:pPr>
      <w:r>
        <w:t>postup RO podľa § 41 zákona o príspevku z EŠIF,</w:t>
      </w:r>
    </w:p>
    <w:p w14:paraId="309C31D8" w14:textId="77777777" w:rsidR="00B650E5" w:rsidRDefault="00B650E5">
      <w:pPr>
        <w:pStyle w:val="Odsekzoznamu"/>
        <w:numPr>
          <w:ilvl w:val="0"/>
          <w:numId w:val="255"/>
        </w:numPr>
        <w:spacing w:before="120" w:after="120"/>
        <w:ind w:left="851" w:hanging="425"/>
        <w:contextualSpacing w:val="0"/>
        <w:jc w:val="both"/>
      </w:pPr>
      <w:r>
        <w:t>VO, v rámci ktorého existuje mediálny podnet, ktorý indikuje možné vážne porušenia ZVO,</w:t>
      </w:r>
    </w:p>
    <w:p w14:paraId="7330F3D9" w14:textId="77777777" w:rsidR="00B650E5" w:rsidRDefault="00B650E5">
      <w:pPr>
        <w:pStyle w:val="Odsekzoznamu"/>
        <w:numPr>
          <w:ilvl w:val="0"/>
          <w:numId w:val="255"/>
        </w:numPr>
        <w:spacing w:before="120" w:after="120"/>
        <w:ind w:left="851" w:hanging="425"/>
        <w:contextualSpacing w:val="0"/>
        <w:jc w:val="both"/>
      </w:pPr>
      <w:r>
        <w:t>v rámci daného VO už bola zo strany ÚVO vykonaná kontrola podľa § 169 ods. 3 ZVO (napr. v prípade, že prijímateľ dá podnet na kontrolu sám na seba alebo o kontrolu požiadal iný RO).</w:t>
      </w:r>
    </w:p>
    <w:p w14:paraId="3807B781" w14:textId="77777777" w:rsidR="00B650E5" w:rsidRDefault="00B650E5">
      <w:pPr>
        <w:pStyle w:val="Odsekzoznamu"/>
        <w:numPr>
          <w:ilvl w:val="0"/>
          <w:numId w:val="255"/>
        </w:numPr>
        <w:spacing w:before="120" w:after="120"/>
        <w:ind w:left="851" w:hanging="425"/>
        <w:contextualSpacing w:val="0"/>
        <w:jc w:val="both"/>
      </w:pPr>
      <w:r>
        <w:t xml:space="preserve">podlimitné VO, v rámci ktorého bola predložená iba jedna ponuka a/alebo RO identifikuje také závažné porušenia ZVO, ktoré by v každom prípade mali za následok </w:t>
      </w:r>
      <w:r>
        <w:rPr>
          <w:b/>
        </w:rPr>
        <w:t>neschválenie</w:t>
      </w:r>
      <w:r>
        <w:t xml:space="preserve"> VO z jeho strany. RO je v prípade identifikovania týchto závažných porušení ZVO oprávnený tento záver premietnuť do svojej kontroly a predmetné VO nezasielať na kontrolu ÚVO.</w:t>
      </w:r>
    </w:p>
    <w:p w14:paraId="1B17AA74" w14:textId="77777777" w:rsidR="00B650E5" w:rsidRDefault="00B650E5">
      <w:pPr>
        <w:pStyle w:val="Odsekzoznamu"/>
        <w:numPr>
          <w:ilvl w:val="0"/>
          <w:numId w:val="255"/>
        </w:numPr>
        <w:spacing w:before="120" w:after="120"/>
        <w:ind w:left="851" w:hanging="425"/>
        <w:contextualSpacing w:val="0"/>
        <w:jc w:val="both"/>
      </w:pPr>
      <w:r>
        <w:t xml:space="preserve">Nadlimitná zákazka verejného obstarávania, </w:t>
      </w:r>
      <w:r w:rsidR="0024412C">
        <w:t>ktorá nebola predmetom výkonu kontroly pred uzavretím zmluvy, koncesnej zmluvy alebo rámcovej dohody, pred ukončením súťaže návrhov, pred zadaním zákazky na základe rámcovej dohody alebo pred ukončením postupu inovatívneho partnerstva</w:t>
      </w:r>
      <w:r w:rsidR="0024412C" w:rsidDel="0024412C">
        <w:t xml:space="preserve"> </w:t>
      </w:r>
      <w:r>
        <w:t xml:space="preserve">podľa § 169 ods. 2 ZVO. </w:t>
      </w:r>
    </w:p>
    <w:p w14:paraId="75F2EEC4" w14:textId="77777777" w:rsidR="00B650E5" w:rsidRDefault="00B650E5" w:rsidP="00DE5D89">
      <w:pPr>
        <w:spacing w:before="120" w:after="120"/>
        <w:ind w:left="426"/>
        <w:jc w:val="both"/>
      </w:pPr>
      <w:r>
        <w:t>V týchto prípadoch teda RO, okrem prípadu v písm. c), požiada ÚVO o kontrolu VO. V prípadoch pod písm. b), d)</w:t>
      </w:r>
      <w:r w:rsidR="0024412C">
        <w:t xml:space="preserve"> </w:t>
      </w:r>
      <w:r>
        <w:t xml:space="preserve">podá RO podnet na ÚVO iba v prípade, ak ÚVO nevydal rozhodnutie na základe podnetu podľa § 169 ods. 2 ZVO. V prípade uvedenom pod písmenom d), </w:t>
      </w:r>
      <w:r w:rsidR="00C93F30">
        <w:t xml:space="preserve">t. j. </w:t>
      </w:r>
      <w:r>
        <w:t xml:space="preserve"> ak bola v rámci VO predložená iba 1 ponuka, je RO povinný zasielať dokumentáciu na kontrolu ÚVO iba vtedy, ak sa podľa predpokladanej hodnoty zákazky jedná o zákazku v hodnote vyššej ako 40 tisíc EUR bez DPH. Ak sa jedná o zákazku realizovanú cez EKS, má RO možnosť zaslať uvedenú zákazku na kontrolu na ÚVO, v prípade že je splnený limit podľa predchádzajúcej vety. RO bezodkladne po predložení dokumentácie ku kontrole VO zo strany prijímateľa vykoná analýzu rizík. Pokiaľ sú nedostatky tejto dokumentácie takého charakteru, že RO nevie vykonať analýzu rizík (pretože nevie odpovedať na všetky otázky), RO je povinný vykonať analýzu rizík bezodkladne po doručení dokumentácie, ktorú si vyžiadal na doplnenie. Rovnako, pokiaľ počas kontroly zistí nové skutočnosti, ktoré môžu ovplyvniť výsledok analýzy rizík, vykoná túto analýzu opätovne. RO zodpovedá za korektné vyplnenie kontrolného listu analýzy rizík a všetky údaje a odpovede v nej uvedené, musia byť v súlade so skutočnosťami uvedenými v predmetnom VO. Výsledný záznam z vykonania analýzy rizík zasiela RO spolu so žiadosťou o spoluprácu ÚVO.</w:t>
      </w:r>
    </w:p>
    <w:p w14:paraId="03BED21D" w14:textId="77777777" w:rsidR="00B650E5" w:rsidRDefault="00B650E5">
      <w:pPr>
        <w:numPr>
          <w:ilvl w:val="0"/>
          <w:numId w:val="254"/>
        </w:numPr>
        <w:spacing w:before="120" w:after="120"/>
        <w:ind w:left="426" w:hanging="426"/>
        <w:jc w:val="both"/>
      </w:pPr>
      <w:r>
        <w:t>Vzorové kontrolné listy analýzy rizík, kontrolné otázky, záznam z analýzy rizík a hodnotiaci kľúč vypracuje RO na základe vzorovej analýzy rizík</w:t>
      </w:r>
      <w:r>
        <w:rPr>
          <w:rStyle w:val="Odkaznapoznmkupodiarou"/>
        </w:rPr>
        <w:footnoteReference w:id="123"/>
      </w:r>
      <w:r>
        <w:t xml:space="preserve">, ktorá má pre RO odporúčací charakter. Konečnú zodpovednosť za rozsah kontrolných otázok a hodnotiaceho kľúča nesie RO, </w:t>
      </w:r>
      <w:r w:rsidR="00C93F30">
        <w:t>keďže</w:t>
      </w:r>
      <w:r>
        <w:t xml:space="preserve"> je tým zabezpečované zohľadnenie špecifík jednotlivých operačných programov. </w:t>
      </w:r>
      <w:r>
        <w:rPr>
          <w:lang w:eastAsia="en-US"/>
        </w:rPr>
        <w:t>Práve indikatívny rámec vzorovej analýzy rizík umožňuje pristúpiť k rozdielom, ktoré spočívajú v rozdielnych predmetoch zákaziek v rámci OP, v prítomnosti rôznych postupov vo verejnom obstarávaní a v rozdielnom rozvrstvení zákaziek.</w:t>
      </w:r>
      <w:r>
        <w:t xml:space="preserve"> </w:t>
      </w:r>
    </w:p>
    <w:p w14:paraId="4A8F4E38" w14:textId="77777777" w:rsidR="00B650E5" w:rsidRDefault="00B650E5">
      <w:pPr>
        <w:numPr>
          <w:ilvl w:val="0"/>
          <w:numId w:val="254"/>
        </w:numPr>
        <w:spacing w:before="120" w:after="120"/>
        <w:ind w:left="426" w:hanging="426"/>
        <w:jc w:val="both"/>
      </w:pPr>
      <w:r>
        <w:t xml:space="preserve">Výsledok analýzy rizík je bodové hodnotenie, ktoré v zmysle hodnotiaceho kľúča zaradí kontrolované VO nasledovne: </w:t>
      </w:r>
    </w:p>
    <w:p w14:paraId="76B89035" w14:textId="77777777" w:rsidR="00B650E5" w:rsidRDefault="00B650E5">
      <w:pPr>
        <w:numPr>
          <w:ilvl w:val="0"/>
          <w:numId w:val="50"/>
        </w:numPr>
        <w:spacing w:before="120" w:after="120"/>
        <w:ind w:left="851" w:hanging="425"/>
        <w:jc w:val="both"/>
      </w:pPr>
      <w:r>
        <w:t>VO nepredstavuje zvýšené riziko = RO nie je oprávnený zaslať VO na kontrolu ÚVO,</w:t>
      </w:r>
    </w:p>
    <w:p w14:paraId="2181479A" w14:textId="77777777" w:rsidR="00B650E5" w:rsidRDefault="00B650E5">
      <w:pPr>
        <w:numPr>
          <w:ilvl w:val="0"/>
          <w:numId w:val="50"/>
        </w:numPr>
        <w:spacing w:before="120" w:after="120"/>
        <w:ind w:left="851" w:hanging="425"/>
        <w:jc w:val="both"/>
      </w:pPr>
      <w:r>
        <w:lastRenderedPageBreak/>
        <w:t>VO predstavuje určité riziko = RO je oprávnené zaslať VO na kontrolu ÚVO,</w:t>
      </w:r>
    </w:p>
    <w:p w14:paraId="77A4ACA5" w14:textId="77777777" w:rsidR="00B650E5" w:rsidRDefault="00B650E5">
      <w:pPr>
        <w:numPr>
          <w:ilvl w:val="0"/>
          <w:numId w:val="50"/>
        </w:numPr>
        <w:spacing w:before="120" w:after="120"/>
        <w:ind w:left="851" w:hanging="425"/>
        <w:jc w:val="both"/>
      </w:pPr>
      <w:r>
        <w:t>VO predstavuje zvýšené riziko = RO je povinné zaslať VO na kontrolu ÚVO.</w:t>
      </w:r>
      <w:r>
        <w:tab/>
      </w:r>
    </w:p>
    <w:p w14:paraId="03801DA5" w14:textId="77777777" w:rsidR="00B650E5" w:rsidRDefault="00B650E5">
      <w:pPr>
        <w:numPr>
          <w:ilvl w:val="0"/>
          <w:numId w:val="254"/>
        </w:numPr>
        <w:spacing w:before="120" w:after="120"/>
        <w:ind w:left="426" w:hanging="426"/>
        <w:jc w:val="both"/>
      </w:pPr>
      <w:r>
        <w:t xml:space="preserve">Samotný výsledok analýzy rizík nemá vplyv na závery finančnej kontroly VO, </w:t>
      </w:r>
      <w:r w:rsidR="00C93F30">
        <w:t>keďže</w:t>
      </w:r>
      <w:r>
        <w:t xml:space="preserve"> RO môže aj pri nerizikových VO objaviť závažné nedostatky a naopak. Predstavuje ale záväzné závery pre aplikáciu spolupráce s ÚVO v zmysle dohody o spolupráci.</w:t>
      </w:r>
    </w:p>
    <w:p w14:paraId="64FE0567" w14:textId="77777777" w:rsidR="00B650E5" w:rsidRDefault="00B650E5">
      <w:pPr>
        <w:numPr>
          <w:ilvl w:val="0"/>
          <w:numId w:val="254"/>
        </w:numPr>
        <w:spacing w:before="120" w:after="120"/>
        <w:ind w:left="426" w:hanging="426"/>
        <w:jc w:val="both"/>
      </w:pPr>
      <w:r>
        <w:t>V prípade výsledku analýzy „VO predstavuje určité riziko“ je na zvážení RO, či v rámci daného VO požiada ÚVO o vykonanie kontroly. V prípade výsledkov analýzy rizík „VO nepredstavuje zvýšené riziko“ a „VO predstavuje určité riziko“ je RO v prípade pochybností o správnosti postupu prijímateľa v procese VO oprávnený využiť iné formy spolupráce s ÚVO uvedené v </w:t>
      </w:r>
      <w:r w:rsidRPr="000E286B">
        <w:t xml:space="preserve">kapitole 3.3.7.4.1.2 ods. </w:t>
      </w:r>
      <w:r>
        <w:t xml:space="preserve">4. Pokiaľ je RO podľa výsledku analýzy rizík povinný alebo oprávnený požiadať o vykonanie kontroly, túto žiadosť spolu so záznamom z vykonania analýzy rizík zašle bezodkladne po vykonaní analýzy rizík písomne na ÚVO. O uvedenej skutočnosti zároveň informuje prijímateľa. Dokumentáciu RO na kontrolu ÚVO nepredkladá, </w:t>
      </w:r>
      <w:r w:rsidR="00C93F30">
        <w:t>keďže</w:t>
      </w:r>
      <w:r>
        <w:t xml:space="preserve"> ÚVO svoju kontrolu vykonáva na základe originálnej dokumentácie z procesu VO, ktorú si vyžiada od prijímateľa.</w:t>
      </w:r>
    </w:p>
    <w:p w14:paraId="00221EAF" w14:textId="77777777" w:rsidR="00B650E5" w:rsidRPr="00530C13" w:rsidRDefault="00B650E5">
      <w:pPr>
        <w:numPr>
          <w:ilvl w:val="0"/>
          <w:numId w:val="254"/>
        </w:numPr>
        <w:spacing w:before="120" w:after="120"/>
        <w:ind w:left="426" w:hanging="426"/>
        <w:jc w:val="both"/>
      </w:pPr>
      <w:r>
        <w:t xml:space="preserve">Výsledkom takejto spolupráce s ÚVO v rámci druhej </w:t>
      </w:r>
      <w:r w:rsidR="00FB1D18">
        <w:t>ex ante</w:t>
      </w:r>
      <w:r>
        <w:t xml:space="preserve"> kontroly alebo ex</w:t>
      </w:r>
      <w:r w:rsidR="0024412C">
        <w:t>-</w:t>
      </w:r>
      <w:r>
        <w:t xml:space="preserve">post kontroly je konanie o preskúmanie úkonov kontrolovaného (prijímateľa, budúceho žiadateľa) podľa § 169 ods. 1 v spojení s ods. 2 alebo ods. 3 ZVO. ÚVO o začatí tejto kontroly informuje RO. Výsledkom konania ÚVO je rozhodnutie, ktoré predstavuje podklad, ktorý RO zohľadňuje             v záveroch návrhu správy/správy z finančnej kontroly VO a v kontrolnom zozname. V prípade, že rozhodnutie ÚVO vydané v rámci výkonu </w:t>
      </w:r>
      <w:r w:rsidR="00FB1D18">
        <w:t>ex post</w:t>
      </w:r>
      <w:r>
        <w:t xml:space="preserve"> kontroly neidentifikuje porušenie ZVO, ktoré na základe výsledkov finančnej kontroly RO malo alebo mohlo mať vplyv na výsledok </w:t>
      </w:r>
      <w:r w:rsidRPr="00530C13">
        <w:t>VO,</w:t>
      </w:r>
      <w:r>
        <w:t xml:space="preserve"> </w:t>
      </w:r>
      <w:r w:rsidRPr="00530C13">
        <w:t xml:space="preserve">napr. </w:t>
      </w:r>
      <w:r>
        <w:t xml:space="preserve">sa jedná o zistenie z </w:t>
      </w:r>
      <w:r w:rsidRPr="00530C13">
        <w:t>aud</w:t>
      </w:r>
      <w:r w:rsidRPr="00305CCD">
        <w:t>it</w:t>
      </w:r>
      <w:r>
        <w:t>ov</w:t>
      </w:r>
      <w:r w:rsidRPr="00305CCD">
        <w:t xml:space="preserve"> EK/EDA alebo judikatúry ESD), je RO oprávnený nepremietnuť tieto závery kontroly ÚVO do svojich záverov a tieto porušenia uviesť ako svoje zistenia </w:t>
      </w:r>
      <w:r>
        <w:t xml:space="preserve">v návrhu správy z kontroly </w:t>
      </w:r>
      <w:r w:rsidRPr="00530C13">
        <w:t>a v kontrolnom zozname. Zároveň v týchto dokumentoch uvedie RO túto skutočnosť a  zdôvodnenie takéhoto postupu.</w:t>
      </w:r>
    </w:p>
    <w:p w14:paraId="37FFC005" w14:textId="77777777" w:rsidR="00B650E5" w:rsidRDefault="00B650E5">
      <w:pPr>
        <w:numPr>
          <w:ilvl w:val="0"/>
          <w:numId w:val="254"/>
        </w:numPr>
        <w:spacing w:before="120" w:after="120"/>
        <w:ind w:left="426" w:hanging="426"/>
        <w:jc w:val="both"/>
      </w:pPr>
      <w:r w:rsidRPr="00530C13">
        <w:t xml:space="preserve">RO po </w:t>
      </w:r>
      <w:r>
        <w:t xml:space="preserve">podaní podnetu </w:t>
      </w:r>
      <w:r w:rsidRPr="00530C13">
        <w:t>na ÚVO pokračuje ďalej vo svojej kontrole a zároveň čaká na výsled</w:t>
      </w:r>
      <w:r>
        <w:t>ok konania ÚVO</w:t>
      </w:r>
      <w:r w:rsidRPr="00530C13">
        <w:t xml:space="preserve">. Po doručení </w:t>
      </w:r>
      <w:r>
        <w:t xml:space="preserve">rozhodnutia </w:t>
      </w:r>
      <w:r w:rsidRPr="00530C13">
        <w:t xml:space="preserve">ÚVO spracuje  </w:t>
      </w:r>
      <w:r>
        <w:t xml:space="preserve">RO </w:t>
      </w:r>
      <w:r w:rsidRPr="00530C13">
        <w:t>závery svojej kontroly</w:t>
      </w:r>
      <w:r>
        <w:t xml:space="preserve">, čím </w:t>
      </w:r>
      <w:r w:rsidRPr="00530C13">
        <w:t xml:space="preserve">nie je dotknutá povinnosť vykonania </w:t>
      </w:r>
      <w:r>
        <w:t xml:space="preserve">finančnej </w:t>
      </w:r>
      <w:r w:rsidRPr="00530C13">
        <w:t>kontroly VO, ani zodpovednosť RO za výkon tejto kontroly  v zmysle  článku 125 ods. 4 všeobecného</w:t>
      </w:r>
      <w:r>
        <w:t xml:space="preserve"> nariadenia. </w:t>
      </w:r>
    </w:p>
    <w:p w14:paraId="69764C3E" w14:textId="77777777" w:rsidR="00B650E5" w:rsidRDefault="00B650E5">
      <w:pPr>
        <w:numPr>
          <w:ilvl w:val="0"/>
          <w:numId w:val="254"/>
        </w:numPr>
        <w:spacing w:before="120" w:after="120"/>
        <w:ind w:left="426" w:hanging="426"/>
        <w:jc w:val="both"/>
      </w:pPr>
      <w:r>
        <w:t xml:space="preserve">RO je pri prvej </w:t>
      </w:r>
      <w:r w:rsidR="00FB1D18">
        <w:t>ex ante</w:t>
      </w:r>
      <w:r>
        <w:t xml:space="preserv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konania, inovatívne partnerstvo). Predmetom činnosti ÚVO v rámci spolupráce s RO pri prvej </w:t>
      </w:r>
      <w:r w:rsidR="00FB1D18">
        <w:t>ex ante</w:t>
      </w:r>
      <w:r>
        <w:t xml:space="preserve"> kontrole nie je posudzovanie požiadaviek na technické špecifikácie, výkonnostné a funkčné požiadavky a charakteristiky a odborné požiadavky predmetu zákazky podľa § 42 ZVO. RO za účelom kvalifikovaného posúdenia opisu predmetu zákazky z pohľadu jeho nediskriminačného nastavenia môže využívať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Predmetom </w:t>
      </w:r>
      <w:r w:rsidR="00FB1D18">
        <w:t>ex ante</w:t>
      </w:r>
      <w:r>
        <w:t xml:space="preserve"> posúdenia v rámci prvej </w:t>
      </w:r>
      <w:r w:rsidR="00FB1D18">
        <w:t>ex ante</w:t>
      </w:r>
      <w:r>
        <w:t xml:space="preserve"> kontroly zo strany ÚVO nie sú ani zmluvné podmienky, ktoré sú súčasťou súťažných podkladov. V tomto prípade je rovnako v zodpovednosti RO overiť túto súčasť dokumentácie z pohľadu jeho súladu s princípmi VO, pričom zámerom RO by malo byť v čo najvyššej miere podporovať povinné vyžívanie vzorových zmluvných podmienok </w:t>
      </w:r>
      <w:r>
        <w:lastRenderedPageBreak/>
        <w:t>definovaných všeobecne pre  konkrétne typy zákaziek. Uvedenú povinnosť RO definuje vo svojej riadiacej dokumentácii.</w:t>
      </w:r>
    </w:p>
    <w:p w14:paraId="7A57D93C" w14:textId="77777777" w:rsidR="00B650E5" w:rsidRDefault="00B650E5">
      <w:pPr>
        <w:numPr>
          <w:ilvl w:val="0"/>
          <w:numId w:val="254"/>
        </w:numPr>
        <w:spacing w:before="120" w:after="120"/>
        <w:ind w:left="426" w:hanging="426"/>
        <w:jc w:val="both"/>
      </w:pPr>
      <w:r>
        <w:t xml:space="preserve">RO je vo výnimočných prípadoch oprávnený požiadať o kontrolu bez ohľadu na výsledok analýzy rizík. V tomto prípade je RO povinný v žiadosti uviesť zdôvodnenie tohto postupu, pričom akceptovanie uvedených dôvodov  je v kompetencii ÚVO. </w:t>
      </w:r>
      <w:r>
        <w:tab/>
      </w:r>
      <w:r>
        <w:tab/>
      </w:r>
    </w:p>
    <w:p w14:paraId="1735D686" w14:textId="77777777" w:rsidR="00617B94" w:rsidRDefault="00617B94">
      <w:pPr>
        <w:numPr>
          <w:ilvl w:val="0"/>
          <w:numId w:val="254"/>
        </w:numPr>
        <w:spacing w:before="120" w:after="120"/>
        <w:ind w:left="426" w:hanging="426"/>
        <w:jc w:val="both"/>
      </w:pPr>
      <w:r w:rsidRPr="00617B94">
        <w:t xml:space="preserve">Rada ÚVO môže na základe podnetu RO, </w:t>
      </w:r>
      <w:r w:rsidR="0012163A">
        <w:t>O</w:t>
      </w:r>
      <w:r w:rsidRPr="00617B94">
        <w:t xml:space="preserve">rgánu auditu alebo </w:t>
      </w:r>
      <w:r w:rsidR="0012163A">
        <w:t>C</w:t>
      </w:r>
      <w:r w:rsidRPr="00617B94">
        <w:t xml:space="preserve">ertifikačného orgánu preskúmať mimo odvolacieho konania rozhodnutie ÚVO vydané podľa § 174 alebo § 175 ZVO za podmienok upravených v ustanovení § 179a ZVO.  </w:t>
      </w:r>
    </w:p>
    <w:p w14:paraId="077392BF" w14:textId="77777777" w:rsidR="00B650E5" w:rsidRDefault="00B650E5">
      <w:pPr>
        <w:numPr>
          <w:ilvl w:val="0"/>
          <w:numId w:val="254"/>
        </w:numPr>
        <w:spacing w:before="120" w:after="120"/>
        <w:ind w:left="426" w:hanging="426"/>
        <w:jc w:val="both"/>
      </w:pPr>
      <w:r>
        <w:t>Podrobnosti komunikácie RO a ÚVO, lehoty výkonu kontroly a ďalšie povinnosti sú uvedené v dohode o spolupráci.</w:t>
      </w:r>
    </w:p>
    <w:p w14:paraId="77D16879" w14:textId="77777777" w:rsidR="00B650E5" w:rsidRDefault="00B650E5">
      <w:pPr>
        <w:pStyle w:val="SRK5"/>
      </w:pPr>
      <w:bookmarkStart w:id="422" w:name="_Toc453234048"/>
      <w:bookmarkStart w:id="423" w:name="_Toc501630099"/>
      <w:bookmarkStart w:id="424" w:name="kapitola_337412"/>
      <w:r>
        <w:t>3.3.7.4.1.2 Rozsah spolupráce s ÚVO</w:t>
      </w:r>
      <w:bookmarkEnd w:id="422"/>
      <w:bookmarkEnd w:id="423"/>
    </w:p>
    <w:bookmarkEnd w:id="424"/>
    <w:p w14:paraId="37A1E7EA" w14:textId="77777777" w:rsidR="00B650E5" w:rsidRDefault="00B650E5">
      <w:pPr>
        <w:numPr>
          <w:ilvl w:val="0"/>
          <w:numId w:val="331"/>
        </w:numPr>
        <w:spacing w:before="120" w:after="120"/>
        <w:ind w:left="426" w:hanging="426"/>
        <w:jc w:val="both"/>
      </w:pPr>
      <w:r>
        <w:t xml:space="preserve">Úprava vzájomnej spolupráce ÚVO a CKO pri zabezpečovaní činností pre jednotlivé RO, najmä vymedzenie rozsahu, lehôt a základných spôsobov spolupráce pri kontrole postupov VO, ktoré sú spolufinancované z fondov a ENRF, je upravené v dohode </w:t>
      </w:r>
      <w:r w:rsidR="00E54F25">
        <w:t xml:space="preserve">o spolupráci </w:t>
      </w:r>
      <w:r>
        <w:t xml:space="preserve">s ÚVO. </w:t>
      </w:r>
    </w:p>
    <w:p w14:paraId="594ABC85" w14:textId="77777777" w:rsidR="00B650E5" w:rsidRDefault="00B650E5">
      <w:pPr>
        <w:numPr>
          <w:ilvl w:val="0"/>
          <w:numId w:val="331"/>
        </w:numPr>
        <w:spacing w:before="120" w:after="120"/>
        <w:ind w:left="426" w:hanging="426"/>
        <w:jc w:val="both"/>
      </w:pPr>
      <w:r>
        <w:t>RO sú pri spolupráci s ÚVO povinné postupovať v súlade s ustanoveniami uzavretej dohody s ÚVO.</w:t>
      </w:r>
    </w:p>
    <w:p w14:paraId="232F2338" w14:textId="77777777" w:rsidR="00B650E5" w:rsidRDefault="00B650E5">
      <w:pPr>
        <w:numPr>
          <w:ilvl w:val="0"/>
          <w:numId w:val="331"/>
        </w:numPr>
        <w:spacing w:before="120" w:after="120"/>
        <w:ind w:left="426" w:hanging="426"/>
        <w:jc w:val="both"/>
      </w:pPr>
      <w:r>
        <w:t>ÚVO vykoná kontrolu pred uzavretím zmluvy, koncesnej zmluvy alebo rámcovej dohody, pred ukončením súťaže návrhov, pred zadaním zákazky na základe rámcovej dohody alebo pred ukončením postupu inovatívneho partnerstva na základe podnetu prijímateľa podľa § 169 ods. 2 ZVO v prípade nadlimitnej zákazky, čo aj z časti financovanej z prostriedkov Európskej únie.</w:t>
      </w:r>
    </w:p>
    <w:p w14:paraId="6266DA35" w14:textId="77777777" w:rsidR="00B650E5" w:rsidRDefault="00B650E5">
      <w:pPr>
        <w:numPr>
          <w:ilvl w:val="0"/>
          <w:numId w:val="331"/>
        </w:numPr>
        <w:spacing w:before="120" w:after="120"/>
        <w:ind w:left="426" w:hanging="426"/>
        <w:jc w:val="both"/>
      </w:pPr>
      <w:bookmarkStart w:id="425" w:name="kapitola_337412_ods_4"/>
      <w:bookmarkStart w:id="426" w:name="kapitola_337412_ods_3"/>
      <w:bookmarkEnd w:id="425"/>
      <w:r>
        <w:t>V zmysle dohody o spolupráci je RO oprávnený písomne požiadať ÚVO o:</w:t>
      </w:r>
    </w:p>
    <w:bookmarkEnd w:id="426"/>
    <w:p w14:paraId="1ECE0C4E" w14:textId="77777777" w:rsidR="00B650E5" w:rsidRDefault="00FB1D18">
      <w:pPr>
        <w:numPr>
          <w:ilvl w:val="0"/>
          <w:numId w:val="51"/>
        </w:numPr>
        <w:spacing w:before="120" w:after="120"/>
        <w:ind w:left="850" w:hanging="425"/>
        <w:jc w:val="both"/>
      </w:pPr>
      <w:r>
        <w:t>ex ante</w:t>
      </w:r>
      <w:r w:rsidR="00B650E5">
        <w:t xml:space="preserve"> posúdenie dokumentácie k pripravovanému VO – nadlimitné zákazky alebo nasledovné postupy bez ohľadu na finančný limit: súťaž návrhov, súťažný dialóg a rokovacie konania, inovatívne partnerstvo,</w:t>
      </w:r>
    </w:p>
    <w:p w14:paraId="61BAD923" w14:textId="77777777" w:rsidR="00B650E5" w:rsidRDefault="00B650E5">
      <w:pPr>
        <w:numPr>
          <w:ilvl w:val="0"/>
          <w:numId w:val="51"/>
        </w:numPr>
        <w:spacing w:before="120" w:after="120"/>
        <w:ind w:left="850" w:hanging="425"/>
        <w:jc w:val="both"/>
      </w:pPr>
      <w:r>
        <w:t xml:space="preserve">osobnú konzultáciu k čiastkovému problému VO – nezávisle od postupu vo verejnom VO, limitu zákazky, alebo štádia procesu konkrétneho VO, </w:t>
      </w:r>
    </w:p>
    <w:p w14:paraId="5828F485" w14:textId="66912CD4" w:rsidR="00B650E5" w:rsidRDefault="00B650E5">
      <w:pPr>
        <w:numPr>
          <w:ilvl w:val="0"/>
          <w:numId w:val="51"/>
        </w:numPr>
        <w:spacing w:before="120" w:after="120"/>
        <w:ind w:left="850" w:hanging="425"/>
        <w:jc w:val="both"/>
      </w:pPr>
      <w:r>
        <w:t>vypracovanie stanoviska o súlade čiastkových problémov VO so ZVO v štádiu pred uzavretím zmluvy</w:t>
      </w:r>
      <w:r w:rsidR="003D23AC">
        <w:t xml:space="preserve"> a po uzavretí zmluvy</w:t>
      </w:r>
      <w:r>
        <w:t xml:space="preserve"> – nezávisle od postupu vo VO a limitu zákazky,</w:t>
      </w:r>
    </w:p>
    <w:p w14:paraId="3639863B" w14:textId="77777777" w:rsidR="00B650E5" w:rsidRDefault="00B650E5">
      <w:pPr>
        <w:numPr>
          <w:ilvl w:val="0"/>
          <w:numId w:val="51"/>
        </w:numPr>
        <w:spacing w:before="120" w:after="120"/>
        <w:ind w:left="850" w:hanging="425"/>
        <w:jc w:val="both"/>
      </w:pPr>
      <w:r>
        <w:t xml:space="preserve">vykonanie kontroly VO pred uzavretím zmluvy pri podlimitných zákazkách v závislosti od výsledku analýzy rizík za predpokladu, že RO rozšíril druhú </w:t>
      </w:r>
      <w:r w:rsidR="00FB1D18">
        <w:t>ex ante</w:t>
      </w:r>
      <w:r>
        <w:t xml:space="preserve"> kontrolu aj o podlimitné zákazky alebo v prípade, ak bola v rámci zadávania zákazky predložená iba jedna ponuka,</w:t>
      </w:r>
    </w:p>
    <w:p w14:paraId="57DF5F32" w14:textId="77777777" w:rsidR="00B650E5" w:rsidRDefault="00B650E5">
      <w:pPr>
        <w:numPr>
          <w:ilvl w:val="0"/>
          <w:numId w:val="51"/>
        </w:numPr>
        <w:spacing w:before="120" w:after="120"/>
        <w:ind w:left="850" w:hanging="425"/>
        <w:jc w:val="both"/>
      </w:pPr>
      <w:r>
        <w:t xml:space="preserve">vykonanie kontroly VO po uzavretí zmluvy (štandardná </w:t>
      </w:r>
      <w:r w:rsidR="00FB1D18">
        <w:t>ex post</w:t>
      </w:r>
      <w:r>
        <w:t xml:space="preserve"> kontrola) pri nadlimitných zákazkách (ak nebolo vydané rozhodnutie na základe podnetu podľa § 169 ods. 2 ZVO), v závislosti od výsledku analýzy rizík pri podlimitných zákazkách, alebo v prípade, ak bola v rámci zadávania zákazky predložená iba jedna ponuka, v prípade súťaže návrhov, súťažného dialógu, priameho rokovacieho konania, rokovacieho konania so zverejnením alebo inovatívneho partnerstva bez ohľadu na finančný limit a vykonanie kontroly VO po uzavretí zmluvy nezávisle od postupu vo verejnom VO a limitu zákazky v prípade, ak ide                  o podnet podľa § 41 zákona o príspevku z EŠIF,</w:t>
      </w:r>
    </w:p>
    <w:p w14:paraId="10017F92" w14:textId="6C44B66B" w:rsidR="003D23AC" w:rsidRDefault="00B650E5">
      <w:pPr>
        <w:numPr>
          <w:ilvl w:val="0"/>
          <w:numId w:val="51"/>
        </w:numPr>
        <w:spacing w:before="120" w:after="120"/>
        <w:ind w:left="850" w:hanging="425"/>
        <w:jc w:val="both"/>
      </w:pPr>
      <w:r>
        <w:t>spoluprácu pri vyhodnocovaní auditných zistení EK</w:t>
      </w:r>
      <w:r w:rsidR="003D23AC">
        <w:t xml:space="preserve">, </w:t>
      </w:r>
      <w:r w:rsidR="00E54F25">
        <w:t>EDA</w:t>
      </w:r>
      <w:r w:rsidR="003D23AC">
        <w:t xml:space="preserve"> alebo OA</w:t>
      </w:r>
      <w:r>
        <w:t xml:space="preserve"> týkajúcich sa VO</w:t>
      </w:r>
      <w:r w:rsidR="003D23AC">
        <w:t>,</w:t>
      </w:r>
    </w:p>
    <w:p w14:paraId="7B008714" w14:textId="3D3A8886" w:rsidR="003D23AC" w:rsidRDefault="003D23AC" w:rsidP="003D23AC">
      <w:pPr>
        <w:numPr>
          <w:ilvl w:val="0"/>
          <w:numId w:val="51"/>
        </w:numPr>
        <w:spacing w:before="120" w:after="120"/>
        <w:ind w:left="850" w:hanging="425"/>
        <w:jc w:val="both"/>
      </w:pPr>
      <w:r w:rsidRPr="003D23AC">
        <w:t>zab</w:t>
      </w:r>
      <w:r>
        <w:t>ezpečenie účasti zástupcov ÚVO</w:t>
      </w:r>
      <w:r w:rsidRPr="003D23AC">
        <w:t xml:space="preserve"> na auditných misiách EK, EDA alebo OA v časti, týkajúcej sa verejného obstarávania.</w:t>
      </w:r>
    </w:p>
    <w:p w14:paraId="2F53F23B" w14:textId="231721C1" w:rsidR="00B650E5" w:rsidRDefault="00B650E5" w:rsidP="00556762">
      <w:pPr>
        <w:spacing w:before="120" w:after="120"/>
        <w:ind w:left="850"/>
        <w:jc w:val="both"/>
      </w:pPr>
    </w:p>
    <w:p w14:paraId="42809EF2" w14:textId="77777777" w:rsidR="00B650E5" w:rsidRDefault="00B650E5" w:rsidP="001B709E">
      <w:pPr>
        <w:numPr>
          <w:ilvl w:val="0"/>
          <w:numId w:val="51"/>
        </w:numPr>
        <w:spacing w:before="120" w:after="120"/>
        <w:ind w:left="850" w:hanging="425"/>
        <w:jc w:val="both"/>
      </w:pPr>
      <w:r>
        <w:lastRenderedPageBreak/>
        <w:t>v prípade podlimitných zákaziek realizovaných cez EKS je RO oprávnený predkladať na kontrolu ÚVO len také zákazky, ktorých hodnota je rovnaká alebo vyššia ako 40 tisíc EUR</w:t>
      </w:r>
      <w:r w:rsidR="00887348">
        <w:t xml:space="preserve"> bez DPH</w:t>
      </w:r>
      <w:r>
        <w:t>.</w:t>
      </w:r>
    </w:p>
    <w:p w14:paraId="5B5E77C3" w14:textId="77777777" w:rsidR="00B650E5" w:rsidRDefault="00B650E5">
      <w:pPr>
        <w:numPr>
          <w:ilvl w:val="0"/>
          <w:numId w:val="331"/>
        </w:numPr>
        <w:spacing w:before="120" w:after="120"/>
        <w:ind w:left="426" w:hanging="426"/>
        <w:jc w:val="both"/>
      </w:pPr>
      <w:r>
        <w:t xml:space="preserve">RO je povinný poskytovať všetky informácie, ktoré sú potrebné na riadne plnenie práv a povinností vyplývajúcich z dohody s ÚVO. </w:t>
      </w:r>
      <w:r w:rsidR="007843F2">
        <w:t xml:space="preserve">V prípade spolupráce podľa </w:t>
      </w:r>
      <w:hyperlink w:anchor="kapitola_337412_ods_4" w:history="1">
        <w:r w:rsidR="007843F2" w:rsidRPr="002923EC">
          <w:rPr>
            <w:rStyle w:val="Hypertextovprepojenie"/>
          </w:rPr>
          <w:t>ods. 4 písm. a), d) a e)</w:t>
        </w:r>
      </w:hyperlink>
      <w:r w:rsidR="007843F2">
        <w:t xml:space="preserve"> náležitosťou podnetu</w:t>
      </w:r>
      <w:r w:rsidR="007843F2" w:rsidRPr="00A506D8">
        <w:t xml:space="preserve"> na </w:t>
      </w:r>
      <w:r w:rsidR="007843F2">
        <w:t>ex ante posúdenie/</w:t>
      </w:r>
      <w:r w:rsidR="007843F2" w:rsidRPr="00A506D8">
        <w:t xml:space="preserve">výkon kontroly </w:t>
      </w:r>
      <w:r w:rsidR="007843F2">
        <w:t>je označenie príslušného RO/SO, operačného</w:t>
      </w:r>
      <w:r w:rsidR="007843F2" w:rsidRPr="00A506D8">
        <w:t xml:space="preserve"> program</w:t>
      </w:r>
      <w:r w:rsidR="007843F2">
        <w:t>u, náz</w:t>
      </w:r>
      <w:r w:rsidR="007843F2" w:rsidRPr="00A506D8">
        <w:t>v</w:t>
      </w:r>
      <w:r w:rsidR="007843F2">
        <w:t>u a čísla</w:t>
      </w:r>
      <w:r w:rsidR="007843F2" w:rsidRPr="00A506D8">
        <w:t xml:space="preserve"> projektu, </w:t>
      </w:r>
      <w:r w:rsidR="007843F2">
        <w:t>kódu VO z ITMS 2014+ a v prípade podnetu na</w:t>
      </w:r>
      <w:r w:rsidR="008D28B0">
        <w:t> </w:t>
      </w:r>
      <w:r w:rsidR="007843F2">
        <w:t>výkon kontroly aj číslo</w:t>
      </w:r>
      <w:r w:rsidR="007843F2" w:rsidRPr="00CA67A4">
        <w:t xml:space="preserve"> vestníka VO, označenie značky a dátumu vyhlásenia VO, ktorého sa podnet týka</w:t>
      </w:r>
      <w:r w:rsidR="007843F2" w:rsidRPr="00A506D8">
        <w:t>.</w:t>
      </w:r>
    </w:p>
    <w:p w14:paraId="5225697A" w14:textId="77777777" w:rsidR="00B650E5" w:rsidRDefault="00B650E5">
      <w:pPr>
        <w:numPr>
          <w:ilvl w:val="0"/>
          <w:numId w:val="331"/>
        </w:numPr>
        <w:spacing w:before="120" w:after="120"/>
        <w:ind w:left="426" w:hanging="426"/>
        <w:jc w:val="both"/>
      </w:pPr>
      <w:r>
        <w:t>RO je povinný súčasne zo svojou žiadosťou o spoluprácu zaslať ÚVO aj súvisiacu dokumentáciu, ktorá bude predmetom kontroly alebo posudzovania. RO nezasiela ÚVO dokumentáciu, ktorú si ÚVO v rámci svojich kontrolných postupov žiada od verejného obstarávateľa (okrem prípadu, že touto dokumentáciou disponuje RO a nie prijímateľ).</w:t>
      </w:r>
    </w:p>
    <w:p w14:paraId="004C4DE8" w14:textId="4976BEC2" w:rsidR="00B650E5" w:rsidRDefault="00B650E5">
      <w:pPr>
        <w:numPr>
          <w:ilvl w:val="0"/>
          <w:numId w:val="331"/>
        </w:numPr>
        <w:spacing w:before="120" w:after="120"/>
        <w:ind w:left="426" w:hanging="426"/>
        <w:jc w:val="both"/>
      </w:pPr>
      <w:r>
        <w:t>RO je oprávnený v zmysle dohody požiadať ÚVO o odbornú podporu pri vyhodnocovaní, spracovaní a argumentácii v rámci zistení auditov EK</w:t>
      </w:r>
      <w:r w:rsidR="003D23AC">
        <w:t xml:space="preserve">, </w:t>
      </w:r>
      <w:r>
        <w:t>EDA</w:t>
      </w:r>
      <w:r w:rsidR="003D23AC">
        <w:t xml:space="preserve"> alebo OA</w:t>
      </w:r>
      <w:r>
        <w:t xml:space="preserve">, 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14:paraId="0A5575EE" w14:textId="77777777" w:rsidR="00B650E5" w:rsidRDefault="00B650E5">
      <w:pPr>
        <w:numPr>
          <w:ilvl w:val="0"/>
          <w:numId w:val="331"/>
        </w:numPr>
        <w:spacing w:before="120" w:after="120"/>
        <w:ind w:left="426" w:hanging="426"/>
        <w:jc w:val="both"/>
      </w:pPr>
      <w:r>
        <w:t>Akékoľvek  nejasnosti spojené s plnením jednotlivých ustanovení dohody s ÚVO sú povinné RO odstrániť vzájomnými rokovaniami a primeranými preventívnymi opatreniami.</w:t>
      </w:r>
    </w:p>
    <w:p w14:paraId="0B99EB3B" w14:textId="77777777" w:rsidR="00B650E5" w:rsidRDefault="00B650E5">
      <w:pPr>
        <w:numPr>
          <w:ilvl w:val="0"/>
          <w:numId w:val="331"/>
        </w:numPr>
        <w:spacing w:before="120" w:after="120"/>
        <w:ind w:left="426" w:hanging="426"/>
        <w:jc w:val="both"/>
      </w:pPr>
      <w:r>
        <w:t>RO je povinný informovať CKO v prípade, ak ÚVO neplní svoje povinnosti podľa uzavretej dohody s ÚVO. K informácii RO  zasiela presnú identifikáciu porušení dohody.</w:t>
      </w:r>
    </w:p>
    <w:p w14:paraId="2AE1E807" w14:textId="77777777" w:rsidR="00E13721" w:rsidRDefault="0079703E" w:rsidP="00556762">
      <w:pPr>
        <w:numPr>
          <w:ilvl w:val="0"/>
          <w:numId w:val="331"/>
        </w:numPr>
        <w:spacing w:before="120" w:after="120"/>
        <w:ind w:left="426" w:hanging="426"/>
        <w:jc w:val="both"/>
      </w:pPr>
      <w:r>
        <w:t xml:space="preserve">ÚVO </w:t>
      </w:r>
      <w:r w:rsidR="00C433B1">
        <w:t xml:space="preserve">vykonáva </w:t>
      </w:r>
      <w:r w:rsidR="00E13721">
        <w:t xml:space="preserve">v zmysle </w:t>
      </w:r>
      <w:r w:rsidR="00C433B1">
        <w:t>ZVO</w:t>
      </w:r>
      <w:r w:rsidR="00E13721">
        <w:t xml:space="preserve"> </w:t>
      </w:r>
      <w:r w:rsidR="00FB1D18">
        <w:t>ex ante</w:t>
      </w:r>
      <w:r w:rsidR="00E13721">
        <w:t xml:space="preserve"> posúdenie (§ 168 ZVO), kontrolu pred uzavretím zmluvy (§ 169 ods. 1), kontrolu po uzavretí zmluvy (§ 169 ods. 3). Kontrolu pravidiel a postupov VO podľa predchádzajúcej vety, ako aj výsledky kontroly ÚVO bezodkladne </w:t>
      </w:r>
      <w:r w:rsidR="00C433B1">
        <w:t>eviduje</w:t>
      </w:r>
      <w:r w:rsidR="00E13721">
        <w:t xml:space="preserve"> </w:t>
      </w:r>
      <w:r w:rsidR="00C433B1">
        <w:t>v</w:t>
      </w:r>
      <w:r w:rsidR="0023261D">
        <w:t> </w:t>
      </w:r>
      <w:r w:rsidR="00C433B1">
        <w:t>ITMS</w:t>
      </w:r>
      <w:r w:rsidR="0023261D">
        <w:t xml:space="preserve"> </w:t>
      </w:r>
      <w:r w:rsidR="00C433B1">
        <w:t>2014+</w:t>
      </w:r>
      <w:r w:rsidR="00C433B1" w:rsidRPr="00C433B1">
        <w:t xml:space="preserve">. </w:t>
      </w:r>
      <w:r w:rsidR="006D0974">
        <w:t>ÚVO e</w:t>
      </w:r>
      <w:r w:rsidR="00C433B1">
        <w:t>vidovaním v</w:t>
      </w:r>
      <w:r w:rsidR="0023261D">
        <w:t> </w:t>
      </w:r>
      <w:r w:rsidR="00C433B1">
        <w:t>ITMS</w:t>
      </w:r>
      <w:r w:rsidR="0023261D">
        <w:t xml:space="preserve"> </w:t>
      </w:r>
      <w:r w:rsidR="00C433B1">
        <w:t xml:space="preserve">2014+ informuje RO o začiatku ako aj o výsledku </w:t>
      </w:r>
      <w:r w:rsidR="00E13721">
        <w:t xml:space="preserve">daného typu </w:t>
      </w:r>
      <w:r w:rsidR="00C433B1">
        <w:t>kontroly.</w:t>
      </w:r>
    </w:p>
    <w:p w14:paraId="0747E671" w14:textId="6B80E38D" w:rsidR="00A02733" w:rsidRPr="00C433B1" w:rsidRDefault="00423D84" w:rsidP="00556762">
      <w:pPr>
        <w:numPr>
          <w:ilvl w:val="0"/>
          <w:numId w:val="331"/>
        </w:numPr>
        <w:spacing w:before="120" w:after="120"/>
        <w:ind w:left="426" w:hanging="426"/>
        <w:jc w:val="both"/>
      </w:pPr>
      <w:r>
        <w:t>Ustanovenie § 169 ods. 2 ZVO sa netýka nadlimitných zákaziek alebo koncesií vo fáze pred</w:t>
      </w:r>
      <w:r w:rsidR="0097605E">
        <w:t> </w:t>
      </w:r>
      <w:r>
        <w:t>podpisom zmluvy o NFP s výnimkou nadlimitných zákaziek alebo koncesií v rámci národných projektov, veľkých projektov, ktoré sú súčasťou zoznamu projektov a  projektov technickej pomoci.</w:t>
      </w:r>
    </w:p>
    <w:p w14:paraId="378F2891" w14:textId="77777777" w:rsidR="00B650E5" w:rsidRDefault="00B650E5">
      <w:pPr>
        <w:pStyle w:val="SRK5"/>
      </w:pPr>
      <w:bookmarkStart w:id="427" w:name="_Toc386529577"/>
      <w:bookmarkStart w:id="428" w:name="_Toc390248469"/>
      <w:bookmarkStart w:id="429" w:name="_Toc453234049"/>
      <w:bookmarkStart w:id="430" w:name="_Toc501630100"/>
      <w:bookmarkStart w:id="431" w:name="kapitola_33742"/>
      <w:r>
        <w:t>3.3.7.4.2. Spolupráca s PMÚ</w:t>
      </w:r>
      <w:bookmarkEnd w:id="427"/>
      <w:bookmarkEnd w:id="428"/>
      <w:bookmarkEnd w:id="429"/>
      <w:bookmarkEnd w:id="430"/>
      <w:r>
        <w:t xml:space="preserve"> </w:t>
      </w:r>
    </w:p>
    <w:p w14:paraId="0A141553" w14:textId="77777777" w:rsidR="00B650E5" w:rsidRDefault="00B650E5">
      <w:pPr>
        <w:pStyle w:val="SRK5"/>
      </w:pPr>
      <w:bookmarkStart w:id="432" w:name="_Toc453234050"/>
      <w:bookmarkStart w:id="433" w:name="_Toc501630101"/>
      <w:bookmarkEnd w:id="431"/>
      <w:r>
        <w:t>3.3.7.4.2.1 Podmienky spolupráce</w:t>
      </w:r>
      <w:bookmarkEnd w:id="432"/>
      <w:bookmarkEnd w:id="433"/>
    </w:p>
    <w:p w14:paraId="3F82D20A" w14:textId="77777777" w:rsidR="00B650E5" w:rsidRDefault="00B650E5">
      <w:pPr>
        <w:numPr>
          <w:ilvl w:val="0"/>
          <w:numId w:val="256"/>
        </w:numPr>
        <w:spacing w:before="120" w:after="120"/>
        <w:ind w:left="426" w:hanging="426"/>
        <w:jc w:val="both"/>
      </w:pPr>
      <w:r>
        <w:t>PMÚ je nezávislý ústredný orgán štátnej správy pre ochranu hospodárskej súťaže</w:t>
      </w:r>
      <w:r w:rsidR="00036B49">
        <w:t xml:space="preserve"> a koordináciu štátnej pomoci</w:t>
      </w:r>
      <w:r>
        <w:t>.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14:paraId="18C0AF03" w14:textId="77777777" w:rsidR="00B650E5" w:rsidRDefault="00B650E5">
      <w:pPr>
        <w:numPr>
          <w:ilvl w:val="0"/>
          <w:numId w:val="256"/>
        </w:numPr>
        <w:spacing w:before="120" w:after="120"/>
        <w:ind w:left="426" w:hanging="426"/>
        <w:jc w:val="both"/>
      </w:pPr>
      <w:r>
        <w:t>Pre oprávnenie spolupráce RO s PMÚ vychádza RO zo zoznamu rizikových indikátorov, ktorý</w:t>
      </w:r>
      <w:r w:rsidRPr="00D645BB">
        <w:t xml:space="preserve"> </w:t>
      </w:r>
      <w:r>
        <w:t xml:space="preserve">upraví CKO v spolupráci s PMÚ v metodickom pokyne. Kumulácia identifikovania viacerých takýchto indikátorov znamená zvýšené riziko z pohľadu možného porušenia zákona o ochrane hospodárskej súťaže  a teda pre RO zvyšuje potrebu spolupráce s PMÚ. </w:t>
      </w:r>
    </w:p>
    <w:p w14:paraId="3306D6B7" w14:textId="77777777" w:rsidR="00B650E5" w:rsidRDefault="00B650E5">
      <w:pPr>
        <w:numPr>
          <w:ilvl w:val="0"/>
          <w:numId w:val="256"/>
        </w:numPr>
        <w:spacing w:before="120" w:after="120"/>
        <w:ind w:left="426" w:hanging="426"/>
        <w:jc w:val="both"/>
      </w:pPr>
      <w:r>
        <w:lastRenderedPageBreak/>
        <w:t xml:space="preserve">Spolupráca RO s PMÚ nie je podmienená druhom verejného obstarávania, ani fázou jeho realizácie. V prípade </w:t>
      </w:r>
      <w:r w:rsidRPr="00883EF0">
        <w:rPr>
          <w:color w:val="000000"/>
        </w:rPr>
        <w:t>pod</w:t>
      </w:r>
      <w:r>
        <w:rPr>
          <w:color w:val="000000"/>
        </w:rPr>
        <w:t>ania</w:t>
      </w:r>
      <w:r w:rsidRPr="00883EF0">
        <w:rPr>
          <w:color w:val="000000"/>
        </w:rPr>
        <w:t xml:space="preserve"> podnet</w:t>
      </w:r>
      <w:r>
        <w:rPr>
          <w:color w:val="000000"/>
        </w:rPr>
        <w:t xml:space="preserve">u RO na PMÚ </w:t>
      </w:r>
      <w:r w:rsidRPr="00883EF0">
        <w:rPr>
          <w:color w:val="000000"/>
        </w:rPr>
        <w:t xml:space="preserve">z dôvodu podozrenia na porušenie zákona </w:t>
      </w:r>
      <w:r>
        <w:rPr>
          <w:color w:val="000000"/>
        </w:rPr>
        <w:t xml:space="preserve">                  </w:t>
      </w:r>
      <w:r w:rsidRPr="00883EF0">
        <w:rPr>
          <w:color w:val="000000"/>
        </w:rPr>
        <w:t>o ochrane hospodárskej súťaže</w:t>
      </w:r>
      <w:r>
        <w:t xml:space="preserve"> je spolupráca podmienená predpokladanou hodnotou zákazky, alebo súhrnnou hodnotou dotknutých zákaziek, a to vyššou ako 100 000 EUR</w:t>
      </w:r>
      <w:r w:rsidR="00226058">
        <w:t xml:space="preserve"> bez DPH</w:t>
      </w:r>
      <w:r>
        <w:t xml:space="preserve">. RO postupuje pri spolupráci s PMÚ v zmysle dohody o spolupráci uzavretej medzi CKO a PMÚ. </w:t>
      </w:r>
    </w:p>
    <w:p w14:paraId="2867EF0B" w14:textId="77777777" w:rsidR="00B650E5" w:rsidRDefault="00B650E5" w:rsidP="007B0E75">
      <w:pPr>
        <w:numPr>
          <w:ilvl w:val="0"/>
          <w:numId w:val="256"/>
        </w:numPr>
        <w:spacing w:before="120" w:after="120"/>
        <w:ind w:left="426" w:hanging="426"/>
        <w:jc w:val="both"/>
      </w:pPr>
      <w:r>
        <w:t xml:space="preserve">Pre účely spolupráce s PMÚ, RO zašle podľa vybraného spôsobu spolupráce na PMÚ žiadosť o konkrétny typ spolupráce. </w:t>
      </w:r>
      <w:r w:rsidR="002822F6">
        <w:t xml:space="preserve">V prípade iniciovania spolupráce s PMÚ podľa kapitoly 3.3.7.4.2.2, ods. 1 (písomná žiadosť o konzultáciu alebo podnet) sa prerušuje plynutie lehôt na výkon finančnej kontroly VO.  </w:t>
      </w:r>
      <w:r>
        <w:t xml:space="preserve">V prípade </w:t>
      </w:r>
      <w:r w:rsidR="002822F6">
        <w:t xml:space="preserve">využitia formy spolupráce formou podnetu z dôvodu podozrenia na porušenie zákona o  ochrane hospodárskej súťaže, </w:t>
      </w:r>
      <w:r>
        <w:t xml:space="preserve">RO pozastaví výkon finančnej kontroly VO do času vyšetrenia podnetu zo strany PMÚ, resp. do doručenia informácie od PMÚ </w:t>
      </w:r>
      <w:r w:rsidR="007B0E75">
        <w:t xml:space="preserve">o </w:t>
      </w:r>
      <w:r w:rsidR="007B0E75" w:rsidRPr="007B0E75">
        <w:t xml:space="preserve">ukončení prešetrovania (v prípade, ak prešetrovaním neboli zistené dôvody na začatie konania), o nezačatí, resp. nepokračovaní v prešetrovaní (ak podnet zo strany RO a v ňom uvedené informácie vyhodnotí PMÚ ako nedostatočné </w:t>
      </w:r>
      <w:r w:rsidR="0012163A">
        <w:t>na</w:t>
      </w:r>
      <w:r w:rsidR="007B0E75" w:rsidRPr="007B0E75">
        <w:t xml:space="preserve"> vykonanie prešetrovania) alebo </w:t>
      </w:r>
      <w:r>
        <w:t xml:space="preserve">o zastavení konania, pričom RO sa zdrží takého správania, ktoré môže ohroziť alebo zmariť prešetrenie podnetu zo strany PMÚ. Uvedené sa týka najmä zachovania mlčanlivosti, či už sa to týka komunikácie s prijímateľom, s tretími osobami nepodieľajúcimi sa na výkone kontroly alebo komunikácie v rámci vlastného organizačného úseku. Z tohto dôvodu RO v oznámení o prerušení 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xml:space="preserve">). RO je oprávnený ukončiť kontrolu VO až po doručení výsledku spolupráce s PMÚ. </w:t>
      </w:r>
    </w:p>
    <w:p w14:paraId="364A3431" w14:textId="77777777" w:rsidR="00B650E5" w:rsidRDefault="00B650E5">
      <w:pPr>
        <w:numPr>
          <w:ilvl w:val="0"/>
          <w:numId w:val="256"/>
        </w:numPr>
        <w:spacing w:before="120" w:after="120"/>
        <w:ind w:left="426" w:hanging="426"/>
        <w:jc w:val="both"/>
      </w:pPr>
      <w:r>
        <w:t>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identifikuje možné porušenie zákona o ochrane hospodárskej súťaže, je oprávnený podať na PMÚ podnet.</w:t>
      </w:r>
    </w:p>
    <w:p w14:paraId="57C1024F" w14:textId="77777777" w:rsidR="00B650E5" w:rsidRDefault="00B650E5">
      <w:pPr>
        <w:numPr>
          <w:ilvl w:val="0"/>
          <w:numId w:val="256"/>
        </w:numPr>
        <w:spacing w:before="120" w:after="120"/>
        <w:ind w:left="426" w:hanging="426"/>
        <w:jc w:val="both"/>
      </w:pPr>
      <w:r>
        <w:t>Uvedené formy spolupráce sa týkajú identifikovania možného porušenia zákona o ochrane hospodárskej súťaže,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14:paraId="2282679E" w14:textId="77777777" w:rsidR="00B650E5" w:rsidRDefault="00B650E5">
      <w:pPr>
        <w:pStyle w:val="SRK5"/>
      </w:pPr>
      <w:bookmarkStart w:id="434" w:name="_Toc453234051"/>
      <w:bookmarkStart w:id="435" w:name="_Toc501630102"/>
      <w:bookmarkStart w:id="436" w:name="kapitola_337422"/>
      <w:r>
        <w:t>3.3.7.4.2.2 Rozsah spolupráce</w:t>
      </w:r>
      <w:bookmarkEnd w:id="434"/>
      <w:bookmarkEnd w:id="435"/>
    </w:p>
    <w:bookmarkEnd w:id="436"/>
    <w:p w14:paraId="7FCDE6D8" w14:textId="77777777" w:rsidR="00B650E5" w:rsidRDefault="00B650E5">
      <w:pPr>
        <w:numPr>
          <w:ilvl w:val="0"/>
          <w:numId w:val="332"/>
        </w:numPr>
        <w:spacing w:before="120" w:after="120"/>
        <w:ind w:left="426" w:hanging="426"/>
        <w:jc w:val="both"/>
      </w:pPr>
      <w:r>
        <w:t xml:space="preserve">V zmysle dohody s PMÚ je RO oprávnený v prípade identifikovania možného porušenia hospodárskej súťaže:  </w:t>
      </w:r>
    </w:p>
    <w:p w14:paraId="191DF37E" w14:textId="77777777" w:rsidR="00B650E5" w:rsidRDefault="00B650E5">
      <w:pPr>
        <w:numPr>
          <w:ilvl w:val="0"/>
          <w:numId w:val="257"/>
        </w:numPr>
        <w:spacing w:before="120" w:after="120"/>
        <w:ind w:left="851" w:hanging="426"/>
        <w:jc w:val="both"/>
      </w:pPr>
      <w:bookmarkStart w:id="437" w:name="kapitola_337422_ods_1a"/>
      <w:r>
        <w:t xml:space="preserve">písomne požiadať PMÚ o konzultáciu (písomnú, osobnú alebo jej kombináciu) k vybraným častiam alebo zisteným skutočnostiam v rámci kontrolovaného VO a ich možného rozporu so zákonom o ochrane hospodárskej súťaže –  nezávisle od postupu vo VO, alebo štádia procesu konkrétneho VO, </w:t>
      </w:r>
    </w:p>
    <w:p w14:paraId="2D12E88A" w14:textId="77777777" w:rsidR="00B650E5" w:rsidRDefault="00B650E5">
      <w:pPr>
        <w:numPr>
          <w:ilvl w:val="0"/>
          <w:numId w:val="257"/>
        </w:numPr>
        <w:spacing w:before="120" w:after="120"/>
        <w:ind w:left="851" w:hanging="426"/>
        <w:jc w:val="both"/>
      </w:pPr>
      <w:bookmarkStart w:id="438" w:name="kapitola_337422_ods_1b"/>
      <w:bookmarkEnd w:id="437"/>
      <w:r>
        <w:t>podať podnet z dôvodu podozrenia na porušenie zákona o  ochrane hospodárskej súťaže.</w:t>
      </w:r>
    </w:p>
    <w:bookmarkEnd w:id="438"/>
    <w:p w14:paraId="496FBFB6" w14:textId="77777777" w:rsidR="00B650E5" w:rsidRDefault="00B650E5">
      <w:pPr>
        <w:numPr>
          <w:ilvl w:val="0"/>
          <w:numId w:val="332"/>
        </w:numPr>
        <w:spacing w:before="120" w:after="120"/>
        <w:ind w:left="426" w:hanging="426"/>
        <w:jc w:val="both"/>
      </w:pPr>
      <w:r>
        <w:t xml:space="preserve">V žiadosti RO o spoluprácu s PMÚ je RO povinný jasne označiť, o ktorú formu spolupráce má záujem a uviesť dôvod potreby tejto spolupráce v nadväznosti na podanie informácie, ktoré z rizikových indikátorov </w:t>
      </w:r>
      <w:r w:rsidR="002822F6">
        <w:t xml:space="preserve">v zmysle </w:t>
      </w:r>
      <w:hyperlink w:anchor="kapitola_337423" w:tooltip="kapitole 3.3.7.4.2.3" w:history="1">
        <w:r>
          <w:rPr>
            <w:rStyle w:val="Hypertextovprepojenie"/>
          </w:rPr>
          <w:t>kapitol</w:t>
        </w:r>
        <w:r w:rsidR="002822F6">
          <w:rPr>
            <w:rStyle w:val="Hypertextovprepojenie"/>
          </w:rPr>
          <w:t>y</w:t>
        </w:r>
        <w:r>
          <w:rPr>
            <w:rStyle w:val="Hypertextovprepojenie"/>
          </w:rPr>
          <w:t xml:space="preserve"> 3.3.7.4.2.3</w:t>
        </w:r>
      </w:hyperlink>
      <w:r>
        <w:t xml:space="preserve"> v rámci svojej finančnej 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14:paraId="5F1A9131" w14:textId="77777777" w:rsidR="00B650E5" w:rsidRDefault="00B650E5">
      <w:pPr>
        <w:numPr>
          <w:ilvl w:val="0"/>
          <w:numId w:val="332"/>
        </w:numPr>
        <w:spacing w:before="120" w:after="120"/>
        <w:ind w:left="426" w:hanging="426"/>
        <w:jc w:val="both"/>
      </w:pPr>
      <w:r>
        <w:lastRenderedPageBreak/>
        <w:t>RO je povinný informovať CKO v prípade, ak PMÚ neplní svoje povinnosti podľa uzavretej dohody. K informácii RO  zasiela presnú identifikáciu o porušení dohody s PMÚ.</w:t>
      </w:r>
    </w:p>
    <w:p w14:paraId="1940EA1B" w14:textId="77777777" w:rsidR="00B650E5" w:rsidRDefault="00B650E5">
      <w:pPr>
        <w:pStyle w:val="SRK5"/>
      </w:pPr>
      <w:bookmarkStart w:id="439" w:name="_Toc453234052"/>
      <w:bookmarkStart w:id="440" w:name="_Toc501630103"/>
      <w:bookmarkStart w:id="441" w:name="kapitola_337423"/>
      <w:r>
        <w:t>3.3.7.4.2.3 Rizikové indikátory</w:t>
      </w:r>
      <w:bookmarkEnd w:id="439"/>
      <w:bookmarkEnd w:id="440"/>
    </w:p>
    <w:bookmarkEnd w:id="441"/>
    <w:p w14:paraId="6A61D776" w14:textId="77777777" w:rsidR="00036B49" w:rsidRDefault="00B650E5" w:rsidP="00036B49">
      <w:pPr>
        <w:numPr>
          <w:ilvl w:val="0"/>
          <w:numId w:val="333"/>
        </w:numPr>
        <w:spacing w:before="120" w:after="120"/>
        <w:ind w:left="426" w:hanging="426"/>
        <w:jc w:val="both"/>
      </w:pPr>
      <w:r>
        <w:t>Rizikové indikátory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Zoznam rizikových indikátorov upraví CKO v spolupráci s PMÚ v metodickom pokyne</w:t>
      </w:r>
      <w:r w:rsidR="004D6BC8">
        <w:rPr>
          <w:rStyle w:val="Odkaznapoznmkupodiarou"/>
        </w:rPr>
        <w:footnoteReference w:id="124"/>
      </w:r>
      <w:r>
        <w:t>. Tento zoznam nebude vyčerpávajúcim súhrnom všetkých rizikových situácií</w:t>
      </w:r>
      <w:r>
        <w:rPr>
          <w:color w:val="000000"/>
        </w:rPr>
        <w:t>, rizikové indikátory a ich popis môžu byť aktualizované podľa potreby</w:t>
      </w:r>
      <w:r>
        <w:t>.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w:t>
      </w:r>
      <w:r w:rsidR="00036B49">
        <w:t xml:space="preserve"> </w:t>
      </w:r>
    </w:p>
    <w:p w14:paraId="4693B8E9" w14:textId="77777777" w:rsidR="00B650E5" w:rsidRDefault="00372889" w:rsidP="00036B49">
      <w:pPr>
        <w:numPr>
          <w:ilvl w:val="0"/>
          <w:numId w:val="333"/>
        </w:numPr>
        <w:spacing w:before="120" w:after="120"/>
        <w:ind w:left="426" w:hanging="426"/>
        <w:jc w:val="both"/>
      </w:pPr>
      <w:r w:rsidRPr="00372889">
        <w:t xml:space="preserve">Zamestnanec vykonávajúci kontrolu VO je povinný skúmať prítomnosť rizikových indikátorov a pri zvýšenom výskyte rizikových indikátorov RO zváži potrebu spolupráce s PMÚ v dôsledku podozrenia z možného porušenia zákona o ochrane hospodárskej súťaže. Identifikáciu jednotlivých rizikových indikátorov spolu s krátkym odôvodnením uvedie v príslušnom kontrolnom zozname, pričom zvýšený počet rizikových indikátorov nemusí mať automaticky vplyv na financovanie výdavkov VO z fondov EÚ. </w:t>
      </w:r>
      <w:r w:rsidR="00B650E5">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14:paraId="2C29A3D4" w14:textId="77777777" w:rsidR="00B650E5" w:rsidRDefault="00B650E5" w:rsidP="0099707E">
      <w:pPr>
        <w:numPr>
          <w:ilvl w:val="0"/>
          <w:numId w:val="333"/>
        </w:numPr>
        <w:spacing w:before="120" w:after="120"/>
        <w:ind w:left="426" w:hanging="426"/>
        <w:jc w:val="both"/>
      </w:pPr>
      <w:r>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14:paraId="547EC60B" w14:textId="77777777" w:rsidR="00B650E5" w:rsidRDefault="00B650E5">
      <w:pPr>
        <w:pStyle w:val="SRK5"/>
      </w:pPr>
      <w:bookmarkStart w:id="442" w:name="_Toc386529578"/>
      <w:bookmarkStart w:id="443" w:name="_Toc390248470"/>
      <w:bookmarkStart w:id="444" w:name="_Toc453234053"/>
      <w:bookmarkStart w:id="445" w:name="_Toc501630104"/>
      <w:bookmarkStart w:id="446" w:name="kapitola_33743"/>
      <w:r>
        <w:t>3.3.7.4.3 Spolupráca s orgánmi činnými v trestom konaní pri podozrení z protiprávneho konania</w:t>
      </w:r>
      <w:bookmarkEnd w:id="442"/>
      <w:bookmarkEnd w:id="443"/>
      <w:bookmarkEnd w:id="444"/>
      <w:bookmarkEnd w:id="445"/>
      <w:r>
        <w:t xml:space="preserve"> </w:t>
      </w:r>
    </w:p>
    <w:bookmarkEnd w:id="446"/>
    <w:p w14:paraId="1E807F85" w14:textId="77777777" w:rsidR="00DF24CC" w:rsidRPr="00DF24CC" w:rsidRDefault="00B650E5" w:rsidP="00DF24CC">
      <w:pPr>
        <w:numPr>
          <w:ilvl w:val="0"/>
          <w:numId w:val="54"/>
        </w:numPr>
        <w:spacing w:before="120" w:after="120"/>
        <w:ind w:left="426" w:hanging="426"/>
        <w:jc w:val="both"/>
        <w:rPr>
          <w:i/>
        </w:rPr>
      </w:pPr>
      <w:r>
        <w:t>V prípade, ak RO zistí pri kontrole VO alebo kontrole obstarávania skutočnosti nasvedčujúce tomu, že bol alebo mohol byť spáchaný trestný čin, uvedenú skutočnosť v zmysle § 3 ods. 2 Trestného poriadku oznámi bezodkladne orgánom činným v trestnom konaní. RO postupuje v zmysle príslušných dokumentov upravujúcich evidovanie a nahlasovanie nezrovnalostí.</w:t>
      </w:r>
      <w:r w:rsidR="00DF24CC" w:rsidRPr="001B709E">
        <w:t xml:space="preserve"> </w:t>
      </w:r>
      <w:r w:rsidR="00DF24CC">
        <w:t xml:space="preserve">Zároveň je </w:t>
      </w:r>
      <w:r w:rsidR="00DF24CC" w:rsidRPr="00DF24CC">
        <w:t xml:space="preserve">RO </w:t>
      </w:r>
      <w:r w:rsidR="00DF24CC" w:rsidRPr="001B709E">
        <w:t>povinný zdržať sa konania, ktorým by mohol z</w:t>
      </w:r>
      <w:r w:rsidR="00DF24CC" w:rsidRPr="00DF24CC">
        <w:t xml:space="preserve">mariť prípadné vyšetrovanie </w:t>
      </w:r>
      <w:r w:rsidR="00DF24CC">
        <w:t xml:space="preserve">            zo strany orgánov činných v trestnom konaní</w:t>
      </w:r>
      <w:r w:rsidR="00DF24CC" w:rsidRPr="001B709E">
        <w:t>.</w:t>
      </w:r>
    </w:p>
    <w:p w14:paraId="42A8DDE5" w14:textId="77777777" w:rsidR="00B650E5" w:rsidRDefault="00B650E5">
      <w:pPr>
        <w:pStyle w:val="SRK5"/>
      </w:pPr>
      <w:bookmarkStart w:id="447" w:name="_Toc453234054"/>
      <w:bookmarkStart w:id="448" w:name="_Toc501630105"/>
      <w:bookmarkStart w:id="449" w:name="kapitola_337431"/>
      <w:r>
        <w:t>3.3.7.4.3.1 Rizikové indikátory</w:t>
      </w:r>
      <w:bookmarkEnd w:id="447"/>
      <w:bookmarkEnd w:id="448"/>
    </w:p>
    <w:bookmarkEnd w:id="449"/>
    <w:p w14:paraId="63556618" w14:textId="77777777" w:rsidR="00B650E5" w:rsidRDefault="00B650E5">
      <w:pPr>
        <w:numPr>
          <w:ilvl w:val="0"/>
          <w:numId w:val="258"/>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Pr>
          <w:vertAlign w:val="superscript"/>
        </w:rPr>
        <w:footnoteReference w:id="125"/>
      </w:r>
      <w:r>
        <w:t>. Pokiaľ určitý rizikový indikátor sám o sebe znamená porušenie ZVO (napr. indikátor č. 13) alebo porušenie iného právneho predpisu (napr. indikátor č. 1), nepotvrdenie skutočnosti o spáchaní trestného činu nemá vplyv na  konštatovanie o porušení ZVO (</w:t>
      </w:r>
      <w:r w:rsidR="00C93F30">
        <w:t xml:space="preserve">t. j. </w:t>
      </w:r>
      <w:r>
        <w:t xml:space="preserve"> porušenie VO stále platí) ani na povinnosť RO riešiť </w:t>
      </w:r>
      <w:r>
        <w:lastRenderedPageBreak/>
        <w:t xml:space="preserve">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w:t>
      </w:r>
      <w:r w:rsidRPr="00CD417C">
        <w:t>Zamestnanec vykonávajúci kontrolu VO je povinný skúmať prítomnosť rizikových indikátorov a pri zvýšenom výskyte rizikových indikátorov sa zvyšuje potreba spolupráce s</w:t>
      </w:r>
      <w:r>
        <w:t> orgánmi činnými v trestnom konaní</w:t>
      </w:r>
      <w:r w:rsidRPr="00CD417C">
        <w:t xml:space="preserve"> v dôsledku podozrenia z</w:t>
      </w:r>
      <w:r>
        <w:rPr>
          <w:u w:val="single"/>
        </w:rPr>
        <w:t> </w:t>
      </w:r>
      <w:r w:rsidRPr="00CD417C">
        <w:t>možného</w:t>
      </w:r>
      <w:r>
        <w:t xml:space="preserve"> protiprávneho konania</w:t>
      </w:r>
      <w:r w:rsidRPr="00CD417C">
        <w:t xml:space="preserve">. Identifikáciu jednotlivých rizikových indikátorov spolu s krátkym odôvodnením uvedie v príslušnom kontrolnom zozname a v návrhu správy z kontroly. </w:t>
      </w:r>
      <w:r>
        <w:t xml:space="preserve">Účelom oboznámenia sa s rizikovými indikátormi nie je 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14:paraId="5E3A80A2" w14:textId="77777777" w:rsidR="00B650E5" w:rsidRDefault="00B650E5">
      <w:pPr>
        <w:numPr>
          <w:ilvl w:val="0"/>
          <w:numId w:val="258"/>
        </w:numPr>
        <w:spacing w:before="120" w:after="120"/>
        <w:ind w:left="426" w:hanging="426"/>
        <w:jc w:val="both"/>
      </w:pPr>
      <w:r>
        <w:t>Rizikové indikátory  sú nasledovné</w:t>
      </w:r>
      <w:r>
        <w:rPr>
          <w:vertAlign w:val="superscript"/>
        </w:rPr>
        <w:footnoteReference w:id="126"/>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67"/>
        <w:gridCol w:w="3600"/>
        <w:gridCol w:w="5472"/>
      </w:tblGrid>
      <w:tr w:rsidR="00B650E5" w14:paraId="5FD1A3D0" w14:textId="77777777">
        <w:tc>
          <w:tcPr>
            <w:tcW w:w="567" w:type="dxa"/>
          </w:tcPr>
          <w:p w14:paraId="05659F7F" w14:textId="77777777" w:rsidR="00B650E5" w:rsidRDefault="00B650E5">
            <w:pPr>
              <w:keepNext/>
              <w:keepLines/>
              <w:spacing w:before="120" w:after="120"/>
              <w:ind w:left="-66" w:right="-108"/>
              <w:jc w:val="center"/>
              <w:rPr>
                <w:b/>
                <w:bCs/>
                <w:i/>
              </w:rPr>
            </w:pPr>
            <w:r>
              <w:rPr>
                <w:b/>
                <w:bCs/>
                <w:i/>
              </w:rPr>
              <w:lastRenderedPageBreak/>
              <w:t>P. č.</w:t>
            </w:r>
          </w:p>
        </w:tc>
        <w:tc>
          <w:tcPr>
            <w:tcW w:w="3600" w:type="dxa"/>
          </w:tcPr>
          <w:p w14:paraId="26A47A0B" w14:textId="77777777" w:rsidR="00B650E5" w:rsidRDefault="00B650E5">
            <w:pPr>
              <w:keepNext/>
              <w:keepLines/>
              <w:spacing w:before="120" w:after="120"/>
              <w:ind w:left="34"/>
              <w:jc w:val="center"/>
              <w:rPr>
                <w:b/>
                <w:bCs/>
                <w:i/>
              </w:rPr>
            </w:pPr>
            <w:r>
              <w:rPr>
                <w:b/>
                <w:bCs/>
                <w:i/>
              </w:rPr>
              <w:t>Názov rizikového indikátora</w:t>
            </w:r>
          </w:p>
        </w:tc>
        <w:tc>
          <w:tcPr>
            <w:tcW w:w="5472" w:type="dxa"/>
          </w:tcPr>
          <w:p w14:paraId="0EEAC699" w14:textId="77777777" w:rsidR="00B650E5" w:rsidRDefault="00B650E5">
            <w:pPr>
              <w:keepNext/>
              <w:keepLines/>
              <w:spacing w:before="120" w:after="120"/>
              <w:jc w:val="center"/>
              <w:rPr>
                <w:b/>
                <w:bCs/>
                <w:i/>
              </w:rPr>
            </w:pPr>
            <w:r>
              <w:rPr>
                <w:b/>
                <w:bCs/>
                <w:i/>
              </w:rPr>
              <w:t>Popis rizikového indikátora</w:t>
            </w:r>
          </w:p>
        </w:tc>
      </w:tr>
      <w:tr w:rsidR="00B650E5" w14:paraId="07BCA657" w14:textId="77777777">
        <w:tc>
          <w:tcPr>
            <w:tcW w:w="567" w:type="dxa"/>
            <w:vAlign w:val="center"/>
          </w:tcPr>
          <w:p w14:paraId="0886404D" w14:textId="77777777" w:rsidR="00B650E5" w:rsidRDefault="00B650E5">
            <w:pPr>
              <w:keepNext/>
              <w:keepLines/>
              <w:spacing w:before="120" w:after="120"/>
              <w:ind w:left="34"/>
              <w:jc w:val="center"/>
              <w:rPr>
                <w:bCs/>
                <w:i/>
              </w:rPr>
            </w:pPr>
            <w:r>
              <w:rPr>
                <w:bCs/>
                <w:i/>
              </w:rPr>
              <w:t>1</w:t>
            </w:r>
          </w:p>
        </w:tc>
        <w:tc>
          <w:tcPr>
            <w:tcW w:w="3600" w:type="dxa"/>
            <w:vAlign w:val="center"/>
          </w:tcPr>
          <w:p w14:paraId="215D865E" w14:textId="77777777" w:rsidR="00B650E5" w:rsidRDefault="00B650E5">
            <w:pPr>
              <w:keepNext/>
              <w:keepLines/>
              <w:spacing w:before="120" w:after="120"/>
              <w:ind w:left="34"/>
              <w:jc w:val="center"/>
              <w:rPr>
                <w:bCs/>
                <w:i/>
              </w:rPr>
            </w:pPr>
            <w:r>
              <w:rPr>
                <w:bCs/>
                <w:i/>
              </w:rPr>
              <w:t>Konflikt záujmov</w:t>
            </w:r>
          </w:p>
        </w:tc>
        <w:tc>
          <w:tcPr>
            <w:tcW w:w="5472" w:type="dxa"/>
          </w:tcPr>
          <w:p w14:paraId="1BF88710" w14:textId="77777777" w:rsidR="00B650E5" w:rsidRDefault="00B650E5">
            <w:pPr>
              <w:keepNext/>
              <w:keepLines/>
              <w:spacing w:before="120" w:after="120"/>
              <w:jc w:val="both"/>
              <w:rPr>
                <w:bCs/>
                <w:i/>
              </w:rPr>
            </w:pPr>
            <w:r>
              <w:rPr>
                <w:bCs/>
                <w:i/>
              </w:rPr>
              <w:t>Akýkoľvek dôkaz o konflikte záujmov člena hodnotiacej komisie alebo štatutárneho zástupcu verejného obstarávateľa</w:t>
            </w:r>
            <w:r>
              <w:rPr>
                <w:bCs/>
                <w:i/>
                <w:vertAlign w:val="superscript"/>
              </w:rPr>
              <w:footnoteReference w:id="127"/>
            </w:r>
            <w:r>
              <w:rPr>
                <w:bCs/>
                <w:i/>
              </w:rPr>
              <w:t xml:space="preserve"> (napr. z dôvodu, že takáto osoba má obchodný podiel v spoločnostiach, ktoré dávajú ponuku). Spoločenské alebo osobné kontakty medzi osobami úspešného uchádzača a verejného obstarávateľa.</w:t>
            </w:r>
          </w:p>
          <w:p w14:paraId="28622C28" w14:textId="77777777" w:rsidR="00B650E5" w:rsidRDefault="00B650E5">
            <w:pPr>
              <w:keepNext/>
              <w:keepLines/>
              <w:numPr>
                <w:ilvl w:val="0"/>
                <w:numId w:val="52"/>
              </w:numPr>
              <w:spacing w:before="120" w:after="120"/>
              <w:jc w:val="both"/>
              <w:rPr>
                <w:bCs/>
                <w:i/>
              </w:rPr>
            </w:pPr>
            <w:r>
              <w:rPr>
                <w:bCs/>
                <w:i/>
              </w:rPr>
              <w:t xml:space="preserve">životopis jedného z členov hodnotiacej komisie indikuje predchádzajúce zamestnanie v jednej zo spoločností, ktoré sa zúčastňujú </w:t>
            </w:r>
            <w:r w:rsidR="0012163A">
              <w:rPr>
                <w:bCs/>
                <w:i/>
              </w:rPr>
              <w:t xml:space="preserve">na </w:t>
            </w:r>
            <w:r>
              <w:rPr>
                <w:bCs/>
                <w:i/>
              </w:rPr>
              <w:t>VO</w:t>
            </w:r>
          </w:p>
          <w:p w14:paraId="5944CEF9" w14:textId="77777777" w:rsidR="00B650E5" w:rsidRDefault="00B650E5">
            <w:pPr>
              <w:keepNext/>
              <w:keepLines/>
              <w:numPr>
                <w:ilvl w:val="0"/>
                <w:numId w:val="52"/>
              </w:numPr>
              <w:spacing w:before="120" w:after="120"/>
              <w:jc w:val="both"/>
              <w:rPr>
                <w:bCs/>
                <w:i/>
              </w:rPr>
            </w:pPr>
            <w:r>
              <w:rPr>
                <w:bCs/>
                <w:i/>
              </w:rPr>
              <w:t>spoločnosť, ktorá sa uchádza o účasť vo VO bola vytvorená tesne pred vyhlásením  VO, resp. bol upravený predmet jej podnikania</w:t>
            </w:r>
          </w:p>
          <w:p w14:paraId="3FC51B7F" w14:textId="77777777" w:rsidR="00B650E5" w:rsidRDefault="00B650E5">
            <w:pPr>
              <w:keepNext/>
              <w:keepLines/>
              <w:numPr>
                <w:ilvl w:val="0"/>
                <w:numId w:val="52"/>
              </w:numPr>
              <w:spacing w:before="120" w:after="120"/>
              <w:jc w:val="both"/>
              <w:rPr>
                <w:bCs/>
                <w:i/>
              </w:rPr>
            </w:pPr>
            <w:r>
              <w:rPr>
                <w:bCs/>
                <w:i/>
              </w:rPr>
              <w:t>rovnaká adresa sídla prijímateľa a</w:t>
            </w:r>
            <w:r w:rsidR="0012163A">
              <w:rPr>
                <w:bCs/>
                <w:i/>
              </w:rPr>
              <w:t> </w:t>
            </w:r>
            <w:r>
              <w:rPr>
                <w:bCs/>
                <w:i/>
              </w:rPr>
              <w:t>uchádzača</w:t>
            </w:r>
            <w:r w:rsidR="0012163A">
              <w:rPr>
                <w:bCs/>
                <w:i/>
              </w:rPr>
              <w:t>.</w:t>
            </w:r>
          </w:p>
        </w:tc>
      </w:tr>
      <w:tr w:rsidR="00B650E5" w14:paraId="3BA0CA59" w14:textId="77777777">
        <w:tc>
          <w:tcPr>
            <w:tcW w:w="567" w:type="dxa"/>
            <w:vAlign w:val="center"/>
          </w:tcPr>
          <w:p w14:paraId="6B460ADB" w14:textId="77777777" w:rsidR="00B650E5" w:rsidRDefault="00B650E5">
            <w:pPr>
              <w:keepNext/>
              <w:keepLines/>
              <w:spacing w:before="120" w:after="120"/>
              <w:ind w:left="34"/>
              <w:jc w:val="center"/>
              <w:rPr>
                <w:bCs/>
                <w:i/>
              </w:rPr>
            </w:pPr>
            <w:r>
              <w:rPr>
                <w:bCs/>
                <w:i/>
              </w:rPr>
              <w:t>2</w:t>
            </w:r>
          </w:p>
        </w:tc>
        <w:tc>
          <w:tcPr>
            <w:tcW w:w="3600" w:type="dxa"/>
            <w:vAlign w:val="center"/>
          </w:tcPr>
          <w:p w14:paraId="791B56B0" w14:textId="77777777" w:rsidR="00B650E5" w:rsidRDefault="00B650E5">
            <w:pPr>
              <w:keepNext/>
              <w:keepLines/>
              <w:spacing w:before="120" w:after="120"/>
              <w:ind w:left="34"/>
              <w:jc w:val="center"/>
              <w:rPr>
                <w:bCs/>
                <w:i/>
              </w:rPr>
            </w:pPr>
            <w:r>
              <w:rPr>
                <w:bCs/>
                <w:i/>
              </w:rPr>
              <w:t>Rozdelenie zákaziek alebo nedovolené spájanie zákaziek</w:t>
            </w:r>
          </w:p>
        </w:tc>
        <w:tc>
          <w:tcPr>
            <w:tcW w:w="5472" w:type="dxa"/>
          </w:tcPr>
          <w:p w14:paraId="28D983C4" w14:textId="77777777" w:rsidR="00B650E5" w:rsidRDefault="00B650E5">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B650E5" w14:paraId="1972A4A3" w14:textId="77777777">
        <w:tc>
          <w:tcPr>
            <w:tcW w:w="567" w:type="dxa"/>
            <w:vAlign w:val="center"/>
          </w:tcPr>
          <w:p w14:paraId="227F9180" w14:textId="77777777" w:rsidR="00B650E5" w:rsidRDefault="00B650E5">
            <w:pPr>
              <w:keepNext/>
              <w:keepLines/>
              <w:spacing w:before="120" w:after="120"/>
              <w:ind w:left="34"/>
              <w:jc w:val="center"/>
              <w:rPr>
                <w:bCs/>
                <w:i/>
              </w:rPr>
            </w:pPr>
            <w:r>
              <w:rPr>
                <w:bCs/>
                <w:i/>
              </w:rPr>
              <w:t>3</w:t>
            </w:r>
          </w:p>
        </w:tc>
        <w:tc>
          <w:tcPr>
            <w:tcW w:w="3600" w:type="dxa"/>
            <w:vAlign w:val="center"/>
          </w:tcPr>
          <w:p w14:paraId="12FD94D3" w14:textId="77777777" w:rsidR="00B650E5" w:rsidRDefault="00B650E5">
            <w:pPr>
              <w:keepNext/>
              <w:keepLines/>
              <w:spacing w:before="120" w:after="120"/>
              <w:ind w:left="34"/>
              <w:jc w:val="center"/>
              <w:rPr>
                <w:bCs/>
                <w:i/>
              </w:rPr>
            </w:pPr>
            <w:r>
              <w:rPr>
                <w:bCs/>
                <w:i/>
              </w:rPr>
              <w:t>Viacero kontaktných miest alebo osôb</w:t>
            </w:r>
          </w:p>
        </w:tc>
        <w:tc>
          <w:tcPr>
            <w:tcW w:w="5472" w:type="dxa"/>
          </w:tcPr>
          <w:p w14:paraId="25431468" w14:textId="77777777" w:rsidR="00B650E5" w:rsidRDefault="00B650E5">
            <w:pPr>
              <w:keepNext/>
              <w:keepLines/>
              <w:spacing w:before="120" w:after="120"/>
              <w:jc w:val="both"/>
              <w:rPr>
                <w:bCs/>
                <w:i/>
              </w:rPr>
            </w:pPr>
            <w:r>
              <w:rPr>
                <w:bCs/>
                <w:i/>
              </w:rPr>
              <w:t>Verejný obstarávateľ určil viacero kontaktných miest alebo kontaktných osôb, napr. na vyžiadanie informácií k</w:t>
            </w:r>
            <w:r w:rsidR="0012163A">
              <w:rPr>
                <w:bCs/>
                <w:i/>
              </w:rPr>
              <w:t> </w:t>
            </w:r>
            <w:r>
              <w:rPr>
                <w:bCs/>
                <w:i/>
              </w:rPr>
              <w:t>VO</w:t>
            </w:r>
            <w:r w:rsidR="0012163A">
              <w:rPr>
                <w:bCs/>
                <w:i/>
              </w:rPr>
              <w:t>.</w:t>
            </w:r>
            <w:r>
              <w:rPr>
                <w:bCs/>
                <w:i/>
              </w:rPr>
              <w:t xml:space="preserve"> </w:t>
            </w:r>
          </w:p>
        </w:tc>
      </w:tr>
      <w:tr w:rsidR="00B650E5" w14:paraId="0AF5AAB6" w14:textId="77777777">
        <w:tc>
          <w:tcPr>
            <w:tcW w:w="567" w:type="dxa"/>
            <w:vAlign w:val="center"/>
          </w:tcPr>
          <w:p w14:paraId="5E22C64C" w14:textId="77777777" w:rsidR="00B650E5" w:rsidRDefault="00B650E5">
            <w:pPr>
              <w:keepNext/>
              <w:keepLines/>
              <w:spacing w:before="120" w:after="120"/>
              <w:ind w:left="34"/>
              <w:jc w:val="center"/>
              <w:rPr>
                <w:bCs/>
                <w:i/>
              </w:rPr>
            </w:pPr>
            <w:r>
              <w:rPr>
                <w:bCs/>
                <w:i/>
              </w:rPr>
              <w:t>4</w:t>
            </w:r>
          </w:p>
        </w:tc>
        <w:tc>
          <w:tcPr>
            <w:tcW w:w="3600" w:type="dxa"/>
            <w:vAlign w:val="center"/>
          </w:tcPr>
          <w:p w14:paraId="771E3D94" w14:textId="77777777" w:rsidR="00B650E5" w:rsidRDefault="00B650E5">
            <w:pPr>
              <w:keepNext/>
              <w:keepLines/>
              <w:spacing w:before="120" w:after="120"/>
              <w:ind w:left="34"/>
              <w:jc w:val="center"/>
              <w:rPr>
                <w:bCs/>
                <w:i/>
              </w:rPr>
            </w:pPr>
            <w:r>
              <w:rPr>
                <w:bCs/>
                <w:i/>
              </w:rPr>
              <w:t>Kontaktné osoby nie sú zamestnanci verejného obstarávateľa</w:t>
            </w:r>
          </w:p>
        </w:tc>
        <w:tc>
          <w:tcPr>
            <w:tcW w:w="5472" w:type="dxa"/>
          </w:tcPr>
          <w:p w14:paraId="5E2D4D27" w14:textId="77777777" w:rsidR="00B650E5" w:rsidRDefault="00B650E5">
            <w:pPr>
              <w:keepNext/>
              <w:keepLines/>
              <w:spacing w:before="120" w:after="120"/>
              <w:jc w:val="both"/>
              <w:rPr>
                <w:bCs/>
                <w:i/>
              </w:rPr>
            </w:pPr>
            <w:r>
              <w:rPr>
                <w:bCs/>
                <w:i/>
              </w:rPr>
              <w:t xml:space="preserve">Osoby, ktoré sú uvedené ako kontaktné osoby (napr. </w:t>
            </w:r>
            <w:r w:rsidR="0012163A">
              <w:rPr>
                <w:bCs/>
                <w:i/>
              </w:rPr>
              <w:t>na</w:t>
            </w:r>
            <w:r>
              <w:rPr>
                <w:bCs/>
                <w:i/>
              </w:rPr>
              <w:t>e účely informovania sa o súťaži, alebo osoba zodpovedná za proces VO) nie sú zamestnanci verejného obstarávateľa</w:t>
            </w:r>
            <w:r w:rsidR="0012163A">
              <w:rPr>
                <w:bCs/>
                <w:i/>
              </w:rPr>
              <w:t>.</w:t>
            </w:r>
          </w:p>
        </w:tc>
      </w:tr>
      <w:tr w:rsidR="00B650E5" w14:paraId="616F5BDA" w14:textId="77777777">
        <w:tc>
          <w:tcPr>
            <w:tcW w:w="567" w:type="dxa"/>
            <w:vAlign w:val="center"/>
          </w:tcPr>
          <w:p w14:paraId="0DA2BDEB" w14:textId="77777777" w:rsidR="00B650E5" w:rsidRDefault="00B650E5">
            <w:pPr>
              <w:keepNext/>
              <w:keepLines/>
              <w:spacing w:before="120" w:after="120"/>
              <w:ind w:left="34"/>
              <w:jc w:val="center"/>
              <w:rPr>
                <w:bCs/>
                <w:i/>
              </w:rPr>
            </w:pPr>
            <w:r>
              <w:rPr>
                <w:bCs/>
                <w:i/>
              </w:rPr>
              <w:t>5</w:t>
            </w:r>
          </w:p>
        </w:tc>
        <w:tc>
          <w:tcPr>
            <w:tcW w:w="3600" w:type="dxa"/>
            <w:vAlign w:val="center"/>
          </w:tcPr>
          <w:p w14:paraId="375CA3E2" w14:textId="77777777" w:rsidR="00B650E5" w:rsidRDefault="00B650E5">
            <w:pPr>
              <w:keepNext/>
              <w:keepLines/>
              <w:spacing w:before="120" w:after="120"/>
              <w:ind w:left="34"/>
              <w:jc w:val="center"/>
              <w:rPr>
                <w:bCs/>
                <w:i/>
              </w:rPr>
            </w:pPr>
            <w:r>
              <w:rPr>
                <w:bCs/>
                <w:i/>
              </w:rPr>
              <w:t>Kontaktné miesto/kancelária nepodlieha správe verejného obstarávateľa</w:t>
            </w:r>
          </w:p>
        </w:tc>
        <w:tc>
          <w:tcPr>
            <w:tcW w:w="5472" w:type="dxa"/>
          </w:tcPr>
          <w:p w14:paraId="7807E1D3" w14:textId="77777777" w:rsidR="00B650E5" w:rsidRDefault="00B650E5">
            <w:pPr>
              <w:keepNext/>
              <w:keepLines/>
              <w:spacing w:before="120" w:after="120"/>
              <w:jc w:val="both"/>
              <w:rPr>
                <w:bCs/>
                <w:i/>
              </w:rPr>
            </w:pPr>
            <w:r>
              <w:rPr>
                <w:bCs/>
                <w:i/>
              </w:rPr>
              <w:t>Miesto, ktoré určil verejný obstarávateľ ako kontaktné miesto (napr. na predkladanie ponúk), nie je aj sídlom tohto verejného obstarávateľa, resp. nie je v jeho správe</w:t>
            </w:r>
            <w:r w:rsidR="0012163A">
              <w:rPr>
                <w:bCs/>
                <w:i/>
              </w:rPr>
              <w:t>.</w:t>
            </w:r>
          </w:p>
        </w:tc>
      </w:tr>
      <w:tr w:rsidR="00B650E5" w14:paraId="6E5FB9B1" w14:textId="77777777">
        <w:tc>
          <w:tcPr>
            <w:tcW w:w="567" w:type="dxa"/>
            <w:vAlign w:val="center"/>
          </w:tcPr>
          <w:p w14:paraId="0823B24F" w14:textId="77777777" w:rsidR="00B650E5" w:rsidRDefault="00B650E5">
            <w:pPr>
              <w:keepNext/>
              <w:keepLines/>
              <w:spacing w:before="120" w:after="120"/>
              <w:ind w:left="34"/>
              <w:jc w:val="center"/>
              <w:rPr>
                <w:bCs/>
                <w:i/>
              </w:rPr>
            </w:pPr>
            <w:r>
              <w:rPr>
                <w:bCs/>
                <w:i/>
              </w:rPr>
              <w:t>6</w:t>
            </w:r>
          </w:p>
        </w:tc>
        <w:tc>
          <w:tcPr>
            <w:tcW w:w="3600" w:type="dxa"/>
            <w:vAlign w:val="center"/>
          </w:tcPr>
          <w:p w14:paraId="5C7C3AB1" w14:textId="77777777" w:rsidR="00B650E5" w:rsidRDefault="00B650E5">
            <w:pPr>
              <w:keepNext/>
              <w:keepLines/>
              <w:spacing w:before="120" w:after="120"/>
              <w:ind w:left="34"/>
              <w:jc w:val="center"/>
              <w:rPr>
                <w:bCs/>
                <w:i/>
              </w:rPr>
            </w:pPr>
            <w:r>
              <w:rPr>
                <w:bCs/>
                <w:i/>
              </w:rPr>
              <w:t xml:space="preserve">Predpokladaná hodnota zákazky tesne pod hranicou súťažného </w:t>
            </w:r>
            <w:r>
              <w:rPr>
                <w:bCs/>
                <w:i/>
              </w:rPr>
              <w:lastRenderedPageBreak/>
              <w:t>postupu</w:t>
            </w:r>
          </w:p>
        </w:tc>
        <w:tc>
          <w:tcPr>
            <w:tcW w:w="5472" w:type="dxa"/>
          </w:tcPr>
          <w:p w14:paraId="24E488C5" w14:textId="77777777" w:rsidR="00B650E5" w:rsidRDefault="00B650E5">
            <w:pPr>
              <w:keepNext/>
              <w:keepLines/>
              <w:spacing w:before="120" w:after="120"/>
              <w:jc w:val="both"/>
              <w:rPr>
                <w:bCs/>
                <w:i/>
              </w:rPr>
            </w:pPr>
            <w:r>
              <w:rPr>
                <w:bCs/>
                <w:i/>
              </w:rPr>
              <w:lastRenderedPageBreak/>
              <w:t xml:space="preserve">Verejný obstarávateľ zadal zákazku, napr. podlimitným spôsobom, pričom predpokladaná </w:t>
            </w:r>
            <w:r>
              <w:rPr>
                <w:bCs/>
                <w:i/>
              </w:rPr>
              <w:lastRenderedPageBreak/>
              <w:t>hodnota zákazky je tesne pod limitom platnom pre nadlimitné zákazky</w:t>
            </w:r>
            <w:r w:rsidR="0012163A">
              <w:rPr>
                <w:bCs/>
                <w:i/>
              </w:rPr>
              <w:t>.</w:t>
            </w:r>
          </w:p>
        </w:tc>
      </w:tr>
      <w:tr w:rsidR="00B650E5" w14:paraId="580D67F8" w14:textId="77777777">
        <w:tc>
          <w:tcPr>
            <w:tcW w:w="567" w:type="dxa"/>
            <w:vAlign w:val="center"/>
          </w:tcPr>
          <w:p w14:paraId="6963AA1E" w14:textId="77777777" w:rsidR="00B650E5" w:rsidRDefault="00B650E5">
            <w:pPr>
              <w:keepNext/>
              <w:keepLines/>
              <w:spacing w:before="120" w:after="120"/>
              <w:ind w:left="34"/>
              <w:jc w:val="center"/>
              <w:rPr>
                <w:bCs/>
                <w:i/>
              </w:rPr>
            </w:pPr>
            <w:r>
              <w:rPr>
                <w:bCs/>
                <w:i/>
              </w:rPr>
              <w:lastRenderedPageBreak/>
              <w:t>7</w:t>
            </w:r>
          </w:p>
        </w:tc>
        <w:tc>
          <w:tcPr>
            <w:tcW w:w="3600" w:type="dxa"/>
            <w:vAlign w:val="center"/>
          </w:tcPr>
          <w:p w14:paraId="2F82339D" w14:textId="77777777" w:rsidR="00B650E5" w:rsidRDefault="00B650E5">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14:paraId="3102EB66" w14:textId="77777777" w:rsidR="00B650E5" w:rsidRDefault="00B650E5">
            <w:pPr>
              <w:keepNext/>
              <w:keepLines/>
              <w:spacing w:before="120" w:after="120"/>
              <w:jc w:val="both"/>
              <w:rPr>
                <w:bCs/>
                <w:i/>
              </w:rPr>
            </w:pPr>
            <w:r>
              <w:rPr>
                <w:bCs/>
                <w:i/>
              </w:rPr>
              <w:t>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uchádzačom</w:t>
            </w:r>
            <w:r w:rsidR="0012163A">
              <w:rPr>
                <w:bCs/>
                <w:i/>
              </w:rPr>
              <w:t>.</w:t>
            </w:r>
          </w:p>
        </w:tc>
      </w:tr>
      <w:tr w:rsidR="00B650E5" w14:paraId="245B67FC" w14:textId="77777777">
        <w:tc>
          <w:tcPr>
            <w:tcW w:w="567" w:type="dxa"/>
            <w:vAlign w:val="center"/>
          </w:tcPr>
          <w:p w14:paraId="155A6C9D" w14:textId="77777777" w:rsidR="00B650E5" w:rsidRDefault="00B650E5">
            <w:pPr>
              <w:keepNext/>
              <w:keepLines/>
              <w:spacing w:before="120" w:after="120"/>
              <w:ind w:left="34"/>
              <w:jc w:val="center"/>
              <w:rPr>
                <w:bCs/>
                <w:i/>
              </w:rPr>
            </w:pPr>
            <w:r>
              <w:rPr>
                <w:bCs/>
                <w:i/>
              </w:rPr>
              <w:t>8</w:t>
            </w:r>
          </w:p>
        </w:tc>
        <w:tc>
          <w:tcPr>
            <w:tcW w:w="3600" w:type="dxa"/>
            <w:vAlign w:val="center"/>
          </w:tcPr>
          <w:p w14:paraId="49057C81" w14:textId="77777777" w:rsidR="00B650E5" w:rsidRDefault="00B650E5">
            <w:pPr>
              <w:keepNext/>
              <w:keepLines/>
              <w:spacing w:before="120" w:after="120"/>
              <w:ind w:left="34"/>
              <w:jc w:val="center"/>
              <w:rPr>
                <w:bCs/>
                <w:i/>
              </w:rPr>
            </w:pPr>
            <w:r>
              <w:rPr>
                <w:bCs/>
                <w:i/>
              </w:rPr>
              <w:t>Skrátenie reálneho časového rozpätia pre podanie ponuky, žiadosti o účasť</w:t>
            </w:r>
          </w:p>
        </w:tc>
        <w:tc>
          <w:tcPr>
            <w:tcW w:w="5472" w:type="dxa"/>
          </w:tcPr>
          <w:p w14:paraId="728646EA" w14:textId="77777777" w:rsidR="00B650E5" w:rsidRDefault="00B650E5">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r w:rsidR="0012163A">
              <w:rPr>
                <w:bCs/>
                <w:i/>
              </w:rPr>
              <w:t>.</w:t>
            </w:r>
          </w:p>
        </w:tc>
      </w:tr>
      <w:tr w:rsidR="00B650E5" w14:paraId="2D7D6799" w14:textId="77777777">
        <w:tc>
          <w:tcPr>
            <w:tcW w:w="567" w:type="dxa"/>
            <w:vAlign w:val="center"/>
          </w:tcPr>
          <w:p w14:paraId="61B0F474" w14:textId="77777777" w:rsidR="00B650E5" w:rsidRDefault="00B650E5">
            <w:pPr>
              <w:keepNext/>
              <w:keepLines/>
              <w:spacing w:before="120" w:after="120"/>
              <w:ind w:left="34"/>
              <w:jc w:val="center"/>
              <w:rPr>
                <w:bCs/>
                <w:i/>
              </w:rPr>
            </w:pPr>
            <w:r>
              <w:rPr>
                <w:bCs/>
                <w:i/>
              </w:rPr>
              <w:t>9</w:t>
            </w:r>
          </w:p>
        </w:tc>
        <w:tc>
          <w:tcPr>
            <w:tcW w:w="3600" w:type="dxa"/>
            <w:vAlign w:val="center"/>
          </w:tcPr>
          <w:p w14:paraId="5C9EF209" w14:textId="77777777" w:rsidR="00B650E5" w:rsidRDefault="00B650E5">
            <w:pPr>
              <w:keepNext/>
              <w:keepLines/>
              <w:spacing w:before="120" w:after="120"/>
              <w:ind w:left="34"/>
              <w:jc w:val="center"/>
              <w:rPr>
                <w:bCs/>
                <w:i/>
              </w:rPr>
            </w:pPr>
            <w:r>
              <w:rPr>
                <w:bCs/>
                <w:i/>
              </w:rPr>
              <w:t xml:space="preserve">Bol využitý postup </w:t>
            </w:r>
            <w:r w:rsidR="0012163A">
              <w:rPr>
                <w:bCs/>
                <w:i/>
              </w:rPr>
              <w:t>na</w:t>
            </w:r>
            <w:r>
              <w:rPr>
                <w:bCs/>
                <w:i/>
              </w:rPr>
              <w:t xml:space="preserve"> skrátené konanie</w:t>
            </w:r>
          </w:p>
        </w:tc>
        <w:tc>
          <w:tcPr>
            <w:tcW w:w="5472" w:type="dxa"/>
          </w:tcPr>
          <w:p w14:paraId="58B832B0" w14:textId="77777777" w:rsidR="00B650E5" w:rsidRDefault="00B650E5">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r w:rsidR="0012163A">
              <w:rPr>
                <w:bCs/>
                <w:i/>
              </w:rPr>
              <w:t>.</w:t>
            </w:r>
          </w:p>
        </w:tc>
      </w:tr>
      <w:tr w:rsidR="00B650E5" w14:paraId="0D42BD0F" w14:textId="77777777">
        <w:tc>
          <w:tcPr>
            <w:tcW w:w="567" w:type="dxa"/>
            <w:vAlign w:val="center"/>
          </w:tcPr>
          <w:p w14:paraId="3EFC345F" w14:textId="77777777" w:rsidR="00B650E5" w:rsidRDefault="00B650E5">
            <w:pPr>
              <w:keepNext/>
              <w:keepLines/>
              <w:spacing w:before="120" w:after="120"/>
              <w:ind w:left="34"/>
              <w:jc w:val="center"/>
              <w:rPr>
                <w:bCs/>
                <w:i/>
              </w:rPr>
            </w:pPr>
            <w:r>
              <w:rPr>
                <w:bCs/>
                <w:i/>
              </w:rPr>
              <w:t>10</w:t>
            </w:r>
          </w:p>
        </w:tc>
        <w:tc>
          <w:tcPr>
            <w:tcW w:w="3600" w:type="dxa"/>
            <w:vAlign w:val="center"/>
          </w:tcPr>
          <w:p w14:paraId="6C71E78B" w14:textId="77777777" w:rsidR="00B650E5" w:rsidRDefault="00B650E5">
            <w:pPr>
              <w:keepNext/>
              <w:keepLines/>
              <w:spacing w:before="120" w:after="120"/>
              <w:ind w:left="34"/>
              <w:jc w:val="center"/>
              <w:rPr>
                <w:bCs/>
                <w:i/>
              </w:rPr>
            </w:pPr>
            <w:r>
              <w:rPr>
                <w:bCs/>
                <w:i/>
              </w:rPr>
              <w:t>Rozsah zákazky  je neprimerane/nezvyčajne rozsiahly</w:t>
            </w:r>
          </w:p>
        </w:tc>
        <w:tc>
          <w:tcPr>
            <w:tcW w:w="5472" w:type="dxa"/>
          </w:tcPr>
          <w:p w14:paraId="68CCA0D3" w14:textId="77777777" w:rsidR="00B650E5" w:rsidRDefault="00B650E5">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r w:rsidR="0012163A">
              <w:rPr>
                <w:bCs/>
                <w:i/>
              </w:rPr>
              <w:t>.</w:t>
            </w:r>
          </w:p>
        </w:tc>
      </w:tr>
      <w:tr w:rsidR="00B650E5" w14:paraId="00680BA4" w14:textId="77777777">
        <w:tc>
          <w:tcPr>
            <w:tcW w:w="567" w:type="dxa"/>
            <w:vAlign w:val="center"/>
          </w:tcPr>
          <w:p w14:paraId="545BAC55" w14:textId="77777777" w:rsidR="00B650E5" w:rsidRDefault="00B650E5">
            <w:pPr>
              <w:keepNext/>
              <w:keepLines/>
              <w:spacing w:before="120" w:after="120"/>
              <w:ind w:left="34"/>
              <w:jc w:val="center"/>
              <w:rPr>
                <w:bCs/>
                <w:i/>
              </w:rPr>
            </w:pPr>
            <w:r>
              <w:rPr>
                <w:bCs/>
                <w:i/>
              </w:rPr>
              <w:t>11</w:t>
            </w:r>
          </w:p>
        </w:tc>
        <w:tc>
          <w:tcPr>
            <w:tcW w:w="3600" w:type="dxa"/>
            <w:vAlign w:val="center"/>
          </w:tcPr>
          <w:p w14:paraId="5BEF2872" w14:textId="77777777" w:rsidR="00B650E5" w:rsidRDefault="00B650E5">
            <w:pPr>
              <w:keepNext/>
              <w:keepLines/>
              <w:spacing w:before="120" w:after="120"/>
              <w:ind w:left="34"/>
              <w:jc w:val="center"/>
              <w:rPr>
                <w:bCs/>
                <w:i/>
              </w:rPr>
            </w:pPr>
            <w:r>
              <w:rPr>
                <w:bCs/>
                <w:i/>
              </w:rPr>
              <w:t>Niektoré z položiek alebo častí ponuky  sú oproti iným ponukám neprimerane nízke</w:t>
            </w:r>
          </w:p>
        </w:tc>
        <w:tc>
          <w:tcPr>
            <w:tcW w:w="5472" w:type="dxa"/>
          </w:tcPr>
          <w:p w14:paraId="00EF8904" w14:textId="77777777" w:rsidR="00B650E5" w:rsidRDefault="00B650E5">
            <w:pPr>
              <w:keepNext/>
              <w:keepLines/>
              <w:spacing w:before="120" w:after="120"/>
              <w:jc w:val="both"/>
              <w:rPr>
                <w:bCs/>
                <w:i/>
              </w:rPr>
            </w:pPr>
            <w:r>
              <w:rPr>
                <w:bCs/>
                <w:i/>
              </w:rPr>
              <w:t>V rámci ponuky úspešného uchádzača sú identifikované položky alebo časti predmetu zákazky, ktorých hodnota je neprimerane nízka oproti hodnotám rovnakých položiek iných uchádzačov</w:t>
            </w:r>
            <w:r w:rsidR="0012163A">
              <w:rPr>
                <w:bCs/>
                <w:i/>
              </w:rPr>
              <w:t>.</w:t>
            </w:r>
          </w:p>
        </w:tc>
      </w:tr>
      <w:tr w:rsidR="00B650E5" w14:paraId="48AFB9F3" w14:textId="77777777">
        <w:tc>
          <w:tcPr>
            <w:tcW w:w="567" w:type="dxa"/>
            <w:vAlign w:val="center"/>
          </w:tcPr>
          <w:p w14:paraId="32933400" w14:textId="77777777" w:rsidR="00B650E5" w:rsidRDefault="00B650E5">
            <w:pPr>
              <w:keepNext/>
              <w:keepLines/>
              <w:spacing w:before="120" w:after="120"/>
              <w:ind w:left="34"/>
              <w:jc w:val="center"/>
              <w:rPr>
                <w:bCs/>
                <w:i/>
              </w:rPr>
            </w:pPr>
            <w:r>
              <w:rPr>
                <w:bCs/>
                <w:i/>
              </w:rPr>
              <w:t>12</w:t>
            </w:r>
          </w:p>
        </w:tc>
        <w:tc>
          <w:tcPr>
            <w:tcW w:w="3600" w:type="dxa"/>
            <w:vAlign w:val="center"/>
          </w:tcPr>
          <w:p w14:paraId="543EA36D" w14:textId="77777777" w:rsidR="00B650E5" w:rsidRDefault="00B650E5">
            <w:pPr>
              <w:keepNext/>
              <w:keepLines/>
              <w:spacing w:before="120" w:after="120"/>
              <w:ind w:left="34"/>
              <w:jc w:val="center"/>
              <w:rPr>
                <w:bCs/>
                <w:i/>
              </w:rPr>
            </w:pPr>
            <w:r>
              <w:rPr>
                <w:bCs/>
                <w:i/>
              </w:rPr>
              <w:t>Zjavne vysoké ponukové sumy</w:t>
            </w:r>
          </w:p>
        </w:tc>
        <w:tc>
          <w:tcPr>
            <w:tcW w:w="5472" w:type="dxa"/>
          </w:tcPr>
          <w:p w14:paraId="02105C40" w14:textId="77777777" w:rsidR="00B650E5" w:rsidRDefault="00B650E5">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r w:rsidR="0012163A">
              <w:rPr>
                <w:bCs/>
                <w:i/>
              </w:rPr>
              <w:t>.</w:t>
            </w:r>
          </w:p>
        </w:tc>
      </w:tr>
      <w:tr w:rsidR="00B650E5" w14:paraId="2A027BDA" w14:textId="77777777">
        <w:tc>
          <w:tcPr>
            <w:tcW w:w="567" w:type="dxa"/>
            <w:vAlign w:val="center"/>
          </w:tcPr>
          <w:p w14:paraId="187D69B0" w14:textId="77777777" w:rsidR="00B650E5" w:rsidRDefault="00B650E5">
            <w:pPr>
              <w:keepNext/>
              <w:keepLines/>
              <w:spacing w:before="120" w:after="120"/>
              <w:ind w:left="34"/>
              <w:jc w:val="center"/>
              <w:rPr>
                <w:bCs/>
                <w:i/>
              </w:rPr>
            </w:pPr>
            <w:r>
              <w:rPr>
                <w:bCs/>
                <w:i/>
              </w:rPr>
              <w:t>13</w:t>
            </w:r>
          </w:p>
        </w:tc>
        <w:tc>
          <w:tcPr>
            <w:tcW w:w="3600" w:type="dxa"/>
            <w:vAlign w:val="center"/>
          </w:tcPr>
          <w:p w14:paraId="1E4C3737" w14:textId="77777777" w:rsidR="00B650E5" w:rsidRDefault="00B650E5">
            <w:pPr>
              <w:keepNext/>
              <w:keepLines/>
              <w:spacing w:before="120" w:after="120"/>
              <w:ind w:left="34"/>
              <w:jc w:val="center"/>
              <w:rPr>
                <w:bCs/>
                <w:i/>
              </w:rPr>
            </w:pPr>
            <w:r>
              <w:rPr>
                <w:bCs/>
                <w:i/>
              </w:rPr>
              <w:t>Čas na predloženie ponuky nie je v súlade so ZVO</w:t>
            </w:r>
          </w:p>
        </w:tc>
        <w:tc>
          <w:tcPr>
            <w:tcW w:w="5472" w:type="dxa"/>
          </w:tcPr>
          <w:p w14:paraId="6CEF0E3F" w14:textId="77777777" w:rsidR="00B650E5" w:rsidRDefault="00B650E5">
            <w:pPr>
              <w:keepNext/>
              <w:keepLines/>
              <w:spacing w:before="120" w:after="120"/>
              <w:jc w:val="both"/>
              <w:rPr>
                <w:bCs/>
                <w:i/>
              </w:rPr>
            </w:pPr>
            <w:r>
              <w:rPr>
                <w:bCs/>
                <w:i/>
              </w:rPr>
              <w:t>Verejný obstarávateľ určil lehotu na predkladanie ponúk alebo žiadosti o účasť v rozpore so ZVO</w:t>
            </w:r>
            <w:r w:rsidR="0012163A">
              <w:rPr>
                <w:bCs/>
                <w:i/>
              </w:rPr>
              <w:t>.</w:t>
            </w:r>
          </w:p>
        </w:tc>
      </w:tr>
      <w:tr w:rsidR="00B650E5" w14:paraId="282CF855" w14:textId="77777777">
        <w:tc>
          <w:tcPr>
            <w:tcW w:w="567" w:type="dxa"/>
            <w:vAlign w:val="center"/>
          </w:tcPr>
          <w:p w14:paraId="3C562280" w14:textId="77777777" w:rsidR="00B650E5" w:rsidRDefault="00B650E5">
            <w:pPr>
              <w:keepNext/>
              <w:keepLines/>
              <w:spacing w:before="120" w:after="120"/>
              <w:ind w:left="34"/>
              <w:jc w:val="center"/>
              <w:rPr>
                <w:bCs/>
                <w:i/>
              </w:rPr>
            </w:pPr>
            <w:r>
              <w:rPr>
                <w:bCs/>
                <w:i/>
              </w:rPr>
              <w:t>14</w:t>
            </w:r>
          </w:p>
        </w:tc>
        <w:tc>
          <w:tcPr>
            <w:tcW w:w="3600" w:type="dxa"/>
            <w:vAlign w:val="center"/>
          </w:tcPr>
          <w:p w14:paraId="4F766D34" w14:textId="77777777" w:rsidR="00B650E5" w:rsidRDefault="00B650E5">
            <w:pPr>
              <w:keepNext/>
              <w:keepLines/>
              <w:spacing w:before="120" w:after="120"/>
              <w:ind w:left="34"/>
              <w:jc w:val="center"/>
              <w:rPr>
                <w:bCs/>
                <w:i/>
              </w:rPr>
            </w:pPr>
            <w:r>
              <w:rPr>
                <w:bCs/>
                <w:i/>
              </w:rPr>
              <w:t>Obmedzenie prístupu záujemcov/uchádzačov k informáciám/dokumentácii</w:t>
            </w:r>
          </w:p>
        </w:tc>
        <w:tc>
          <w:tcPr>
            <w:tcW w:w="5472" w:type="dxa"/>
          </w:tcPr>
          <w:p w14:paraId="0D484287" w14:textId="77777777" w:rsidR="00B650E5" w:rsidRDefault="00B650E5">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r w:rsidR="0012163A">
              <w:rPr>
                <w:bCs/>
                <w:i/>
              </w:rPr>
              <w:t>.</w:t>
            </w:r>
          </w:p>
        </w:tc>
      </w:tr>
      <w:tr w:rsidR="00B650E5" w14:paraId="403D2924" w14:textId="77777777">
        <w:tc>
          <w:tcPr>
            <w:tcW w:w="567" w:type="dxa"/>
            <w:vAlign w:val="center"/>
          </w:tcPr>
          <w:p w14:paraId="603F8CB3" w14:textId="77777777" w:rsidR="00B650E5" w:rsidRDefault="00B650E5">
            <w:pPr>
              <w:keepNext/>
              <w:keepLines/>
              <w:spacing w:before="120" w:after="120"/>
              <w:ind w:left="34"/>
              <w:jc w:val="center"/>
              <w:rPr>
                <w:bCs/>
                <w:i/>
              </w:rPr>
            </w:pPr>
            <w:r>
              <w:rPr>
                <w:bCs/>
                <w:i/>
              </w:rPr>
              <w:t>15</w:t>
            </w:r>
          </w:p>
        </w:tc>
        <w:tc>
          <w:tcPr>
            <w:tcW w:w="3600" w:type="dxa"/>
            <w:vAlign w:val="center"/>
          </w:tcPr>
          <w:p w14:paraId="0105953C" w14:textId="77777777" w:rsidR="00B650E5" w:rsidRDefault="00B650E5">
            <w:pPr>
              <w:keepNext/>
              <w:keepLines/>
              <w:spacing w:before="120" w:after="120"/>
              <w:ind w:left="34"/>
              <w:jc w:val="center"/>
              <w:rPr>
                <w:bCs/>
                <w:i/>
              </w:rPr>
            </w:pPr>
            <w:r>
              <w:rPr>
                <w:bCs/>
                <w:i/>
              </w:rPr>
              <w:t>Ponuky predložené po lehote na predkladanie sú akceptované</w:t>
            </w:r>
          </w:p>
        </w:tc>
        <w:tc>
          <w:tcPr>
            <w:tcW w:w="5472" w:type="dxa"/>
          </w:tcPr>
          <w:p w14:paraId="4E3AC8FB" w14:textId="77777777" w:rsidR="00B650E5" w:rsidRDefault="00B650E5">
            <w:pPr>
              <w:keepNext/>
              <w:keepLines/>
              <w:spacing w:before="120" w:after="120"/>
              <w:jc w:val="both"/>
              <w:rPr>
                <w:bCs/>
                <w:i/>
              </w:rPr>
            </w:pPr>
            <w:r>
              <w:rPr>
                <w:bCs/>
                <w:i/>
              </w:rPr>
              <w:t>Napriek skutočnosti, že ponuky boli predložené po lehote na predkladanie ponúk, verejný obstarávateľ tieto ponuky akceptoval</w:t>
            </w:r>
            <w:r w:rsidR="0012163A">
              <w:rPr>
                <w:bCs/>
                <w:i/>
              </w:rPr>
              <w:t>.</w:t>
            </w:r>
          </w:p>
        </w:tc>
      </w:tr>
      <w:tr w:rsidR="00B650E5" w14:paraId="14E38E70" w14:textId="77777777">
        <w:tc>
          <w:tcPr>
            <w:tcW w:w="567" w:type="dxa"/>
            <w:vAlign w:val="center"/>
          </w:tcPr>
          <w:p w14:paraId="056014DC" w14:textId="77777777" w:rsidR="00B650E5" w:rsidRDefault="00B650E5">
            <w:pPr>
              <w:keepNext/>
              <w:keepLines/>
              <w:spacing w:before="120" w:after="120"/>
              <w:ind w:left="34"/>
              <w:jc w:val="center"/>
              <w:rPr>
                <w:bCs/>
                <w:i/>
              </w:rPr>
            </w:pPr>
            <w:r>
              <w:rPr>
                <w:bCs/>
                <w:i/>
              </w:rPr>
              <w:t>16</w:t>
            </w:r>
          </w:p>
        </w:tc>
        <w:tc>
          <w:tcPr>
            <w:tcW w:w="3600" w:type="dxa"/>
            <w:vAlign w:val="center"/>
          </w:tcPr>
          <w:p w14:paraId="520CFA09" w14:textId="77777777" w:rsidR="00B650E5" w:rsidRDefault="00B650E5">
            <w:pPr>
              <w:keepNext/>
              <w:keepLines/>
              <w:spacing w:before="120" w:after="120"/>
              <w:ind w:left="34"/>
              <w:jc w:val="center"/>
              <w:rPr>
                <w:bCs/>
                <w:i/>
              </w:rPr>
            </w:pPr>
            <w:r>
              <w:rPr>
                <w:bCs/>
                <w:i/>
              </w:rPr>
              <w:t>Nízky počet ponúk/žiadostí o účasť</w:t>
            </w:r>
          </w:p>
        </w:tc>
        <w:tc>
          <w:tcPr>
            <w:tcW w:w="5472" w:type="dxa"/>
          </w:tcPr>
          <w:p w14:paraId="56E11B5C" w14:textId="77777777" w:rsidR="00B650E5" w:rsidRDefault="00B650E5">
            <w:pPr>
              <w:keepNext/>
              <w:keepLines/>
              <w:spacing w:before="120" w:after="120"/>
              <w:jc w:val="both"/>
              <w:rPr>
                <w:bCs/>
                <w:i/>
              </w:rPr>
            </w:pPr>
            <w:r>
              <w:rPr>
                <w:bCs/>
                <w:i/>
              </w:rPr>
              <w:t xml:space="preserve">V rámci súťaže bol predložený nízky počet ponúk alebo žiadostí o účasť (1 až 2) </w:t>
            </w:r>
          </w:p>
        </w:tc>
      </w:tr>
      <w:tr w:rsidR="00B650E5" w14:paraId="1F1CBF03" w14:textId="77777777">
        <w:tc>
          <w:tcPr>
            <w:tcW w:w="567" w:type="dxa"/>
            <w:vAlign w:val="center"/>
          </w:tcPr>
          <w:p w14:paraId="78DC1562" w14:textId="77777777" w:rsidR="00B650E5" w:rsidRDefault="00B650E5">
            <w:pPr>
              <w:keepNext/>
              <w:keepLines/>
              <w:spacing w:before="120" w:after="120"/>
              <w:ind w:left="34"/>
              <w:jc w:val="center"/>
              <w:rPr>
                <w:bCs/>
                <w:i/>
              </w:rPr>
            </w:pPr>
            <w:r>
              <w:rPr>
                <w:bCs/>
                <w:i/>
              </w:rPr>
              <w:lastRenderedPageBreak/>
              <w:t>17</w:t>
            </w:r>
          </w:p>
        </w:tc>
        <w:tc>
          <w:tcPr>
            <w:tcW w:w="3600" w:type="dxa"/>
            <w:vAlign w:val="center"/>
          </w:tcPr>
          <w:p w14:paraId="2E2D415F" w14:textId="77777777" w:rsidR="00B650E5" w:rsidRDefault="00B650E5">
            <w:pPr>
              <w:keepNext/>
              <w:keepLines/>
              <w:spacing w:before="120" w:after="120"/>
              <w:ind w:left="34"/>
              <w:jc w:val="center"/>
              <w:rPr>
                <w:bCs/>
                <w:i/>
              </w:rPr>
            </w:pPr>
            <w:r>
              <w:rPr>
                <w:bCs/>
                <w:i/>
              </w:rPr>
              <w:t>Akékoľvek „tieňové“ ponuky/žiadosti o účasť</w:t>
            </w:r>
          </w:p>
        </w:tc>
        <w:tc>
          <w:tcPr>
            <w:tcW w:w="5472" w:type="dxa"/>
          </w:tcPr>
          <w:p w14:paraId="19319B3A" w14:textId="77777777" w:rsidR="00B650E5" w:rsidRDefault="00B650E5">
            <w:pPr>
              <w:keepNext/>
              <w:keepLines/>
              <w:spacing w:before="120" w:after="120"/>
              <w:jc w:val="both"/>
              <w:rPr>
                <w:bCs/>
                <w:i/>
              </w:rPr>
            </w:pPr>
            <w:r>
              <w:rPr>
                <w:bCs/>
                <w:i/>
              </w:rPr>
              <w:t>Ponuky predložili aj uchádzači, ktorí nie sú zjavne kvalifikovaní</w:t>
            </w:r>
            <w:r w:rsidR="00F64BDD">
              <w:rPr>
                <w:bCs/>
                <w:i/>
              </w:rPr>
              <w:t>,</w:t>
            </w:r>
            <w:r>
              <w:rPr>
                <w:bCs/>
                <w:i/>
              </w:rPr>
              <w:t xml:space="preserve"> resp. ich ponuka nespĺňa základné požiadavky určené verejným obstarávateľom</w:t>
            </w:r>
          </w:p>
        </w:tc>
      </w:tr>
      <w:tr w:rsidR="00B650E5" w14:paraId="60A0EF73" w14:textId="77777777">
        <w:tc>
          <w:tcPr>
            <w:tcW w:w="567" w:type="dxa"/>
            <w:vAlign w:val="center"/>
          </w:tcPr>
          <w:p w14:paraId="2CD89FBF" w14:textId="77777777" w:rsidR="00B650E5" w:rsidRDefault="00B650E5">
            <w:pPr>
              <w:keepNext/>
              <w:keepLines/>
              <w:spacing w:before="120" w:after="120"/>
              <w:ind w:left="34"/>
              <w:jc w:val="center"/>
              <w:rPr>
                <w:bCs/>
                <w:i/>
              </w:rPr>
            </w:pPr>
            <w:r>
              <w:rPr>
                <w:bCs/>
                <w:i/>
              </w:rPr>
              <w:t>18</w:t>
            </w:r>
          </w:p>
        </w:tc>
        <w:tc>
          <w:tcPr>
            <w:tcW w:w="3600" w:type="dxa"/>
            <w:vAlign w:val="center"/>
          </w:tcPr>
          <w:p w14:paraId="0D752B12" w14:textId="77777777" w:rsidR="00B650E5" w:rsidRDefault="00B650E5">
            <w:pPr>
              <w:keepNext/>
              <w:keepLines/>
              <w:spacing w:before="120" w:after="120"/>
              <w:ind w:left="34"/>
              <w:jc w:val="center"/>
              <w:rPr>
                <w:bCs/>
                <w:i/>
              </w:rPr>
            </w:pPr>
            <w:r>
              <w:rPr>
                <w:bCs/>
                <w:i/>
              </w:rPr>
              <w:t>„Offshore“ ponuky</w:t>
            </w:r>
          </w:p>
        </w:tc>
        <w:tc>
          <w:tcPr>
            <w:tcW w:w="5472" w:type="dxa"/>
          </w:tcPr>
          <w:p w14:paraId="63020C5B" w14:textId="280D671C" w:rsidR="00B650E5" w:rsidRDefault="00B650E5" w:rsidP="007844C1">
            <w:pPr>
              <w:keepNext/>
              <w:keepLines/>
              <w:spacing w:before="120" w:after="120"/>
              <w:jc w:val="both"/>
              <w:rPr>
                <w:bCs/>
                <w:i/>
              </w:rPr>
            </w:pPr>
            <w:r>
              <w:rPr>
                <w:bCs/>
                <w:i/>
              </w:rPr>
              <w:t>Ponuku predložil uchádzač, ktorého sídlo je v krajine tzv. „daňového raja“</w:t>
            </w:r>
            <w:r w:rsidR="00584ECC">
              <w:rPr>
                <w:bCs/>
                <w:i/>
              </w:rPr>
              <w:t xml:space="preserve"> alebo ponuku</w:t>
            </w:r>
            <w:r>
              <w:rPr>
                <w:bCs/>
                <w:i/>
              </w:rPr>
              <w:t xml:space="preserve"> </w:t>
            </w:r>
            <w:r w:rsidR="00584ECC">
              <w:rPr>
                <w:bCs/>
                <w:i/>
              </w:rPr>
              <w:t xml:space="preserve">predložil </w:t>
            </w:r>
            <w:r>
              <w:rPr>
                <w:bCs/>
                <w:i/>
              </w:rPr>
              <w:t>uchádzač</w:t>
            </w:r>
            <w:r w:rsidR="00584ECC">
              <w:rPr>
                <w:bCs/>
                <w:i/>
              </w:rPr>
              <w:t>, ktorý</w:t>
            </w:r>
            <w:r>
              <w:rPr>
                <w:bCs/>
                <w:i/>
              </w:rPr>
              <w:t xml:space="preserve"> má síce sídlo v</w:t>
            </w:r>
            <w:r w:rsidR="00A920E3">
              <w:rPr>
                <w:bCs/>
                <w:i/>
              </w:rPr>
              <w:t> </w:t>
            </w:r>
            <w:r>
              <w:rPr>
                <w:bCs/>
                <w:i/>
              </w:rPr>
              <w:t>kraj</w:t>
            </w:r>
            <w:r w:rsidR="00A920E3">
              <w:rPr>
                <w:bCs/>
                <w:i/>
              </w:rPr>
              <w:t>i</w:t>
            </w:r>
            <w:r>
              <w:rPr>
                <w:bCs/>
                <w:i/>
              </w:rPr>
              <w:t>ne EÚ, ale jeho bankové účty sú v krajine tzv. „daňového raja“</w:t>
            </w:r>
          </w:p>
        </w:tc>
      </w:tr>
      <w:tr w:rsidR="00B650E5" w14:paraId="25C7269E" w14:textId="77777777">
        <w:tc>
          <w:tcPr>
            <w:tcW w:w="567" w:type="dxa"/>
            <w:vAlign w:val="center"/>
          </w:tcPr>
          <w:p w14:paraId="190EFA4D" w14:textId="77777777" w:rsidR="00B650E5" w:rsidRDefault="00B650E5">
            <w:pPr>
              <w:keepNext/>
              <w:keepLines/>
              <w:spacing w:before="120" w:after="120"/>
              <w:ind w:left="34"/>
              <w:jc w:val="center"/>
              <w:rPr>
                <w:bCs/>
                <w:i/>
              </w:rPr>
            </w:pPr>
            <w:r>
              <w:rPr>
                <w:bCs/>
                <w:i/>
              </w:rPr>
              <w:t>19</w:t>
            </w:r>
          </w:p>
        </w:tc>
        <w:tc>
          <w:tcPr>
            <w:tcW w:w="3600" w:type="dxa"/>
            <w:vAlign w:val="center"/>
          </w:tcPr>
          <w:p w14:paraId="6EA5288C" w14:textId="77777777" w:rsidR="00B650E5" w:rsidRDefault="00B650E5">
            <w:pPr>
              <w:keepNext/>
              <w:keepLines/>
              <w:spacing w:before="120" w:after="120"/>
              <w:ind w:left="34"/>
              <w:jc w:val="center"/>
              <w:rPr>
                <w:bCs/>
                <w:i/>
              </w:rPr>
            </w:pPr>
            <w:r>
              <w:rPr>
                <w:bCs/>
                <w:i/>
              </w:rPr>
              <w:t>Identifikované zmeny v ponuke uchádzača po jej predložení</w:t>
            </w:r>
          </w:p>
        </w:tc>
        <w:tc>
          <w:tcPr>
            <w:tcW w:w="5472" w:type="dxa"/>
          </w:tcPr>
          <w:p w14:paraId="51117520" w14:textId="77777777" w:rsidR="00B650E5" w:rsidRDefault="00B650E5">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B650E5" w14:paraId="58064596" w14:textId="77777777">
        <w:tc>
          <w:tcPr>
            <w:tcW w:w="567" w:type="dxa"/>
            <w:vAlign w:val="center"/>
          </w:tcPr>
          <w:p w14:paraId="642134A4" w14:textId="77777777" w:rsidR="00B650E5" w:rsidRDefault="00B650E5">
            <w:pPr>
              <w:keepNext/>
              <w:keepLines/>
              <w:spacing w:before="120" w:after="120"/>
              <w:ind w:left="34"/>
              <w:jc w:val="center"/>
              <w:rPr>
                <w:bCs/>
                <w:i/>
              </w:rPr>
            </w:pPr>
            <w:r>
              <w:rPr>
                <w:bCs/>
                <w:i/>
              </w:rPr>
              <w:t>20</w:t>
            </w:r>
          </w:p>
        </w:tc>
        <w:tc>
          <w:tcPr>
            <w:tcW w:w="3600" w:type="dxa"/>
            <w:vAlign w:val="center"/>
          </w:tcPr>
          <w:p w14:paraId="68ED6F16" w14:textId="77777777" w:rsidR="00B650E5" w:rsidRDefault="00B650E5">
            <w:pPr>
              <w:keepNext/>
              <w:keepLines/>
              <w:spacing w:before="120" w:after="120"/>
              <w:ind w:left="34"/>
              <w:jc w:val="center"/>
              <w:rPr>
                <w:bCs/>
                <w:i/>
              </w:rPr>
            </w:pPr>
            <w:r>
              <w:rPr>
                <w:bCs/>
                <w:i/>
              </w:rPr>
              <w:t>Ponuky vylúčené pre chyby</w:t>
            </w:r>
          </w:p>
        </w:tc>
        <w:tc>
          <w:tcPr>
            <w:tcW w:w="5472" w:type="dxa"/>
          </w:tcPr>
          <w:p w14:paraId="77CB9454" w14:textId="77777777" w:rsidR="00B650E5" w:rsidRDefault="00B650E5">
            <w:pPr>
              <w:keepNext/>
              <w:keepLines/>
              <w:spacing w:before="120" w:after="120"/>
              <w:jc w:val="both"/>
              <w:rPr>
                <w:bCs/>
                <w:i/>
              </w:rPr>
            </w:pPr>
            <w:r>
              <w:rPr>
                <w:bCs/>
                <w:i/>
              </w:rPr>
              <w:t>Verejný obstarávateľ vylúčil zjavne kvalifikované ponuky pre formálne nedostatky, resp. pre otázne dôvody</w:t>
            </w:r>
            <w:r w:rsidR="0012163A">
              <w:rPr>
                <w:bCs/>
                <w:i/>
              </w:rPr>
              <w:t>.</w:t>
            </w:r>
          </w:p>
        </w:tc>
      </w:tr>
      <w:tr w:rsidR="00B650E5" w14:paraId="35237923" w14:textId="77777777">
        <w:tc>
          <w:tcPr>
            <w:tcW w:w="567" w:type="dxa"/>
            <w:vAlign w:val="center"/>
          </w:tcPr>
          <w:p w14:paraId="03A87B10" w14:textId="77777777" w:rsidR="00B650E5" w:rsidRDefault="00B650E5">
            <w:pPr>
              <w:keepNext/>
              <w:keepLines/>
              <w:spacing w:before="120" w:after="120"/>
              <w:ind w:left="34"/>
              <w:jc w:val="center"/>
              <w:rPr>
                <w:bCs/>
                <w:i/>
              </w:rPr>
            </w:pPr>
            <w:r>
              <w:rPr>
                <w:bCs/>
                <w:i/>
              </w:rPr>
              <w:t>21</w:t>
            </w:r>
          </w:p>
        </w:tc>
        <w:tc>
          <w:tcPr>
            <w:tcW w:w="3600" w:type="dxa"/>
            <w:vAlign w:val="center"/>
          </w:tcPr>
          <w:p w14:paraId="7185DA0B" w14:textId="77777777" w:rsidR="00B650E5" w:rsidRDefault="00B650E5">
            <w:pPr>
              <w:keepNext/>
              <w:keepLines/>
              <w:spacing w:before="120" w:after="120"/>
              <w:ind w:left="34"/>
              <w:jc w:val="center"/>
              <w:rPr>
                <w:bCs/>
                <w:i/>
              </w:rPr>
            </w:pPr>
            <w:r>
              <w:rPr>
                <w:bCs/>
                <w:i/>
              </w:rPr>
              <w:t>Akékoľvek sťažnosti od neúspešných uchádzačov/záujemcov, mediálne podnety</w:t>
            </w:r>
          </w:p>
        </w:tc>
        <w:tc>
          <w:tcPr>
            <w:tcW w:w="5472" w:type="dxa"/>
          </w:tcPr>
          <w:p w14:paraId="370AD1E8" w14:textId="77777777" w:rsidR="00B650E5" w:rsidRDefault="00B650E5">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r w:rsidR="0012163A">
              <w:rPr>
                <w:bCs/>
                <w:i/>
              </w:rPr>
              <w:t>.</w:t>
            </w:r>
          </w:p>
        </w:tc>
      </w:tr>
      <w:tr w:rsidR="00B650E5" w14:paraId="73E87372" w14:textId="77777777">
        <w:tc>
          <w:tcPr>
            <w:tcW w:w="567" w:type="dxa"/>
            <w:vAlign w:val="center"/>
          </w:tcPr>
          <w:p w14:paraId="2CEB14F9" w14:textId="77777777" w:rsidR="00B650E5" w:rsidRDefault="00B650E5">
            <w:pPr>
              <w:keepNext/>
              <w:keepLines/>
              <w:spacing w:before="120" w:after="120"/>
              <w:ind w:left="34"/>
              <w:jc w:val="center"/>
              <w:rPr>
                <w:bCs/>
                <w:i/>
              </w:rPr>
            </w:pPr>
            <w:r>
              <w:rPr>
                <w:bCs/>
                <w:i/>
              </w:rPr>
              <w:t>22</w:t>
            </w:r>
          </w:p>
        </w:tc>
        <w:tc>
          <w:tcPr>
            <w:tcW w:w="3600" w:type="dxa"/>
            <w:vAlign w:val="center"/>
          </w:tcPr>
          <w:p w14:paraId="51906574" w14:textId="77777777" w:rsidR="00B650E5" w:rsidRDefault="00B650E5">
            <w:pPr>
              <w:keepNext/>
              <w:keepLines/>
              <w:spacing w:before="120" w:after="120"/>
              <w:ind w:left="34"/>
              <w:jc w:val="center"/>
              <w:rPr>
                <w:bCs/>
                <w:i/>
              </w:rPr>
            </w:pPr>
            <w:r>
              <w:rPr>
                <w:bCs/>
                <w:i/>
              </w:rPr>
              <w:t>Vykonané zmeny hneď po uzavretí zmluvy, alebo pri podpísaní zmluvy</w:t>
            </w:r>
          </w:p>
        </w:tc>
        <w:tc>
          <w:tcPr>
            <w:tcW w:w="5472" w:type="dxa"/>
          </w:tcPr>
          <w:p w14:paraId="2B90FA8B" w14:textId="77777777" w:rsidR="00B650E5" w:rsidRDefault="00B650E5">
            <w:pPr>
              <w:keepNext/>
              <w:keepLines/>
              <w:spacing w:before="120" w:after="120"/>
              <w:jc w:val="both"/>
              <w:rPr>
                <w:bCs/>
                <w:i/>
              </w:rPr>
            </w:pPr>
            <w:r>
              <w:rPr>
                <w:bCs/>
                <w:i/>
              </w:rPr>
              <w:t>Samotná podpísaná ponuka obsahuje napr. naviac položky, ktoré ale neboli predmetom zákazky, resp. ponuky uchádzača. Sú vykonané podstatné zmeny meniace zmluvnú rovnováhu alebo predmet zákazky.</w:t>
            </w:r>
          </w:p>
        </w:tc>
      </w:tr>
      <w:tr w:rsidR="00B650E5" w14:paraId="7B03CF38" w14:textId="77777777">
        <w:tc>
          <w:tcPr>
            <w:tcW w:w="567" w:type="dxa"/>
            <w:vAlign w:val="center"/>
          </w:tcPr>
          <w:p w14:paraId="37A1CB29" w14:textId="77777777" w:rsidR="00B650E5" w:rsidRDefault="00B650E5">
            <w:pPr>
              <w:keepNext/>
              <w:keepLines/>
              <w:spacing w:before="120" w:after="120"/>
              <w:ind w:left="34"/>
              <w:jc w:val="center"/>
              <w:rPr>
                <w:bCs/>
                <w:i/>
              </w:rPr>
            </w:pPr>
            <w:r>
              <w:rPr>
                <w:bCs/>
                <w:i/>
              </w:rPr>
              <w:t>23</w:t>
            </w:r>
          </w:p>
        </w:tc>
        <w:tc>
          <w:tcPr>
            <w:tcW w:w="3600" w:type="dxa"/>
            <w:vAlign w:val="center"/>
          </w:tcPr>
          <w:p w14:paraId="54FBA95A" w14:textId="77777777" w:rsidR="00B650E5" w:rsidRDefault="00B650E5">
            <w:pPr>
              <w:keepNext/>
              <w:keepLines/>
              <w:spacing w:before="120" w:after="120"/>
              <w:ind w:left="34"/>
              <w:jc w:val="center"/>
              <w:rPr>
                <w:bCs/>
                <w:i/>
              </w:rPr>
            </w:pPr>
            <w:r>
              <w:rPr>
                <w:bCs/>
                <w:i/>
              </w:rPr>
              <w:t>Výšky ponúk sa nezvyčajne  blízko približujú k hodnote predpokladanej hodnoty zákazky</w:t>
            </w:r>
            <w:r w:rsidR="00F64BDD">
              <w:rPr>
                <w:bCs/>
                <w:i/>
              </w:rPr>
              <w:t>,</w:t>
            </w:r>
            <w:r>
              <w:rPr>
                <w:bCs/>
                <w:i/>
              </w:rPr>
              <w:t xml:space="preserve"> resp. k hodnote schváleného projektu</w:t>
            </w:r>
          </w:p>
        </w:tc>
        <w:tc>
          <w:tcPr>
            <w:tcW w:w="5472" w:type="dxa"/>
          </w:tcPr>
          <w:p w14:paraId="559CCA25" w14:textId="77777777" w:rsidR="00B650E5" w:rsidRDefault="00B650E5">
            <w:pPr>
              <w:keepNext/>
              <w:keepLines/>
              <w:spacing w:before="120" w:after="120"/>
              <w:jc w:val="both"/>
              <w:rPr>
                <w:bCs/>
                <w:i/>
              </w:rPr>
            </w:pPr>
            <w:r>
              <w:rPr>
                <w:bCs/>
                <w:i/>
              </w:rPr>
              <w:t>Väčšina z ponúk ich výškou takmer kopíruje predpokladanú hodnotu zákazky alebo hodnotu projektu tak</w:t>
            </w:r>
            <w:r w:rsidR="0012163A">
              <w:rPr>
                <w:bCs/>
                <w:i/>
              </w:rPr>
              <w:t>,</w:t>
            </w:r>
            <w:r>
              <w:rPr>
                <w:bCs/>
                <w:i/>
              </w:rPr>
              <w:t xml:space="preserve"> ako bol schválený v rámci ŽoNFP</w:t>
            </w:r>
            <w:r w:rsidR="0012163A">
              <w:rPr>
                <w:bCs/>
                <w:i/>
              </w:rPr>
              <w:t>.</w:t>
            </w:r>
            <w:r>
              <w:rPr>
                <w:bCs/>
                <w:i/>
              </w:rPr>
              <w:t xml:space="preserve"> </w:t>
            </w:r>
          </w:p>
        </w:tc>
      </w:tr>
      <w:tr w:rsidR="00B650E5" w14:paraId="1F3125BF" w14:textId="77777777">
        <w:tc>
          <w:tcPr>
            <w:tcW w:w="567" w:type="dxa"/>
            <w:vAlign w:val="center"/>
          </w:tcPr>
          <w:p w14:paraId="5C31991E" w14:textId="77777777" w:rsidR="00B650E5" w:rsidRDefault="00B650E5">
            <w:pPr>
              <w:keepNext/>
              <w:keepLines/>
              <w:spacing w:before="120" w:after="120"/>
              <w:ind w:left="34"/>
              <w:jc w:val="center"/>
              <w:rPr>
                <w:bCs/>
                <w:i/>
              </w:rPr>
            </w:pPr>
            <w:r>
              <w:rPr>
                <w:bCs/>
                <w:i/>
              </w:rPr>
              <w:t>24</w:t>
            </w:r>
          </w:p>
        </w:tc>
        <w:tc>
          <w:tcPr>
            <w:tcW w:w="3600" w:type="dxa"/>
            <w:vAlign w:val="center"/>
          </w:tcPr>
          <w:p w14:paraId="75CC04D0" w14:textId="77777777" w:rsidR="00B650E5" w:rsidRDefault="00B650E5">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14:paraId="2EE19580" w14:textId="77777777" w:rsidR="00B650E5" w:rsidRDefault="00B650E5">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B650E5" w14:paraId="1F50AE04" w14:textId="77777777">
        <w:tc>
          <w:tcPr>
            <w:tcW w:w="567" w:type="dxa"/>
            <w:vAlign w:val="center"/>
          </w:tcPr>
          <w:p w14:paraId="3B81C67C" w14:textId="77777777" w:rsidR="00B650E5" w:rsidRDefault="00B650E5">
            <w:pPr>
              <w:keepNext/>
              <w:keepLines/>
              <w:spacing w:before="120" w:after="120"/>
              <w:ind w:left="34"/>
              <w:jc w:val="center"/>
              <w:rPr>
                <w:bCs/>
                <w:i/>
              </w:rPr>
            </w:pPr>
            <w:r>
              <w:rPr>
                <w:bCs/>
                <w:i/>
              </w:rPr>
              <w:t>25</w:t>
            </w:r>
          </w:p>
        </w:tc>
        <w:tc>
          <w:tcPr>
            <w:tcW w:w="3600" w:type="dxa"/>
            <w:vAlign w:val="center"/>
          </w:tcPr>
          <w:p w14:paraId="7CA8626D" w14:textId="77777777" w:rsidR="00B650E5" w:rsidRDefault="00B650E5">
            <w:pPr>
              <w:keepNext/>
              <w:keepLines/>
              <w:spacing w:before="120" w:after="120"/>
              <w:ind w:left="34"/>
              <w:jc w:val="center"/>
              <w:rPr>
                <w:bCs/>
                <w:i/>
              </w:rPr>
            </w:pPr>
            <w:r>
              <w:rPr>
                <w:bCs/>
                <w:i/>
              </w:rPr>
              <w:t>Chýba zdôvodnenie výberu úspešného uchádzača</w:t>
            </w:r>
            <w:r w:rsidR="00F64BDD">
              <w:rPr>
                <w:bCs/>
                <w:i/>
              </w:rPr>
              <w:t>,</w:t>
            </w:r>
            <w:r>
              <w:rPr>
                <w:bCs/>
                <w:i/>
              </w:rPr>
              <w:t xml:space="preserve"> resp. zdôvodnenie vylúčenia neúspešných uchádzačov</w:t>
            </w:r>
          </w:p>
        </w:tc>
        <w:tc>
          <w:tcPr>
            <w:tcW w:w="5472" w:type="dxa"/>
          </w:tcPr>
          <w:p w14:paraId="62D4F891" w14:textId="77777777" w:rsidR="00B650E5" w:rsidRDefault="00B650E5">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r w:rsidR="0012163A">
              <w:rPr>
                <w:bCs/>
                <w:i/>
              </w:rPr>
              <w:t>.</w:t>
            </w:r>
          </w:p>
        </w:tc>
      </w:tr>
      <w:tr w:rsidR="00B650E5" w14:paraId="5DADF5B6" w14:textId="77777777">
        <w:tc>
          <w:tcPr>
            <w:tcW w:w="567" w:type="dxa"/>
            <w:vAlign w:val="center"/>
          </w:tcPr>
          <w:p w14:paraId="75309309" w14:textId="77777777" w:rsidR="00B650E5" w:rsidRDefault="00B650E5">
            <w:pPr>
              <w:keepNext/>
              <w:keepLines/>
              <w:spacing w:before="120" w:after="120"/>
              <w:ind w:left="34"/>
              <w:jc w:val="center"/>
              <w:rPr>
                <w:bCs/>
                <w:i/>
              </w:rPr>
            </w:pPr>
            <w:r>
              <w:rPr>
                <w:bCs/>
                <w:i/>
              </w:rPr>
              <w:t>26</w:t>
            </w:r>
          </w:p>
        </w:tc>
        <w:tc>
          <w:tcPr>
            <w:tcW w:w="3600" w:type="dxa"/>
            <w:vAlign w:val="center"/>
          </w:tcPr>
          <w:p w14:paraId="6385BA53" w14:textId="77777777" w:rsidR="00B650E5" w:rsidRDefault="00B650E5">
            <w:pPr>
              <w:keepNext/>
              <w:keepLines/>
              <w:spacing w:before="120" w:after="120"/>
              <w:ind w:left="34"/>
              <w:jc w:val="center"/>
              <w:rPr>
                <w:bCs/>
                <w:i/>
              </w:rPr>
            </w:pPr>
            <w:r>
              <w:rPr>
                <w:bCs/>
                <w:i/>
              </w:rPr>
              <w:t>Nezrovnalosti v zápisnici z vyhodnotenia</w:t>
            </w:r>
          </w:p>
        </w:tc>
        <w:tc>
          <w:tcPr>
            <w:tcW w:w="5472" w:type="dxa"/>
          </w:tcPr>
          <w:p w14:paraId="1C49FE50" w14:textId="77777777" w:rsidR="00B650E5" w:rsidRDefault="00B650E5">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B650E5" w14:paraId="56E89A0B" w14:textId="77777777">
        <w:tc>
          <w:tcPr>
            <w:tcW w:w="567" w:type="dxa"/>
            <w:vAlign w:val="center"/>
          </w:tcPr>
          <w:p w14:paraId="75B83F39" w14:textId="77777777" w:rsidR="00B650E5" w:rsidRDefault="00B650E5">
            <w:pPr>
              <w:keepNext/>
              <w:keepLines/>
              <w:spacing w:before="120" w:after="120"/>
              <w:ind w:left="34"/>
              <w:jc w:val="center"/>
              <w:rPr>
                <w:bCs/>
                <w:i/>
              </w:rPr>
            </w:pPr>
            <w:r>
              <w:rPr>
                <w:bCs/>
                <w:i/>
              </w:rPr>
              <w:lastRenderedPageBreak/>
              <w:t>28</w:t>
            </w:r>
          </w:p>
        </w:tc>
        <w:tc>
          <w:tcPr>
            <w:tcW w:w="3600" w:type="dxa"/>
            <w:vAlign w:val="center"/>
          </w:tcPr>
          <w:p w14:paraId="385E746E" w14:textId="77777777" w:rsidR="00B650E5" w:rsidRDefault="00B650E5">
            <w:pPr>
              <w:keepNext/>
              <w:keepLines/>
              <w:spacing w:before="120" w:after="120"/>
              <w:ind w:left="34"/>
              <w:jc w:val="center"/>
              <w:rPr>
                <w:bCs/>
                <w:i/>
              </w:rPr>
            </w:pPr>
            <w:r>
              <w:rPr>
                <w:bCs/>
                <w:i/>
              </w:rPr>
              <w:t>Vysoký počet zadaní zákaziek jednému dodávateľovi</w:t>
            </w:r>
          </w:p>
        </w:tc>
        <w:tc>
          <w:tcPr>
            <w:tcW w:w="5472" w:type="dxa"/>
          </w:tcPr>
          <w:p w14:paraId="1AA56A38" w14:textId="77777777" w:rsidR="00B650E5" w:rsidRDefault="00B650E5">
            <w:pPr>
              <w:keepNext/>
              <w:keepLines/>
              <w:spacing w:before="120" w:after="120"/>
              <w:jc w:val="both"/>
              <w:rPr>
                <w:bCs/>
                <w:i/>
              </w:rPr>
            </w:pPr>
            <w:r>
              <w:rPr>
                <w:bCs/>
                <w:i/>
              </w:rPr>
              <w:t>Pri vyššom počte zadaní zákaziek je úspešným uchádzačom stále ten istý subjekt (či už na úrovni prijímateľa alebo aj na vyššej – napr. OP a</w:t>
            </w:r>
            <w:r w:rsidR="0012163A">
              <w:rPr>
                <w:bCs/>
                <w:i/>
              </w:rPr>
              <w:t> </w:t>
            </w:r>
            <w:r>
              <w:rPr>
                <w:bCs/>
                <w:i/>
              </w:rPr>
              <w:t>pod</w:t>
            </w:r>
            <w:r w:rsidR="0012163A">
              <w:rPr>
                <w:bCs/>
                <w:i/>
              </w:rPr>
              <w:t>.</w:t>
            </w:r>
            <w:r>
              <w:rPr>
                <w:bCs/>
                <w:i/>
              </w:rPr>
              <w:t>)</w:t>
            </w:r>
            <w:r w:rsidR="0012163A">
              <w:rPr>
                <w:bCs/>
                <w:i/>
              </w:rPr>
              <w:t>.</w:t>
            </w:r>
          </w:p>
        </w:tc>
      </w:tr>
      <w:tr w:rsidR="00B650E5" w14:paraId="113FE754" w14:textId="77777777">
        <w:tc>
          <w:tcPr>
            <w:tcW w:w="567" w:type="dxa"/>
            <w:vAlign w:val="center"/>
          </w:tcPr>
          <w:p w14:paraId="346A7E93" w14:textId="77777777" w:rsidR="00B650E5" w:rsidRDefault="00B650E5">
            <w:pPr>
              <w:keepNext/>
              <w:keepLines/>
              <w:spacing w:before="120" w:after="120"/>
              <w:ind w:left="34"/>
              <w:jc w:val="center"/>
              <w:rPr>
                <w:bCs/>
                <w:i/>
              </w:rPr>
            </w:pPr>
            <w:r>
              <w:rPr>
                <w:bCs/>
                <w:i/>
              </w:rPr>
              <w:t>29</w:t>
            </w:r>
          </w:p>
        </w:tc>
        <w:tc>
          <w:tcPr>
            <w:tcW w:w="3600" w:type="dxa"/>
            <w:vAlign w:val="center"/>
          </w:tcPr>
          <w:p w14:paraId="74869A6D" w14:textId="77777777" w:rsidR="00B650E5" w:rsidRDefault="00B650E5">
            <w:pPr>
              <w:keepNext/>
              <w:keepLines/>
              <w:spacing w:before="120" w:after="120"/>
              <w:ind w:left="34"/>
              <w:jc w:val="center"/>
              <w:rPr>
                <w:bCs/>
                <w:i/>
              </w:rPr>
            </w:pPr>
            <w:r>
              <w:rPr>
                <w:bCs/>
                <w:i/>
              </w:rPr>
              <w:t>Kaskádové (reťazové) subkontrahovanie</w:t>
            </w:r>
          </w:p>
        </w:tc>
        <w:tc>
          <w:tcPr>
            <w:tcW w:w="5472" w:type="dxa"/>
          </w:tcPr>
          <w:p w14:paraId="6ADF3D4F" w14:textId="77777777" w:rsidR="00B650E5" w:rsidRDefault="00B650E5">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14:paraId="5B9A3D15" w14:textId="77777777" w:rsidR="00B650E5" w:rsidRDefault="00B650E5">
      <w:pPr>
        <w:pStyle w:val="SRK2"/>
        <w:rPr>
          <w:rStyle w:val="Nadpis1Char"/>
          <w:bCs/>
          <w:sz w:val="36"/>
          <w:szCs w:val="26"/>
        </w:rPr>
      </w:pPr>
      <w:bookmarkStart w:id="450" w:name="_Toc453234055"/>
      <w:bookmarkStart w:id="451" w:name="_Toc501630106"/>
      <w:r>
        <w:rPr>
          <w:rStyle w:val="Nadpis1Char"/>
          <w:bCs/>
          <w:sz w:val="36"/>
          <w:szCs w:val="26"/>
        </w:rPr>
        <w:t>3.4 Osobitné spôsoby implementácie operačných programov</w:t>
      </w:r>
      <w:bookmarkEnd w:id="341"/>
      <w:bookmarkEnd w:id="450"/>
      <w:bookmarkEnd w:id="451"/>
    </w:p>
    <w:p w14:paraId="472637FA" w14:textId="77777777" w:rsidR="00B650E5" w:rsidRDefault="00B650E5">
      <w:pPr>
        <w:pStyle w:val="SRK3"/>
      </w:pPr>
      <w:bookmarkStart w:id="452" w:name="_Toc378947523"/>
      <w:bookmarkStart w:id="453" w:name="_Toc453234056"/>
      <w:bookmarkStart w:id="454" w:name="_Toc501630107"/>
      <w:bookmarkStart w:id="455" w:name="kapitola_341"/>
      <w:r>
        <w:t>3.4.1 Národné projekty</w:t>
      </w:r>
      <w:bookmarkEnd w:id="452"/>
      <w:bookmarkEnd w:id="453"/>
      <w:bookmarkEnd w:id="454"/>
    </w:p>
    <w:bookmarkEnd w:id="455"/>
    <w:p w14:paraId="203E5A7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EÚ:</w:t>
      </w:r>
    </w:p>
    <w:p w14:paraId="13228A7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xml:space="preserve">Čl. 125 ods. 1 a 3 všeobecného nariadenia </w:t>
      </w:r>
    </w:p>
    <w:p w14:paraId="2F269FE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Cs w:val="22"/>
          <w:u w:val="single"/>
          <w:lang w:eastAsia="en-US"/>
        </w:rPr>
      </w:pPr>
      <w:r>
        <w:rPr>
          <w:bCs/>
          <w:iCs/>
          <w:szCs w:val="22"/>
          <w:u w:val="single"/>
          <w:lang w:eastAsia="en-US"/>
        </w:rPr>
        <w:t>Relevantná úprava v legislatíve SR:</w:t>
      </w:r>
    </w:p>
    <w:p w14:paraId="77D1C60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Cs w:val="22"/>
          <w:lang w:eastAsia="en-US"/>
        </w:rPr>
      </w:pPr>
      <w:r>
        <w:rPr>
          <w:bCs/>
          <w:i/>
          <w:iCs/>
          <w:szCs w:val="22"/>
          <w:lang w:eastAsia="en-US"/>
        </w:rPr>
        <w:t>§ 26</w:t>
      </w:r>
      <w:r w:rsidR="00AF2804">
        <w:rPr>
          <w:bCs/>
          <w:i/>
          <w:iCs/>
          <w:szCs w:val="22"/>
          <w:lang w:eastAsia="en-US"/>
        </w:rPr>
        <w:t xml:space="preserve"> </w:t>
      </w:r>
      <w:r>
        <w:rPr>
          <w:bCs/>
          <w:i/>
          <w:iCs/>
          <w:szCs w:val="22"/>
          <w:lang w:eastAsia="en-US"/>
        </w:rPr>
        <w:t>zákona o príspevku z EŠIF</w:t>
      </w:r>
    </w:p>
    <w:p w14:paraId="45A7A5BB"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14:paraId="4B8DDC03"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Národný projekt realizuje na návrh poskytovateľa prijímateľ</w:t>
      </w:r>
    </w:p>
    <w:p w14:paraId="1C3E3A35"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určený v OP, alebo</w:t>
      </w:r>
    </w:p>
    <w:p w14:paraId="1A4BB1F0"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ktorého kompetencie spojené s realizáciou projektu vyplývajú priamo z osobitných predpisov, alebo</w:t>
      </w:r>
    </w:p>
    <w:p w14:paraId="64F5FDE1"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schválený MV, alebo</w:t>
      </w:r>
    </w:p>
    <w:p w14:paraId="4C199BB2" w14:textId="77777777" w:rsidR="00B650E5" w:rsidRDefault="00B650E5">
      <w:pPr>
        <w:numPr>
          <w:ilvl w:val="1"/>
          <w:numId w:val="346"/>
        </w:numPr>
        <w:spacing w:before="120" w:after="120"/>
        <w:ind w:left="851" w:hanging="425"/>
        <w:jc w:val="both"/>
        <w:rPr>
          <w:bCs/>
          <w:iCs/>
          <w:szCs w:val="22"/>
          <w:lang w:eastAsia="en-US"/>
        </w:rPr>
      </w:pPr>
      <w:r>
        <w:rPr>
          <w:bCs/>
          <w:iCs/>
          <w:szCs w:val="22"/>
          <w:lang w:eastAsia="en-US"/>
        </w:rPr>
        <w:t xml:space="preserve">schválený komisiou </w:t>
      </w:r>
      <w:r w:rsidR="00C228C8">
        <w:rPr>
          <w:bCs/>
          <w:iCs/>
          <w:szCs w:val="22"/>
          <w:lang w:eastAsia="en-US"/>
        </w:rPr>
        <w:t>pri</w:t>
      </w:r>
      <w:r>
        <w:rPr>
          <w:bCs/>
          <w:iCs/>
          <w:szCs w:val="22"/>
          <w:lang w:eastAsia="en-US"/>
        </w:rPr>
        <w:t xml:space="preserve"> MV.</w:t>
      </w:r>
    </w:p>
    <w:p w14:paraId="0D76D847" w14:textId="300A7B19" w:rsidR="00B650E5" w:rsidRDefault="00B650E5">
      <w:pPr>
        <w:numPr>
          <w:ilvl w:val="0"/>
          <w:numId w:val="10"/>
        </w:numPr>
        <w:spacing w:before="120" w:after="120"/>
        <w:ind w:left="426" w:hanging="426"/>
        <w:jc w:val="both"/>
        <w:rPr>
          <w:bCs/>
          <w:iCs/>
          <w:szCs w:val="22"/>
          <w:lang w:eastAsia="en-US"/>
        </w:rPr>
      </w:pPr>
      <w:bookmarkStart w:id="456" w:name="kapitola_341_ods_3"/>
      <w:r>
        <w:rPr>
          <w:bCs/>
          <w:iCs/>
          <w:szCs w:val="22"/>
          <w:lang w:eastAsia="en-US"/>
        </w:rPr>
        <w:t xml:space="preserve">Zámery národných projektov schvaľuje MV alebo komisia </w:t>
      </w:r>
      <w:r w:rsidR="00C228C8">
        <w:rPr>
          <w:bCs/>
          <w:iCs/>
          <w:szCs w:val="22"/>
          <w:lang w:eastAsia="en-US"/>
        </w:rPr>
        <w:t>pri</w:t>
      </w:r>
      <w:r>
        <w:rPr>
          <w:bCs/>
          <w:iCs/>
          <w:szCs w:val="22"/>
          <w:lang w:eastAsia="en-US"/>
        </w:rPr>
        <w:t xml:space="preserve"> MV na návrh RO. </w:t>
      </w:r>
      <w:r w:rsidRPr="00CE2906">
        <w:rPr>
          <w:bCs/>
          <w:iCs/>
          <w:szCs w:val="22"/>
          <w:lang w:eastAsia="en-US"/>
        </w:rPr>
        <w:t xml:space="preserve">V rámci každého zámeru národného projektu, ktorý je predkladaný na schvaľovanie a má byť realizovaný ako národný projekt, </w:t>
      </w:r>
      <w:r w:rsidR="008B7D1F">
        <w:rPr>
          <w:bCs/>
          <w:iCs/>
          <w:szCs w:val="22"/>
          <w:lang w:eastAsia="en-US"/>
        </w:rPr>
        <w:t>je</w:t>
      </w:r>
      <w:r w:rsidRPr="00CE2906">
        <w:rPr>
          <w:bCs/>
          <w:iCs/>
          <w:szCs w:val="22"/>
          <w:lang w:eastAsia="en-US"/>
        </w:rPr>
        <w:t xml:space="preserve"> vypln</w:t>
      </w:r>
      <w:r w:rsidR="008B7D1F">
        <w:rPr>
          <w:bCs/>
          <w:iCs/>
          <w:szCs w:val="22"/>
          <w:lang w:eastAsia="en-US"/>
        </w:rPr>
        <w:t>ený</w:t>
      </w:r>
      <w:r w:rsidRPr="00CE2906">
        <w:rPr>
          <w:bCs/>
          <w:iCs/>
          <w:szCs w:val="22"/>
          <w:lang w:eastAsia="en-US"/>
        </w:rPr>
        <w:t xml:space="preserve"> </w:t>
      </w:r>
      <w:r w:rsidR="00FB1BE9">
        <w:rPr>
          <w:bCs/>
          <w:iCs/>
          <w:szCs w:val="22"/>
          <w:lang w:eastAsia="en-US"/>
        </w:rPr>
        <w:t>vzor</w:t>
      </w:r>
      <w:r w:rsidR="00FB1BE9">
        <w:rPr>
          <w:rStyle w:val="Odkaznapoznmkupodiarou"/>
          <w:bCs/>
          <w:iCs/>
          <w:szCs w:val="22"/>
          <w:lang w:eastAsia="en-US"/>
        </w:rPr>
        <w:footnoteReference w:id="128"/>
      </w:r>
      <w:r w:rsidRPr="00CE2906">
        <w:rPr>
          <w:bCs/>
          <w:iCs/>
          <w:szCs w:val="22"/>
          <w:lang w:eastAsia="en-US"/>
        </w:rPr>
        <w:t xml:space="preserve">, ktorého obsahom je najmä </w:t>
      </w:r>
      <w:r>
        <w:t>zdôvodnenie využitia národného projektu a vylúčenia výberu projektu prostredníctvom výzvy</w:t>
      </w:r>
      <w:r w:rsidRPr="00CE2906">
        <w:rPr>
          <w:bCs/>
          <w:iCs/>
          <w:szCs w:val="22"/>
          <w:lang w:eastAsia="en-US"/>
        </w:rPr>
        <w:t xml:space="preserve"> a predloží ho na</w:t>
      </w:r>
      <w:r w:rsidR="00FB1BE9">
        <w:rPr>
          <w:bCs/>
          <w:iCs/>
          <w:szCs w:val="22"/>
          <w:lang w:eastAsia="en-US"/>
        </w:rPr>
        <w:t> </w:t>
      </w:r>
      <w:r w:rsidRPr="00CE2906">
        <w:rPr>
          <w:bCs/>
          <w:iCs/>
          <w:szCs w:val="22"/>
          <w:lang w:eastAsia="en-US"/>
        </w:rPr>
        <w:t xml:space="preserve">schválenie MV alebo komisii </w:t>
      </w:r>
      <w:r w:rsidR="00C228C8">
        <w:rPr>
          <w:bCs/>
          <w:iCs/>
          <w:szCs w:val="22"/>
          <w:lang w:eastAsia="en-US"/>
        </w:rPr>
        <w:t>pri</w:t>
      </w:r>
      <w:r w:rsidRPr="00CE2906">
        <w:rPr>
          <w:bCs/>
          <w:iCs/>
          <w:szCs w:val="22"/>
          <w:lang w:eastAsia="en-US"/>
        </w:rPr>
        <w:t xml:space="preserve"> MV. </w:t>
      </w:r>
      <w:r>
        <w:rPr>
          <w:bCs/>
          <w:iCs/>
          <w:szCs w:val="22"/>
          <w:lang w:eastAsia="en-US"/>
        </w:rPr>
        <w:t>Zloženie komisie</w:t>
      </w:r>
      <w:r w:rsidR="00C228C8">
        <w:rPr>
          <w:bCs/>
          <w:iCs/>
          <w:szCs w:val="22"/>
          <w:lang w:eastAsia="en-US"/>
        </w:rPr>
        <w:t xml:space="preserve"> pri MV</w:t>
      </w:r>
      <w:r>
        <w:rPr>
          <w:bCs/>
          <w:iCs/>
          <w:szCs w:val="22"/>
          <w:lang w:eastAsia="en-US"/>
        </w:rPr>
        <w:t xml:space="preserve">, jej úlohy a činnosti upraví štatút, ktorý schvaľuje MV. Zloženie komisie </w:t>
      </w:r>
      <w:r w:rsidR="00C228C8">
        <w:rPr>
          <w:bCs/>
          <w:iCs/>
          <w:szCs w:val="22"/>
          <w:lang w:eastAsia="en-US"/>
        </w:rPr>
        <w:t xml:space="preserve">pri MV </w:t>
      </w:r>
      <w:r>
        <w:rPr>
          <w:bCs/>
          <w:iCs/>
          <w:szCs w:val="22"/>
          <w:lang w:eastAsia="en-US"/>
        </w:rPr>
        <w:t xml:space="preserve">musí rešpektovať zásady partnerstva upravené pri kreovaní MV. RO je oprávnený zriadiť </w:t>
      </w:r>
      <w:r w:rsidR="0012163A">
        <w:rPr>
          <w:bCs/>
          <w:iCs/>
          <w:szCs w:val="22"/>
          <w:lang w:eastAsia="en-US"/>
        </w:rPr>
        <w:t>s</w:t>
      </w:r>
      <w:r>
        <w:rPr>
          <w:bCs/>
          <w:iCs/>
          <w:szCs w:val="22"/>
          <w:lang w:eastAsia="en-US"/>
        </w:rPr>
        <w:t xml:space="preserve"> </w:t>
      </w:r>
      <w:r w:rsidR="0012163A">
        <w:rPr>
          <w:bCs/>
          <w:iCs/>
          <w:szCs w:val="22"/>
          <w:lang w:eastAsia="en-US"/>
        </w:rPr>
        <w:t>cieľom</w:t>
      </w:r>
      <w:r>
        <w:rPr>
          <w:bCs/>
          <w:iCs/>
          <w:szCs w:val="22"/>
          <w:lang w:eastAsia="en-US"/>
        </w:rPr>
        <w:t xml:space="preserve"> schvaľova</w:t>
      </w:r>
      <w:r w:rsidR="0012163A">
        <w:rPr>
          <w:bCs/>
          <w:iCs/>
          <w:szCs w:val="22"/>
          <w:lang w:eastAsia="en-US"/>
        </w:rPr>
        <w:t>ť</w:t>
      </w:r>
      <w:r>
        <w:rPr>
          <w:bCs/>
          <w:iCs/>
          <w:szCs w:val="22"/>
          <w:lang w:eastAsia="en-US"/>
        </w:rPr>
        <w:t xml:space="preserve"> zámer</w:t>
      </w:r>
      <w:r w:rsidR="0012163A">
        <w:rPr>
          <w:bCs/>
          <w:iCs/>
          <w:szCs w:val="22"/>
          <w:lang w:eastAsia="en-US"/>
        </w:rPr>
        <w:t>y</w:t>
      </w:r>
      <w:r>
        <w:rPr>
          <w:bCs/>
          <w:iCs/>
          <w:szCs w:val="22"/>
          <w:lang w:eastAsia="en-US"/>
        </w:rPr>
        <w:t xml:space="preserve"> národných projektov aj viacero komisií </w:t>
      </w:r>
      <w:r w:rsidR="00C228C8">
        <w:rPr>
          <w:bCs/>
          <w:iCs/>
          <w:szCs w:val="22"/>
          <w:lang w:eastAsia="en-US"/>
        </w:rPr>
        <w:t xml:space="preserve">pri MV </w:t>
      </w:r>
      <w:r>
        <w:rPr>
          <w:bCs/>
          <w:iCs/>
          <w:szCs w:val="22"/>
          <w:lang w:eastAsia="en-US"/>
        </w:rPr>
        <w:t>v prípade potreby posudzovania národných projektov z vecne odlišných oblastí OP. Ak je prijímateľ národného projektu určený priamo v OP alebo jeho kompetencie vyplývajú priamo z osobitných predpisov, schváleniu MV nepodlieha priamo schvaľovanie prijímateľa</w:t>
      </w:r>
      <w:r w:rsidR="00AF2804">
        <w:rPr>
          <w:bCs/>
          <w:iCs/>
          <w:szCs w:val="22"/>
          <w:lang w:eastAsia="en-US"/>
        </w:rPr>
        <w:t>,</w:t>
      </w:r>
      <w:r>
        <w:rPr>
          <w:bCs/>
          <w:iCs/>
          <w:szCs w:val="22"/>
          <w:lang w:eastAsia="en-US"/>
        </w:rPr>
        <w:t xml:space="preserve"> ale len ostatné časti zámeru národného projektu.</w:t>
      </w:r>
    </w:p>
    <w:bookmarkEnd w:id="456"/>
    <w:p w14:paraId="2353E2C1"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lastRenderedPageBreak/>
        <w:t>RO pri návrhu zámerov národných projektov vychádza z koncepcií a stratégií na regionálnej a národnej úrovni, pričom zohľadňuje stanovené priority v daných oblastiach v súlade so</w:t>
      </w:r>
      <w:r w:rsidR="00AF2804">
        <w:rPr>
          <w:bCs/>
          <w:iCs/>
          <w:szCs w:val="22"/>
          <w:lang w:eastAsia="en-US"/>
        </w:rPr>
        <w:t> </w:t>
      </w:r>
      <w:r>
        <w:rPr>
          <w:bCs/>
          <w:iCs/>
          <w:szCs w:val="22"/>
          <w:lang w:eastAsia="en-US"/>
        </w:rPr>
        <w:t>stratégiou definovanou v rámci príslušného OP.</w:t>
      </w:r>
    </w:p>
    <w:p w14:paraId="642EBA1D"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 xml:space="preserve">Zoznam národných projektov vytvorený na základe schválených zámerov národných projektov podľa </w:t>
      </w:r>
      <w:hyperlink w:anchor="kapitola_341_ods_3" w:tooltip="ods. 3" w:history="1">
        <w:r>
          <w:rPr>
            <w:rStyle w:val="Hypertextovprepojenie"/>
            <w:bCs/>
            <w:iCs/>
            <w:szCs w:val="22"/>
            <w:lang w:eastAsia="en-US"/>
          </w:rPr>
          <w:t xml:space="preserve">ods. </w:t>
        </w:r>
        <w:r>
          <w:rPr>
            <w:rStyle w:val="Hypertextovprepojenie"/>
          </w:rPr>
          <w:t>3</w:t>
        </w:r>
      </w:hyperlink>
      <w:r>
        <w:rPr>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14:paraId="6FA6C69F" w14:textId="1F586B5A" w:rsidR="00B650E5" w:rsidRPr="001B709E" w:rsidRDefault="00B650E5" w:rsidP="00991DC9">
      <w:pPr>
        <w:numPr>
          <w:ilvl w:val="0"/>
          <w:numId w:val="10"/>
        </w:numPr>
        <w:spacing w:before="120" w:after="120"/>
        <w:ind w:left="426" w:hanging="426"/>
        <w:jc w:val="both"/>
        <w:rPr>
          <w:bCs/>
          <w:iCs/>
        </w:rPr>
      </w:pPr>
      <w:bookmarkStart w:id="457" w:name="kapitola_341_ods_6"/>
      <w:r w:rsidRPr="001B709E">
        <w:rPr>
          <w:bCs/>
          <w:iCs/>
        </w:rPr>
        <w:t xml:space="preserve">RO predkladá na schválenie MV alebo komisii </w:t>
      </w:r>
      <w:r w:rsidR="00C228C8">
        <w:rPr>
          <w:bCs/>
          <w:iCs/>
        </w:rPr>
        <w:t xml:space="preserve">pri MV </w:t>
      </w:r>
      <w:r w:rsidRPr="001B709E">
        <w:rPr>
          <w:bCs/>
          <w:iCs/>
        </w:rPr>
        <w:t>akékoľvek zmeny v</w:t>
      </w:r>
      <w:r w:rsidRPr="00F12951">
        <w:rPr>
          <w:bCs/>
          <w:iCs/>
        </w:rPr>
        <w:t> </w:t>
      </w:r>
      <w:r w:rsidRPr="001B709E">
        <w:rPr>
          <w:bCs/>
          <w:iCs/>
        </w:rPr>
        <w:t>zámeroch národných projekto</w:t>
      </w:r>
      <w:r w:rsidR="00AF2804">
        <w:rPr>
          <w:bCs/>
          <w:iCs/>
        </w:rPr>
        <w:t>v</w:t>
      </w:r>
      <w:r w:rsidRPr="001B709E">
        <w:rPr>
          <w:bCs/>
          <w:iCs/>
        </w:rPr>
        <w:t xml:space="preserve"> a</w:t>
      </w:r>
      <w:r w:rsidRPr="00F12951">
        <w:rPr>
          <w:bCs/>
          <w:iCs/>
        </w:rPr>
        <w:t> </w:t>
      </w:r>
      <w:r w:rsidRPr="001B709E">
        <w:rPr>
          <w:bCs/>
          <w:iCs/>
        </w:rPr>
        <w:t>v zozname národných projektov, ktoré znamenajú zmenu v</w:t>
      </w:r>
      <w:r w:rsidRPr="00F12951">
        <w:rPr>
          <w:bCs/>
          <w:iCs/>
        </w:rPr>
        <w:t> </w:t>
      </w:r>
      <w:r w:rsidRPr="001B709E">
        <w:rPr>
          <w:bCs/>
          <w:iCs/>
        </w:rPr>
        <w:t>osobe určeného prijímateľa, podstatnú zmenu v</w:t>
      </w:r>
      <w:r w:rsidRPr="00F12951">
        <w:rPr>
          <w:bCs/>
          <w:iCs/>
        </w:rPr>
        <w:t> </w:t>
      </w:r>
      <w:r w:rsidRPr="001B709E">
        <w:rPr>
          <w:bCs/>
          <w:iCs/>
        </w:rPr>
        <w:t>rozsahu aktivít, ktoré majú byť v</w:t>
      </w:r>
      <w:r w:rsidRPr="00F12951">
        <w:rPr>
          <w:bCs/>
          <w:iCs/>
        </w:rPr>
        <w:t> </w:t>
      </w:r>
      <w:r w:rsidRPr="001B709E">
        <w:rPr>
          <w:bCs/>
          <w:iCs/>
        </w:rPr>
        <w:t>rámci národného projektu realizované (</w:t>
      </w:r>
      <w:r w:rsidR="00C93F30">
        <w:rPr>
          <w:bCs/>
          <w:iCs/>
        </w:rPr>
        <w:t xml:space="preserve">t. j. </w:t>
      </w:r>
      <w:r w:rsidRPr="001B709E">
        <w:rPr>
          <w:bCs/>
          <w:iCs/>
        </w:rPr>
        <w:t xml:space="preserve">minimálne jedna </w:t>
      </w:r>
      <w:r w:rsidR="0058398F">
        <w:rPr>
          <w:bCs/>
          <w:iCs/>
        </w:rPr>
        <w:t xml:space="preserve">hlavná </w:t>
      </w:r>
      <w:r w:rsidRPr="001B709E">
        <w:rPr>
          <w:bCs/>
          <w:iCs/>
        </w:rPr>
        <w:t>aktivita nebude v</w:t>
      </w:r>
      <w:r w:rsidRPr="00F12951">
        <w:rPr>
          <w:bCs/>
          <w:iCs/>
        </w:rPr>
        <w:t> </w:t>
      </w:r>
      <w:r w:rsidRPr="001B709E">
        <w:rPr>
          <w:bCs/>
          <w:iCs/>
        </w:rPr>
        <w:t>rámci národného projektu realizovaná, resp. má dôjsť k</w:t>
      </w:r>
      <w:r w:rsidRPr="00F12951">
        <w:rPr>
          <w:bCs/>
          <w:iCs/>
        </w:rPr>
        <w:t> </w:t>
      </w:r>
      <w:r w:rsidRPr="001B709E">
        <w:rPr>
          <w:bCs/>
          <w:iCs/>
        </w:rPr>
        <w:t>výraznému zväčšeniu alebo zmenšeniu rozsahu schválených aktivít, príp. doplneniu novej aktivity)</w:t>
      </w:r>
      <w:r w:rsidR="001563D9">
        <w:rPr>
          <w:bCs/>
          <w:iCs/>
        </w:rPr>
        <w:t>,</w:t>
      </w:r>
      <w:r w:rsidRPr="001B709E">
        <w:rPr>
          <w:bCs/>
          <w:iCs/>
        </w:rPr>
        <w:t xml:space="preserve"> finančnej výšky určenej na realizáciu národného projektu (v</w:t>
      </w:r>
      <w:r w:rsidR="0058398F">
        <w:rPr>
          <w:bCs/>
          <w:iCs/>
        </w:rPr>
        <w:t> </w:t>
      </w:r>
      <w:r w:rsidRPr="001B709E">
        <w:rPr>
          <w:bCs/>
          <w:iCs/>
        </w:rPr>
        <w:t xml:space="preserve">prípade ak </w:t>
      </w:r>
      <w:r>
        <w:rPr>
          <w:bCs/>
          <w:iCs/>
        </w:rPr>
        <w:t>zvýšenie</w:t>
      </w:r>
      <w:r w:rsidRPr="001B709E">
        <w:rPr>
          <w:bCs/>
          <w:iCs/>
        </w:rPr>
        <w:t xml:space="preserve"> predstavuje viac ako </w:t>
      </w:r>
      <w:r>
        <w:rPr>
          <w:bCs/>
          <w:iCs/>
        </w:rPr>
        <w:t>1</w:t>
      </w:r>
      <w:r w:rsidRPr="001B709E">
        <w:rPr>
          <w:bCs/>
          <w:iCs/>
        </w:rPr>
        <w:t>0 % alokácie schválenej ako súčasť zoznamu národných projektov a</w:t>
      </w:r>
      <w:r w:rsidRPr="00F12951">
        <w:rPr>
          <w:bCs/>
          <w:iCs/>
        </w:rPr>
        <w:t> </w:t>
      </w:r>
      <w:r w:rsidRPr="001B709E">
        <w:rPr>
          <w:bCs/>
          <w:iCs/>
        </w:rPr>
        <w:t>nejde o</w:t>
      </w:r>
      <w:r w:rsidRPr="00F12951">
        <w:rPr>
          <w:bCs/>
          <w:iCs/>
        </w:rPr>
        <w:t> </w:t>
      </w:r>
      <w:r w:rsidRPr="001B709E">
        <w:rPr>
          <w:bCs/>
          <w:iCs/>
        </w:rPr>
        <w:t>prípad, kedy je určenie alokácie výsledkom realizovanej štúdie uskutočniteľnosti)</w:t>
      </w:r>
      <w:r w:rsidR="001563D9">
        <w:rPr>
          <w:bCs/>
          <w:iCs/>
        </w:rPr>
        <w:t xml:space="preserve"> alebo v prípade, ak je zámer národného projektu potrebné revidovať v zmysle odseku </w:t>
      </w:r>
      <w:hyperlink w:anchor="kapitola_341_ods_9" w:history="1">
        <w:r w:rsidR="001563D9" w:rsidRPr="001563D9">
          <w:rPr>
            <w:rStyle w:val="Hypertextovprepojenie"/>
            <w:bCs/>
            <w:iCs/>
          </w:rPr>
          <w:t>9 tejto kapitoly</w:t>
        </w:r>
      </w:hyperlink>
      <w:r w:rsidRPr="001B709E">
        <w:rPr>
          <w:bCs/>
          <w:iCs/>
        </w:rPr>
        <w:t xml:space="preserve">. RO predkladá na schválenie MV alebo komisii </w:t>
      </w:r>
      <w:r w:rsidR="00C228C8">
        <w:rPr>
          <w:bCs/>
          <w:iCs/>
        </w:rPr>
        <w:t xml:space="preserve">pri MV </w:t>
      </w:r>
      <w:r w:rsidRPr="001B709E">
        <w:rPr>
          <w:bCs/>
          <w:iCs/>
        </w:rPr>
        <w:t>aj aktualizáciu zoznamu národných projektov na základe rozhodnutia RO neimplementovať schválený zámer národného projektu spolu so zdôvodnením takéhoto rozhodnutia.</w:t>
      </w:r>
      <w:r>
        <w:rPr>
          <w:bCs/>
          <w:iCs/>
        </w:rPr>
        <w:t xml:space="preserve"> </w:t>
      </w:r>
    </w:p>
    <w:bookmarkEnd w:id="457"/>
    <w:p w14:paraId="6C1EA4AA" w14:textId="77777777" w:rsidR="00B650E5" w:rsidRDefault="00B650E5">
      <w:pPr>
        <w:numPr>
          <w:ilvl w:val="0"/>
          <w:numId w:val="10"/>
        </w:numPr>
        <w:spacing w:before="120" w:after="120"/>
        <w:ind w:left="426" w:hanging="426"/>
        <w:jc w:val="both"/>
        <w:rPr>
          <w:bCs/>
          <w:iCs/>
          <w:szCs w:val="22"/>
          <w:lang w:eastAsia="en-US"/>
        </w:rPr>
      </w:pPr>
      <w:r>
        <w:rPr>
          <w:bCs/>
          <w:iCs/>
          <w:szCs w:val="22"/>
          <w:lang w:eastAsia="en-US"/>
        </w:rPr>
        <w:t xml:space="preserve">RO je oprávnený pristúpiť k príprave a realizácii národného projektu iba v prípade, ak je národný projekt súčasťou zoznamu národných projektov vytvoreného na základe schválených zámerov národných  projektov, ktoré boli schválené MV alebo komisiou </w:t>
      </w:r>
      <w:r w:rsidR="00C228C8">
        <w:rPr>
          <w:bCs/>
          <w:iCs/>
          <w:szCs w:val="22"/>
          <w:lang w:eastAsia="en-US"/>
        </w:rPr>
        <w:t xml:space="preserve">pri MV </w:t>
      </w:r>
      <w:r>
        <w:rPr>
          <w:bCs/>
          <w:iCs/>
          <w:szCs w:val="22"/>
          <w:lang w:eastAsia="en-US"/>
        </w:rPr>
        <w:t>a zaradené do zoznamu národných projektov.</w:t>
      </w:r>
    </w:p>
    <w:p w14:paraId="6EA004F7" w14:textId="77777777" w:rsidR="00B650E5" w:rsidRDefault="00B650E5" w:rsidP="001B709E">
      <w:pPr>
        <w:numPr>
          <w:ilvl w:val="0"/>
          <w:numId w:val="10"/>
        </w:numPr>
        <w:spacing w:before="120" w:after="120"/>
        <w:ind w:left="426" w:hanging="426"/>
        <w:jc w:val="both"/>
        <w:rPr>
          <w:bCs/>
          <w:iCs/>
          <w:szCs w:val="22"/>
          <w:lang w:eastAsia="en-US"/>
        </w:rPr>
      </w:pPr>
      <w:r>
        <w:rPr>
          <w:bCs/>
          <w:iCs/>
          <w:szCs w:val="22"/>
          <w:lang w:eastAsia="en-US"/>
        </w:rPr>
        <w:t xml:space="preserve">RO je povinný </w:t>
      </w:r>
      <w:r w:rsidR="0012163A">
        <w:rPr>
          <w:bCs/>
          <w:iCs/>
          <w:szCs w:val="22"/>
          <w:lang w:eastAsia="en-US"/>
        </w:rPr>
        <w:t xml:space="preserve">zaslať </w:t>
      </w:r>
      <w:r>
        <w:rPr>
          <w:bCs/>
          <w:iCs/>
          <w:szCs w:val="22"/>
          <w:lang w:eastAsia="en-US"/>
        </w:rPr>
        <w:t xml:space="preserve">CKO na adresu </w:t>
      </w:r>
      <w:hyperlink r:id="rId209" w:history="1">
        <w:r w:rsidRPr="000D59C7">
          <w:rPr>
            <w:rStyle w:val="Hypertextovprepojenie"/>
            <w:bCs/>
            <w:iCs/>
            <w:szCs w:val="22"/>
            <w:lang w:eastAsia="en-US"/>
          </w:rPr>
          <w:t>zamerynp@vicepremier.gov.sk</w:t>
        </w:r>
      </w:hyperlink>
      <w:r>
        <w:rPr>
          <w:bCs/>
          <w:iCs/>
          <w:szCs w:val="22"/>
          <w:lang w:eastAsia="en-US"/>
        </w:rPr>
        <w:t>:</w:t>
      </w:r>
    </w:p>
    <w:p w14:paraId="0BEB77A3"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sidRPr="00106E93">
        <w:rPr>
          <w:bCs/>
          <w:iCs/>
          <w:szCs w:val="22"/>
          <w:lang w:eastAsia="en-US"/>
        </w:rPr>
        <w:t>zámer národného projektu</w:t>
      </w:r>
      <w:r>
        <w:rPr>
          <w:bCs/>
          <w:iCs/>
          <w:szCs w:val="22"/>
          <w:lang w:eastAsia="en-US"/>
        </w:rPr>
        <w:t xml:space="preserve"> 10 pracovných dní </w:t>
      </w:r>
      <w:r w:rsidRPr="00E65767">
        <w:t xml:space="preserve">pred konaním rokovania </w:t>
      </w:r>
      <w:r>
        <w:t>MV</w:t>
      </w:r>
      <w:r>
        <w:rPr>
          <w:bCs/>
          <w:iCs/>
          <w:szCs w:val="22"/>
          <w:lang w:eastAsia="en-US"/>
        </w:rPr>
        <w:t xml:space="preserve"> alebo komisie pri</w:t>
      </w:r>
      <w:r w:rsidR="00EE6807">
        <w:rPr>
          <w:bCs/>
          <w:iCs/>
          <w:szCs w:val="22"/>
          <w:lang w:eastAsia="en-US"/>
        </w:rPr>
        <w:t> </w:t>
      </w:r>
      <w:r>
        <w:rPr>
          <w:bCs/>
          <w:iCs/>
          <w:szCs w:val="22"/>
          <w:lang w:eastAsia="en-US"/>
        </w:rPr>
        <w:t>MV,</w:t>
      </w:r>
    </w:p>
    <w:p w14:paraId="63595E16"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informáciu o schválení zámeru národného projektu spolu so schváleným zámerom</w:t>
      </w:r>
      <w:r>
        <w:rPr>
          <w:rStyle w:val="Odkaznapoznmkupodiarou"/>
          <w:bCs/>
          <w:iCs/>
          <w:szCs w:val="22"/>
          <w:lang w:eastAsia="en-US"/>
        </w:rPr>
        <w:footnoteReference w:id="129"/>
      </w:r>
      <w:r>
        <w:rPr>
          <w:bCs/>
          <w:iCs/>
          <w:szCs w:val="22"/>
          <w:lang w:eastAsia="en-US"/>
        </w:rPr>
        <w:t xml:space="preserve"> do 10 </w:t>
      </w:r>
      <w:r w:rsidRPr="00E65767">
        <w:t xml:space="preserve">pracovných dní od rokovania </w:t>
      </w:r>
      <w:r>
        <w:t xml:space="preserve">MV </w:t>
      </w:r>
      <w:r>
        <w:rPr>
          <w:bCs/>
          <w:iCs/>
          <w:szCs w:val="22"/>
          <w:lang w:eastAsia="en-US"/>
        </w:rPr>
        <w:t>alebo komisie pri MV</w:t>
      </w:r>
      <w:r w:rsidR="005B3355">
        <w:rPr>
          <w:bCs/>
          <w:iCs/>
          <w:szCs w:val="22"/>
          <w:lang w:eastAsia="en-US"/>
        </w:rPr>
        <w:t>; t</w:t>
      </w:r>
      <w:r w:rsidR="005B3355" w:rsidRPr="005B3355">
        <w:rPr>
          <w:bCs/>
          <w:iCs/>
          <w:szCs w:val="22"/>
          <w:lang w:eastAsia="en-US"/>
        </w:rPr>
        <w:t>áto lehota môže byť primerane predĺžená s ohľadom na čas potrebný na zapracovanie pripomienok</w:t>
      </w:r>
      <w:r>
        <w:rPr>
          <w:bCs/>
          <w:iCs/>
          <w:szCs w:val="22"/>
          <w:lang w:eastAsia="en-US"/>
        </w:rPr>
        <w:t>,</w:t>
      </w:r>
    </w:p>
    <w:p w14:paraId="767B62D5" w14:textId="77777777" w:rsidR="00B650E5" w:rsidRDefault="00B650E5" w:rsidP="001B709E">
      <w:pPr>
        <w:pStyle w:val="Odsekzoznamu"/>
        <w:numPr>
          <w:ilvl w:val="1"/>
          <w:numId w:val="300"/>
        </w:numPr>
        <w:tabs>
          <w:tab w:val="left" w:pos="851"/>
        </w:tabs>
        <w:spacing w:before="120" w:after="120"/>
        <w:ind w:left="851" w:hanging="425"/>
        <w:contextualSpacing w:val="0"/>
        <w:jc w:val="both"/>
        <w:rPr>
          <w:bCs/>
          <w:iCs/>
          <w:szCs w:val="22"/>
          <w:lang w:eastAsia="en-US"/>
        </w:rPr>
      </w:pPr>
      <w:r>
        <w:rPr>
          <w:bCs/>
          <w:iCs/>
          <w:szCs w:val="22"/>
          <w:lang w:eastAsia="en-US"/>
        </w:rPr>
        <w:t xml:space="preserve">informáciu o neschválení zámeru národného projektu do 10 </w:t>
      </w:r>
      <w:r w:rsidRPr="00E65767">
        <w:t xml:space="preserve">pracovných dní od rokovania </w:t>
      </w:r>
      <w:r>
        <w:t xml:space="preserve">MV </w:t>
      </w:r>
      <w:r>
        <w:rPr>
          <w:bCs/>
          <w:iCs/>
          <w:szCs w:val="22"/>
          <w:lang w:eastAsia="en-US"/>
        </w:rPr>
        <w:t>alebo komisie pri MV.</w:t>
      </w:r>
    </w:p>
    <w:p w14:paraId="768B7458" w14:textId="77777777" w:rsidR="00B650E5" w:rsidRDefault="00B650E5" w:rsidP="001B709E">
      <w:pPr>
        <w:spacing w:before="120" w:after="120"/>
        <w:ind w:left="426"/>
        <w:jc w:val="both"/>
        <w:rPr>
          <w:bCs/>
          <w:iCs/>
          <w:szCs w:val="22"/>
          <w:lang w:eastAsia="en-US"/>
        </w:rPr>
      </w:pPr>
      <w:r>
        <w:rPr>
          <w:bCs/>
          <w:iCs/>
          <w:szCs w:val="22"/>
          <w:lang w:eastAsia="en-US"/>
        </w:rPr>
        <w:t xml:space="preserve">Tieto informácie zverejňuje CKO na webovom sídle </w:t>
      </w:r>
      <w:hyperlink r:id="rId210" w:history="1">
        <w:r w:rsidRPr="00FA1E63">
          <w:rPr>
            <w:rStyle w:val="Hypertextovprepojenie"/>
            <w:bCs/>
            <w:iCs/>
            <w:szCs w:val="22"/>
            <w:lang w:eastAsia="en-US"/>
          </w:rPr>
          <w:t>www.partnerskadohoda.gov.sk</w:t>
        </w:r>
      </w:hyperlink>
      <w:r>
        <w:rPr>
          <w:bCs/>
          <w:iCs/>
          <w:szCs w:val="22"/>
          <w:lang w:eastAsia="en-US"/>
        </w:rPr>
        <w:t>.</w:t>
      </w:r>
    </w:p>
    <w:p w14:paraId="5EFB549E" w14:textId="08109DC0" w:rsidR="001215D0" w:rsidRPr="007F5734" w:rsidRDefault="001215D0" w:rsidP="001B709E">
      <w:pPr>
        <w:numPr>
          <w:ilvl w:val="0"/>
          <w:numId w:val="10"/>
        </w:numPr>
        <w:spacing w:before="120" w:after="120"/>
        <w:ind w:left="426" w:hanging="426"/>
        <w:jc w:val="both"/>
        <w:rPr>
          <w:bCs/>
          <w:iCs/>
          <w:szCs w:val="22"/>
          <w:lang w:eastAsia="en-US"/>
        </w:rPr>
      </w:pPr>
      <w:bookmarkStart w:id="458" w:name="kapitola_341_ods_9"/>
      <w:bookmarkEnd w:id="458"/>
      <w:r>
        <w:t xml:space="preserve">Ak ku schválenému zámeru národného projektu nebol do </w:t>
      </w:r>
      <w:r w:rsidR="00E706A1">
        <w:t>12</w:t>
      </w:r>
      <w:r>
        <w:t xml:space="preserve"> mesiacov od schválenia MV predložený na CKO návrh vyzvania</w:t>
      </w:r>
      <w:r w:rsidR="00233D5E">
        <w:t xml:space="preserve"> (ak je to relevantné)</w:t>
      </w:r>
      <w:r>
        <w:t xml:space="preserve">, alebo ak nie je </w:t>
      </w:r>
      <w:r w:rsidRPr="001563D9">
        <w:t>jednoznačne preukázateľný progres v príprave na implementáciu takéhoto národného projektu</w:t>
      </w:r>
      <w:r w:rsidR="004C5F6F" w:rsidRPr="0097605E">
        <w:rPr>
          <w:rStyle w:val="Odkaznapoznmkupodiarou"/>
        </w:rPr>
        <w:footnoteReference w:id="130"/>
      </w:r>
      <w:r w:rsidRPr="0097605E">
        <w:t xml:space="preserve">, RO </w:t>
      </w:r>
      <w:r w:rsidR="000712F1" w:rsidRPr="007F5734">
        <w:t xml:space="preserve">predloží MV na schválenie vyradenie </w:t>
      </w:r>
      <w:r w:rsidRPr="007F5734">
        <w:t>zámer</w:t>
      </w:r>
      <w:r w:rsidR="000712F1" w:rsidRPr="007F5734">
        <w:t>u</w:t>
      </w:r>
      <w:r w:rsidRPr="007F5734">
        <w:t xml:space="preserve"> národného projektu zo zoznamu národných projektov alebo bude zámer národného projektu zo strany RO</w:t>
      </w:r>
      <w:r w:rsidR="00E706A1">
        <w:t xml:space="preserve"> (resp. žiadateľa)</w:t>
      </w:r>
      <w:r w:rsidRPr="007F5734">
        <w:t xml:space="preserve"> revidovaný a opätovne </w:t>
      </w:r>
      <w:r w:rsidR="000712F1" w:rsidRPr="007F5734">
        <w:t>predložený na</w:t>
      </w:r>
      <w:r w:rsidR="00E706A1">
        <w:t> </w:t>
      </w:r>
      <w:r w:rsidRPr="007F5734">
        <w:t>schv</w:t>
      </w:r>
      <w:r w:rsidR="000712F1" w:rsidRPr="007F5734">
        <w:t>álenie</w:t>
      </w:r>
      <w:r w:rsidRPr="007F5734">
        <w:t xml:space="preserve"> MV.</w:t>
      </w:r>
    </w:p>
    <w:p w14:paraId="6AEA2CF4" w14:textId="77777777" w:rsidR="00B650E5" w:rsidRDefault="00B650E5" w:rsidP="001B709E">
      <w:pPr>
        <w:numPr>
          <w:ilvl w:val="0"/>
          <w:numId w:val="10"/>
        </w:numPr>
        <w:spacing w:before="120" w:after="120"/>
        <w:ind w:left="426" w:hanging="426"/>
        <w:jc w:val="both"/>
        <w:rPr>
          <w:bCs/>
          <w:iCs/>
          <w:szCs w:val="22"/>
          <w:lang w:eastAsia="en-US"/>
        </w:rPr>
      </w:pPr>
      <w:r>
        <w:rPr>
          <w:bCs/>
          <w:iCs/>
          <w:szCs w:val="22"/>
          <w:lang w:eastAsia="en-US"/>
        </w:rPr>
        <w:lastRenderedPageBreak/>
        <w:t xml:space="preserve">RO zverejňuje (resp. aktualizuje) zoznam národných projektov, </w:t>
      </w:r>
      <w:r w:rsidRPr="00A2306A">
        <w:rPr>
          <w:bCs/>
          <w:iCs/>
          <w:szCs w:val="22"/>
          <w:lang w:eastAsia="en-US"/>
        </w:rPr>
        <w:t>schválené</w:t>
      </w:r>
      <w:r>
        <w:rPr>
          <w:bCs/>
          <w:iCs/>
          <w:szCs w:val="22"/>
          <w:lang w:eastAsia="en-US"/>
        </w:rPr>
        <w:t xml:space="preserve">, vrátené a zamietnuté </w:t>
      </w:r>
      <w:r w:rsidRPr="00A2306A">
        <w:rPr>
          <w:bCs/>
          <w:iCs/>
          <w:szCs w:val="22"/>
          <w:lang w:eastAsia="en-US"/>
        </w:rPr>
        <w:t>zámery národných projektov</w:t>
      </w:r>
      <w:r>
        <w:rPr>
          <w:bCs/>
          <w:iCs/>
          <w:szCs w:val="22"/>
          <w:lang w:eastAsia="en-US"/>
        </w:rPr>
        <w:t xml:space="preserve"> na svojom webovom sídle najneskôr do 10 pracovných dní po</w:t>
      </w:r>
      <w:r w:rsidR="00EE6807">
        <w:rPr>
          <w:bCs/>
          <w:iCs/>
          <w:szCs w:val="22"/>
          <w:lang w:eastAsia="en-US"/>
        </w:rPr>
        <w:t> </w:t>
      </w:r>
      <w:r>
        <w:rPr>
          <w:bCs/>
          <w:iCs/>
          <w:szCs w:val="22"/>
          <w:lang w:eastAsia="en-US"/>
        </w:rPr>
        <w:t xml:space="preserve">schválení zoznamu (alebo zámerov národných projektov) MV alebo komisiou </w:t>
      </w:r>
      <w:r w:rsidR="00C228C8">
        <w:rPr>
          <w:bCs/>
          <w:iCs/>
          <w:szCs w:val="22"/>
          <w:lang w:eastAsia="en-US"/>
        </w:rPr>
        <w:t xml:space="preserve">pri MV </w:t>
      </w:r>
      <w:r w:rsidRPr="00FF468E">
        <w:rPr>
          <w:bCs/>
          <w:iCs/>
          <w:szCs w:val="22"/>
          <w:lang w:eastAsia="en-US"/>
        </w:rPr>
        <w:t xml:space="preserve">podľa </w:t>
      </w:r>
      <w:hyperlink w:anchor="kapitola_341_ods_3" w:tooltip="ods. 3 tejto kapitolz" w:history="1">
        <w:r w:rsidR="00EE6807" w:rsidRPr="00EE6807">
          <w:rPr>
            <w:rStyle w:val="Hypertextovprepojenie"/>
            <w:bCs/>
            <w:iCs/>
            <w:szCs w:val="22"/>
            <w:lang w:eastAsia="en-US"/>
          </w:rPr>
          <w:t>ods</w:t>
        </w:r>
        <w:r w:rsidR="00EE6807">
          <w:rPr>
            <w:rStyle w:val="Hypertextovprepojenie"/>
            <w:bCs/>
            <w:iCs/>
            <w:szCs w:val="22"/>
            <w:lang w:eastAsia="en-US"/>
          </w:rPr>
          <w:t>. 3</w:t>
        </w:r>
      </w:hyperlink>
      <w:r w:rsidR="00EE6807">
        <w:rPr>
          <w:bCs/>
          <w:iCs/>
          <w:szCs w:val="22"/>
          <w:lang w:eastAsia="en-US"/>
        </w:rPr>
        <w:t xml:space="preserve"> tejto kapitoly</w:t>
      </w:r>
      <w:r>
        <w:rPr>
          <w:bCs/>
          <w:iCs/>
          <w:szCs w:val="22"/>
          <w:lang w:eastAsia="en-US"/>
        </w:rPr>
        <w:t>.</w:t>
      </w:r>
    </w:p>
    <w:p w14:paraId="34CB7AA3" w14:textId="77777777" w:rsidR="00B650E5" w:rsidRDefault="00B650E5" w:rsidP="001B709E">
      <w:pPr>
        <w:pStyle w:val="SRK4"/>
      </w:pPr>
      <w:bookmarkStart w:id="459" w:name="_Toc453234057"/>
      <w:bookmarkStart w:id="460" w:name="_Toc501630108"/>
      <w:r>
        <w:t>3.4.1.1 Príprava, schvaľovanie a implementácia národných projektov</w:t>
      </w:r>
      <w:bookmarkEnd w:id="459"/>
      <w:bookmarkEnd w:id="460"/>
    </w:p>
    <w:p w14:paraId="7D2C8B90" w14:textId="5BDA4AB5" w:rsidR="00B650E5" w:rsidRDefault="00B650E5">
      <w:pPr>
        <w:numPr>
          <w:ilvl w:val="0"/>
          <w:numId w:val="260"/>
        </w:numPr>
        <w:spacing w:before="120" w:after="120"/>
        <w:ind w:left="426" w:hanging="426"/>
        <w:jc w:val="both"/>
        <w:rPr>
          <w:bCs/>
          <w:iCs/>
          <w:szCs w:val="22"/>
          <w:lang w:eastAsia="en-US"/>
        </w:rPr>
      </w:pPr>
      <w:r>
        <w:rPr>
          <w:bCs/>
          <w:iCs/>
          <w:szCs w:val="22"/>
          <w:lang w:eastAsia="en-US"/>
        </w:rPr>
        <w:t>RO na predloženie národného projektu vyzve budúceho žiadateľa písomne alebo zverejnením na</w:t>
      </w:r>
      <w:r w:rsidR="00EE6807">
        <w:rPr>
          <w:bCs/>
          <w:iCs/>
          <w:szCs w:val="22"/>
          <w:lang w:eastAsia="en-US"/>
        </w:rPr>
        <w:t> </w:t>
      </w:r>
      <w:r>
        <w:rPr>
          <w:bCs/>
          <w:iCs/>
          <w:szCs w:val="22"/>
          <w:lang w:eastAsia="en-US"/>
        </w:rPr>
        <w:t xml:space="preserve">svojom webovom sídle. RO je </w:t>
      </w:r>
      <w:r w:rsidR="001349BB">
        <w:rPr>
          <w:bCs/>
          <w:iCs/>
          <w:szCs w:val="22"/>
          <w:lang w:eastAsia="en-US"/>
        </w:rPr>
        <w:t>zároveň</w:t>
      </w:r>
      <w:r>
        <w:rPr>
          <w:bCs/>
          <w:iCs/>
          <w:szCs w:val="22"/>
          <w:lang w:eastAsia="en-US"/>
        </w:rPr>
        <w:t xml:space="preserve"> povinný zverejniť vyzvanie v systéme ITMS 2014+. Ak RO vyzve budúceho žiadateľa písomne, bezodkladne zverejní vyzvanie na svojom webovom sídle. RO je povinný pred vyzvaním pre národné projekty vykonať kontrolu správnosti a kompletnosti vyzvania,</w:t>
      </w:r>
      <w:r>
        <w:rPr>
          <w:szCs w:val="22"/>
          <w:lang w:eastAsia="en-US"/>
        </w:rPr>
        <w:t xml:space="preserve"> pričom vzor</w:t>
      </w:r>
      <w:r>
        <w:rPr>
          <w:rStyle w:val="Odkaznapoznmkupodiarou"/>
          <w:szCs w:val="22"/>
          <w:lang w:eastAsia="en-US"/>
        </w:rPr>
        <w:footnoteReference w:id="131"/>
      </w:r>
      <w:r>
        <w:rPr>
          <w:szCs w:val="22"/>
          <w:lang w:eastAsia="en-US"/>
        </w:rPr>
        <w:t xml:space="preserve"> kontrolného zoznamu k návrhu vyzvania vydáva CKO</w:t>
      </w:r>
      <w:r>
        <w:rPr>
          <w:bCs/>
          <w:iCs/>
          <w:szCs w:val="22"/>
          <w:lang w:eastAsia="en-US"/>
        </w:rPr>
        <w:t>.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w:t>
      </w:r>
      <w:r w:rsidR="00AF1BF1">
        <w:rPr>
          <w:rStyle w:val="Odkaznapoznmkupodiarou"/>
          <w:bCs/>
          <w:iCs/>
          <w:szCs w:val="22"/>
          <w:lang w:eastAsia="en-US"/>
        </w:rPr>
        <w:footnoteReference w:id="132"/>
      </w:r>
      <w:r>
        <w:rPr>
          <w:bCs/>
          <w:iCs/>
          <w:szCs w:val="22"/>
          <w:lang w:eastAsia="en-US"/>
        </w:rPr>
        <w:t xml:space="preserve">. Na tento postup sa vzťahuje </w:t>
      </w:r>
      <w:hyperlink w:anchor="kapitola_311_ods_3" w:tooltip="ods. 3 až ods. 12 kapitoly 3.1.1" w:history="1">
        <w:r>
          <w:rPr>
            <w:rStyle w:val="Hypertextovprepojenie"/>
            <w:szCs w:val="22"/>
            <w:lang w:eastAsia="en-US"/>
          </w:rPr>
          <w:t>ods. 3 až ods. 12 kapitoly 3.1.1</w:t>
        </w:r>
      </w:hyperlink>
      <w:r>
        <w:rPr>
          <w:szCs w:val="22"/>
          <w:lang w:eastAsia="en-US"/>
        </w:rPr>
        <w:t>.</w:t>
      </w:r>
    </w:p>
    <w:p w14:paraId="30F3170A"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Na náležitosti vyzvania pre národné projekty sa primerane uplatnia ustanovenia o výzve. RO vyzvanie vypracuje v súlade so vzorom vydaným CKO, pričom RO je povinný do vyzvania zaradiť všetky podmienky poskytnutia príspevku, ktoré sú povinne súčasťou vyzvania v súlade so</w:t>
      </w:r>
      <w:r w:rsidR="00DF4E07">
        <w:rPr>
          <w:bCs/>
          <w:iCs/>
          <w:szCs w:val="22"/>
          <w:lang w:eastAsia="en-US"/>
        </w:rPr>
        <w:t> </w:t>
      </w:r>
      <w:r>
        <w:rPr>
          <w:bCs/>
          <w:iCs/>
          <w:szCs w:val="22"/>
          <w:lang w:eastAsia="en-US"/>
        </w:rPr>
        <w:t>zákonom o príspevku z EŠIF.</w:t>
      </w:r>
    </w:p>
    <w:p w14:paraId="78C79AB2"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RO sa </w:t>
      </w:r>
      <w:r w:rsidRPr="009078F6">
        <w:rPr>
          <w:bCs/>
          <w:iCs/>
          <w:szCs w:val="22"/>
          <w:lang w:eastAsia="en-US"/>
        </w:rPr>
        <w:t>môže</w:t>
      </w:r>
      <w:r>
        <w:rPr>
          <w:bCs/>
          <w:iCs/>
          <w:szCs w:val="22"/>
          <w:lang w:eastAsia="en-US"/>
        </w:rPr>
        <w:t xml:space="preserve"> proaktívne, partnersky a systematicky podieľa</w:t>
      </w:r>
      <w:r w:rsidR="00DF4E07">
        <w:rPr>
          <w:bCs/>
          <w:iCs/>
          <w:szCs w:val="22"/>
          <w:lang w:eastAsia="en-US"/>
        </w:rPr>
        <w:t>ť</w:t>
      </w:r>
      <w:r>
        <w:rPr>
          <w:bCs/>
          <w:iCs/>
          <w:szCs w:val="22"/>
          <w:lang w:eastAsia="en-US"/>
        </w:rPr>
        <w:t xml:space="preserve"> na príprave národných projektov s vopred určenými prijímateľmi</w:t>
      </w:r>
      <w:r w:rsidRPr="009078F6">
        <w:rPr>
          <w:bCs/>
          <w:iCs/>
          <w:szCs w:val="22"/>
          <w:lang w:eastAsia="en-US"/>
        </w:rPr>
        <w:t>, napr.</w:t>
      </w:r>
      <w:r>
        <w:rPr>
          <w:bCs/>
          <w:iCs/>
          <w:szCs w:val="22"/>
          <w:lang w:eastAsia="en-US"/>
        </w:rPr>
        <w:t xml:space="preserve"> prostredníctvom zapojenia relevantných odborných partnerov, formou odborných diskusií alebo pravidelných výborov zriadených za účelom dohľadu a pomoci pri príprave národného projektu. RO je pred písomným vyzvaním oprávnený  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w:t>
      </w:r>
      <w:r w:rsidR="008D1729">
        <w:rPr>
          <w:bCs/>
          <w:iCs/>
          <w:szCs w:val="22"/>
          <w:lang w:eastAsia="en-US"/>
        </w:rPr>
        <w:t> </w:t>
      </w:r>
      <w:r>
        <w:rPr>
          <w:bCs/>
          <w:iCs/>
          <w:szCs w:val="22"/>
          <w:lang w:eastAsia="en-US"/>
        </w:rPr>
        <w:t>odstránenia identifikovaných nedostatkov pri príprave národného projektu. RO je povinný pri</w:t>
      </w:r>
      <w:r w:rsidR="008D1729">
        <w:rPr>
          <w:bCs/>
          <w:iCs/>
          <w:szCs w:val="22"/>
          <w:lang w:eastAsia="en-US"/>
        </w:rPr>
        <w:t> </w:t>
      </w:r>
      <w:r>
        <w:rPr>
          <w:bCs/>
          <w:iCs/>
          <w:szCs w:val="22"/>
          <w:lang w:eastAsia="en-US"/>
        </w:rPr>
        <w:t>príprave národných projektov spolupracovať s gestormi HP za účelom zabezpečenia súladu národných projektov s HP.</w:t>
      </w:r>
    </w:p>
    <w:p w14:paraId="1C86841F" w14:textId="77777777" w:rsidR="00B650E5" w:rsidRDefault="00B650E5">
      <w:pPr>
        <w:numPr>
          <w:ilvl w:val="0"/>
          <w:numId w:val="260"/>
        </w:numPr>
        <w:spacing w:before="120" w:after="120"/>
        <w:ind w:left="426" w:hanging="426"/>
        <w:jc w:val="both"/>
        <w:rPr>
          <w:bCs/>
          <w:iCs/>
          <w:szCs w:val="22"/>
          <w:lang w:eastAsia="en-US"/>
        </w:rPr>
      </w:pPr>
      <w:r>
        <w:rPr>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Pr>
          <w:t>kapitoly 3.2</w:t>
        </w:r>
      </w:hyperlink>
      <w:r>
        <w:rPr>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w:t>
      </w:r>
      <w:r w:rsidR="008D1729">
        <w:rPr>
          <w:bCs/>
          <w:iCs/>
          <w:szCs w:val="22"/>
          <w:lang w:eastAsia="en-US"/>
        </w:rPr>
        <w:t>,</w:t>
      </w:r>
      <w:r>
        <w:rPr>
          <w:bCs/>
          <w:iCs/>
          <w:szCs w:val="22"/>
          <w:lang w:eastAsia="en-US"/>
        </w:rPr>
        <w:t xml:space="preserve"> ako v prípade ŽoNFP predložených na základe výzvy. RO nie je povinný prizývať na výkon odborného hodnotenia zástupcu partnerov (</w:t>
      </w:r>
      <w:hyperlink w:anchor="kapitola_3212_ods_3" w:history="1">
        <w:r w:rsidRPr="008D1729">
          <w:rPr>
            <w:rStyle w:val="Hypertextovprepojenie"/>
            <w:bCs/>
            <w:iCs/>
            <w:szCs w:val="22"/>
            <w:lang w:eastAsia="en-US"/>
          </w:rPr>
          <w:t>kapitola 3.2.1.2 ods.3</w:t>
        </w:r>
      </w:hyperlink>
      <w:r>
        <w:rPr>
          <w:bCs/>
          <w:iCs/>
          <w:szCs w:val="22"/>
          <w:lang w:eastAsia="en-US"/>
        </w:rPr>
        <w:t>). Pri výbere projektov sa neuplatnia ustanovenia o poradí projektov</w:t>
      </w:r>
      <w:r w:rsidR="008D1729">
        <w:rPr>
          <w:bCs/>
          <w:iCs/>
          <w:szCs w:val="22"/>
          <w:lang w:eastAsia="en-US"/>
        </w:rPr>
        <w:t>,</w:t>
      </w:r>
      <w:r>
        <w:rPr>
          <w:bCs/>
          <w:iCs/>
          <w:szCs w:val="22"/>
          <w:lang w:eastAsia="en-US"/>
        </w:rPr>
        <w:t xml:space="preserve"> vytvorenom počtom dosiahnutých bodov a ustanovenia o výbere ŽoNFP, ktoré sú z dôvodu nesúťažného charakteru národných projektov nerelevantné. Pri národných </w:t>
      </w:r>
      <w:r>
        <w:rPr>
          <w:bCs/>
          <w:iCs/>
          <w:szCs w:val="22"/>
          <w:lang w:eastAsia="en-US"/>
        </w:rPr>
        <w:lastRenderedPageBreak/>
        <w:t>projektoch sa neuplatňujú ustanovenia o postupe pri dvojkolovom výbere projektov (</w:t>
      </w:r>
      <w:hyperlink w:anchor="kapitola_322" w:tooltip="kapitola 3.2.2" w:history="1">
        <w:r>
          <w:rPr>
            <w:rStyle w:val="Hypertextovprepojenie"/>
          </w:rPr>
          <w:t xml:space="preserve">kapitola </w:t>
        </w:r>
        <w:r>
          <w:rPr>
            <w:rStyle w:val="Hypertextovprepojenie"/>
            <w:bCs/>
            <w:iCs/>
            <w:szCs w:val="22"/>
            <w:lang w:eastAsia="en-US"/>
          </w:rPr>
          <w:t>3.</w:t>
        </w:r>
        <w:r>
          <w:rPr>
            <w:rStyle w:val="Hypertextovprepojenie"/>
          </w:rPr>
          <w:t>2.2</w:t>
        </w:r>
      </w:hyperlink>
      <w:r>
        <w:rPr>
          <w:bCs/>
          <w:iCs/>
          <w:szCs w:val="22"/>
          <w:lang w:eastAsia="en-US"/>
        </w:rPr>
        <w:t>), a o zásobníku projektov (</w:t>
      </w:r>
      <w:hyperlink w:anchor="kapitola_323" w:tooltip="kapitola 3.2.3" w:history="1">
        <w:r>
          <w:rPr>
            <w:rStyle w:val="Hypertextovprepojenie"/>
          </w:rPr>
          <w:t>kapitola 3.2.3</w:t>
        </w:r>
      </w:hyperlink>
      <w:r>
        <w:rPr>
          <w:bCs/>
          <w:iCs/>
          <w:szCs w:val="22"/>
          <w:lang w:eastAsia="en-US"/>
        </w:rPr>
        <w:t>). RO zároveň nie je povinný vypracovávať záverečnú správu z vyzvania (</w:t>
      </w:r>
      <w:hyperlink w:anchor="kapitola_3214" w:tooltip="kapitola 3.2.1.4" w:history="1">
        <w:r>
          <w:rPr>
            <w:rStyle w:val="Hypertextovprepojenie"/>
          </w:rPr>
          <w:t xml:space="preserve">kapitola </w:t>
        </w:r>
        <w:r>
          <w:rPr>
            <w:rStyle w:val="Hypertextovprepojenie"/>
            <w:bCs/>
            <w:iCs/>
            <w:szCs w:val="22"/>
            <w:lang w:eastAsia="en-US"/>
          </w:rPr>
          <w:t>3.</w:t>
        </w:r>
        <w:r>
          <w:rPr>
            <w:rStyle w:val="Hypertextovprepojenie"/>
          </w:rPr>
          <w:t>2.1.4</w:t>
        </w:r>
      </w:hyperlink>
      <w:r>
        <w:rPr>
          <w:bCs/>
          <w:iCs/>
          <w:szCs w:val="22"/>
          <w:lang w:eastAsia="en-US"/>
        </w:rPr>
        <w:t xml:space="preserve">). </w:t>
      </w:r>
    </w:p>
    <w:p w14:paraId="6F874AA3" w14:textId="77777777" w:rsidR="00B650E5" w:rsidRDefault="00B650E5">
      <w:pPr>
        <w:numPr>
          <w:ilvl w:val="0"/>
          <w:numId w:val="260"/>
        </w:numPr>
        <w:spacing w:before="120" w:after="120"/>
        <w:ind w:left="426" w:hanging="426"/>
        <w:jc w:val="both"/>
        <w:rPr>
          <w:szCs w:val="22"/>
          <w:lang w:eastAsia="en-US"/>
        </w:rPr>
      </w:pPr>
      <w:r>
        <w:rPr>
          <w:szCs w:val="22"/>
          <w:lang w:eastAsia="en-US"/>
        </w:rPr>
        <w:t xml:space="preserve">Na implementáciu národných projektov sa primerane vzťahujú ustanovenia </w:t>
      </w:r>
      <w:hyperlink w:anchor="kapitola_33" w:tooltip="kapitoly 3.3" w:history="1">
        <w:r>
          <w:rPr>
            <w:rStyle w:val="Hypertextovprepojenie"/>
          </w:rPr>
          <w:t xml:space="preserve">kapitoly </w:t>
        </w:r>
        <w:r>
          <w:rPr>
            <w:rStyle w:val="Hypertextovprepojenie"/>
            <w:bCs/>
            <w:iCs/>
            <w:szCs w:val="22"/>
            <w:lang w:eastAsia="en-US"/>
          </w:rPr>
          <w:t>3.</w:t>
        </w:r>
        <w:r>
          <w:rPr>
            <w:rStyle w:val="Hypertextovprepojenie"/>
          </w:rPr>
          <w:t>3</w:t>
        </w:r>
      </w:hyperlink>
      <w:r>
        <w:rPr>
          <w:bCs/>
          <w:iCs/>
          <w:szCs w:val="22"/>
          <w:lang w:eastAsia="en-US"/>
        </w:rPr>
        <w:t xml:space="preserve"> </w:t>
      </w:r>
      <w:r w:rsidR="008D1729">
        <w:rPr>
          <w:bCs/>
          <w:iCs/>
          <w:szCs w:val="22"/>
          <w:lang w:eastAsia="en-US"/>
        </w:rPr>
        <w:t>S</w:t>
      </w:r>
      <w:r>
        <w:rPr>
          <w:bCs/>
          <w:iCs/>
          <w:szCs w:val="22"/>
          <w:lang w:eastAsia="en-US"/>
        </w:rPr>
        <w:t xml:space="preserve">ystému riadenia </w:t>
      </w:r>
      <w:r w:rsidR="008D1729">
        <w:rPr>
          <w:bCs/>
          <w:iCs/>
          <w:szCs w:val="22"/>
          <w:lang w:eastAsia="en-US"/>
        </w:rPr>
        <w:t xml:space="preserve">EŠIF </w:t>
      </w:r>
      <w:r>
        <w:rPr>
          <w:bCs/>
          <w:iCs/>
          <w:szCs w:val="22"/>
          <w:lang w:eastAsia="en-US"/>
        </w:rPr>
        <w:t>s</w:t>
      </w:r>
      <w:r w:rsidR="008D1729">
        <w:rPr>
          <w:bCs/>
          <w:iCs/>
          <w:szCs w:val="22"/>
          <w:lang w:eastAsia="en-US"/>
        </w:rPr>
        <w:t> </w:t>
      </w:r>
      <w:r>
        <w:rPr>
          <w:bCs/>
          <w:iCs/>
          <w:szCs w:val="22"/>
          <w:lang w:eastAsia="en-US"/>
        </w:rPr>
        <w:t>výnimkami</w:t>
      </w:r>
      <w:r w:rsidR="008D1729">
        <w:rPr>
          <w:bCs/>
          <w:iCs/>
          <w:szCs w:val="22"/>
          <w:lang w:eastAsia="en-US"/>
        </w:rPr>
        <w:t>,</w:t>
      </w:r>
      <w:r>
        <w:rPr>
          <w:bCs/>
          <w:iCs/>
          <w:szCs w:val="22"/>
          <w:lang w:eastAsia="en-US"/>
        </w:rPr>
        <w:t xml:space="preserve"> uvedenými priamo v týchto </w:t>
      </w:r>
      <w:r>
        <w:rPr>
          <w:szCs w:val="22"/>
          <w:lang w:eastAsia="en-US"/>
        </w:rPr>
        <w:t>ustanoveniach. Ak sa v jednotlivých častiach Systému riadenia EŠIF vzťahujú jednotlivé ustanovenia na výzvy, týkajú sa tieto ustanovenia aj vyzvania pre národné projekty, ak z konkrétneho ustanovenia nevyplýva opak.</w:t>
      </w:r>
    </w:p>
    <w:p w14:paraId="344743F4" w14:textId="77777777" w:rsidR="00B650E5" w:rsidRDefault="00B650E5">
      <w:pPr>
        <w:pStyle w:val="SRK3"/>
      </w:pPr>
      <w:bookmarkStart w:id="461" w:name="_Toc378947525"/>
      <w:bookmarkStart w:id="462" w:name="_Toc453234058"/>
      <w:bookmarkStart w:id="463" w:name="_Toc501630109"/>
      <w:r>
        <w:t>3.4.2 Veľké projekty</w:t>
      </w:r>
      <w:bookmarkEnd w:id="461"/>
      <w:bookmarkEnd w:id="462"/>
      <w:bookmarkEnd w:id="463"/>
    </w:p>
    <w:p w14:paraId="2D06C17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464" w:name="_Toc390099885"/>
      <w:r>
        <w:rPr>
          <w:bCs/>
          <w:iCs/>
          <w:sz w:val="22"/>
          <w:szCs w:val="22"/>
          <w:u w:val="single"/>
          <w:lang w:eastAsia="en-US"/>
        </w:rPr>
        <w:t>Relevantná úprava v legislatíve EÚ:</w:t>
      </w:r>
    </w:p>
    <w:p w14:paraId="77395D5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101 až 103 všeobecného nariadenia</w:t>
      </w:r>
    </w:p>
    <w:p w14:paraId="6EBF4572" w14:textId="77777777" w:rsidR="00B650E5" w:rsidRPr="008A67A6"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Vykonávacie rozhodnutie Komisie č. 2014/190/EÚ</w:t>
      </w:r>
    </w:p>
    <w:p w14:paraId="3AD81B14" w14:textId="77777777" w:rsidR="00B650E5" w:rsidRDefault="00B650E5"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Delegované nariadenie Komisie (EÚ) č. 240/2014 o európskom kódexe správania pre partnerstvo v rámci EŠIF</w:t>
      </w:r>
    </w:p>
    <w:p w14:paraId="0F93A11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2D96B1A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14:paraId="0929975B"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14:paraId="1BA02912"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14:paraId="6A54550E"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aktualizuje indikatívny zoznam veľkých projektov na základe koncepcií a stratégií na</w:t>
      </w:r>
      <w:r w:rsidR="008D1729">
        <w:rPr>
          <w:color w:val="000000"/>
          <w:lang w:eastAsia="en-US"/>
        </w:rPr>
        <w:t> </w:t>
      </w:r>
      <w:r>
        <w:rPr>
          <w:color w:val="000000"/>
          <w:lang w:eastAsia="en-US"/>
        </w:rPr>
        <w:t xml:space="preserve">národnej alebo regionálnej úrovni, pričom zohľadňuje stanovené priority v daných oblastiach v súlade so stratégiou definovanou v rámci príslušného OP, ako aj spôsobilosť žiadateľa v danej oblasti a finančnom riadení. </w:t>
      </w:r>
    </w:p>
    <w:p w14:paraId="404FD8CC" w14:textId="77777777" w:rsidR="00B650E5" w:rsidRDefault="00B650E5">
      <w:pPr>
        <w:numPr>
          <w:ilvl w:val="0"/>
          <w:numId w:val="16"/>
        </w:numPr>
        <w:spacing w:before="120" w:after="120"/>
        <w:ind w:left="426" w:hanging="426"/>
        <w:jc w:val="both"/>
        <w:rPr>
          <w:bCs/>
          <w:iCs/>
          <w:szCs w:val="22"/>
          <w:lang w:eastAsia="en-US"/>
        </w:rPr>
      </w:pPr>
      <w:r>
        <w:rPr>
          <w:color w:val="000000"/>
          <w:lang w:eastAsia="en-US"/>
        </w:rPr>
        <w:t>RO vo vzťahu k predkladaniu ŽoNFP na veľké projekty nevyhlasuje výzvu. Oprávnených žiadateľov, ktorých projekty sú zaradené v indikatívnom zozname veľkých projektov oboznámi o</w:t>
      </w:r>
      <w:r w:rsidR="008D1729">
        <w:rPr>
          <w:color w:val="000000"/>
          <w:lang w:eastAsia="en-US"/>
        </w:rPr>
        <w:t> </w:t>
      </w:r>
      <w:r>
        <w:rPr>
          <w:color w:val="000000"/>
          <w:lang w:eastAsia="en-US"/>
        </w:rPr>
        <w:t>možnosti predkladania ŽoNFP na veľké projekty písomne alebo zverejnením na svojom webovom sídle, prostredníctvom vyzvania, čím zabezpečí, aby boli projekty vypracovávané v</w:t>
      </w:r>
      <w:r w:rsidR="008D1729">
        <w:rPr>
          <w:color w:val="000000"/>
          <w:lang w:eastAsia="en-US"/>
        </w:rPr>
        <w:t> </w:t>
      </w:r>
      <w:r>
        <w:rPr>
          <w:color w:val="000000"/>
          <w:lang w:eastAsia="en-US"/>
        </w:rPr>
        <w:t>súlade s príslušnými cieľmi OP, oprávnenými aktivitami a ostatnými kritériami oprávnenosti definovanými v OP (resp. v riadiacej dokumentácii).</w:t>
      </w:r>
      <w:r>
        <w:t xml:space="preserve"> Ak RO vyzve budúceho žiadateľa písomne, bezodkladne zverejní vyzvanie na svojom webovom sídle.</w:t>
      </w:r>
      <w:r>
        <w:rPr>
          <w:bCs/>
          <w:iCs/>
          <w:szCs w:val="22"/>
          <w:lang w:eastAsia="en-US"/>
        </w:rPr>
        <w:t xml:space="preserve"> RO je povinný pred vyhlásením vyzvania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12 kapitoly 3.1.1</w:t>
        </w:r>
      </w:hyperlink>
      <w:r>
        <w:rPr>
          <w:szCs w:val="22"/>
          <w:lang w:eastAsia="en-US"/>
        </w:rPr>
        <w:t>.</w:t>
      </w:r>
    </w:p>
    <w:p w14:paraId="523CD45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465" w:name="kapitola_343_ods_5"/>
      <w:r>
        <w:rPr>
          <w:szCs w:val="22"/>
          <w:lang w:eastAsia="en-US"/>
        </w:rPr>
        <w:t>Dĺžka vyzvania, ktoré bolo vyhlásené ako uzavreté je minimálne 70 pracovných dní. V prípade otvoreného vyzvania RO zverejní na svojom webovom sídle informáciu o tom, že plánuje ukončiť vyzvanie z dôvodu blížiaceho sa vyčerpania alokácie. RO zverejňuje informáciu o tejto skutočnosti v dostatočnom časovom predstihu.</w:t>
      </w:r>
    </w:p>
    <w:p w14:paraId="02ABCDD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466" w:name="kapitola_343_ods_7"/>
      <w:bookmarkEnd w:id="465"/>
      <w:r>
        <w:rPr>
          <w:color w:val="000000"/>
          <w:lang w:eastAsia="en-US"/>
        </w:rPr>
        <w:t>Vyzvanie na predloženie veľkého projektu obsahuje formálne náležitosti, ktorými sú:</w:t>
      </w:r>
    </w:p>
    <w:bookmarkEnd w:id="466"/>
    <w:p w14:paraId="1404E469"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lastRenderedPageBreak/>
        <w:t xml:space="preserve">názov RO, ktorý vyzvanie vyhlasuje, </w:t>
      </w:r>
    </w:p>
    <w:p w14:paraId="1ABB5D2D"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vyhlásenia vyzvania, </w:t>
      </w:r>
    </w:p>
    <w:p w14:paraId="20F24757"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dátum uzavretia vyzvania alebo skutočnosť, na ktorej základe sa vyzvanie uzavrie, </w:t>
      </w:r>
    </w:p>
    <w:p w14:paraId="09A78CBB"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kontaktné údaje RO a spôsob komunikácie s RO, </w:t>
      </w:r>
    </w:p>
    <w:p w14:paraId="7BCE9747"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časový harmonogram konania o veľkom projekte, vrátane lehoty na vydanie rozhodnutia, </w:t>
      </w:r>
    </w:p>
    <w:p w14:paraId="3F8E8B95"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indikatívna výška finančných prostriedkov určených na vyčerpanie v rámci vyzvania, </w:t>
      </w:r>
    </w:p>
    <w:p w14:paraId="5A8DB8A8" w14:textId="77777777" w:rsidR="00B650E5" w:rsidRDefault="00B650E5">
      <w:pPr>
        <w:numPr>
          <w:ilvl w:val="0"/>
          <w:numId w:val="17"/>
        </w:numPr>
        <w:autoSpaceDE w:val="0"/>
        <w:autoSpaceDN w:val="0"/>
        <w:adjustRightInd w:val="0"/>
        <w:spacing w:before="120" w:after="120"/>
        <w:ind w:left="851" w:hanging="426"/>
        <w:jc w:val="both"/>
        <w:rPr>
          <w:color w:val="000000"/>
          <w:lang w:eastAsia="en-US"/>
        </w:rPr>
      </w:pPr>
      <w:r>
        <w:rPr>
          <w:color w:val="000000"/>
          <w:lang w:eastAsia="en-US"/>
        </w:rPr>
        <w:t xml:space="preserve">miesto podania ŽoNFP, </w:t>
      </w:r>
    </w:p>
    <w:p w14:paraId="09F1E398" w14:textId="77777777" w:rsidR="00B650E5" w:rsidRDefault="00B650E5">
      <w:pPr>
        <w:numPr>
          <w:ilvl w:val="0"/>
          <w:numId w:val="17"/>
        </w:numPr>
        <w:autoSpaceDE w:val="0"/>
        <w:autoSpaceDN w:val="0"/>
        <w:adjustRightInd w:val="0"/>
        <w:spacing w:before="120" w:after="120"/>
        <w:ind w:left="851" w:hanging="426"/>
        <w:jc w:val="both"/>
        <w:rPr>
          <w:lang w:eastAsia="en-US"/>
        </w:rPr>
      </w:pPr>
      <w:r>
        <w:rPr>
          <w:color w:val="000000"/>
          <w:lang w:eastAsia="en-US"/>
        </w:rPr>
        <w:t xml:space="preserve">ďalšie formálne náležitosti. </w:t>
      </w:r>
    </w:p>
    <w:p w14:paraId="1FB4FA8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obsahuje podmienky poskytnutia príspevku, ktorými sú: </w:t>
      </w:r>
    </w:p>
    <w:p w14:paraId="7CFC3C12"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žiadateľa, </w:t>
      </w:r>
    </w:p>
    <w:p w14:paraId="73998ABA"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aktivít realizácie projektu, </w:t>
      </w:r>
    </w:p>
    <w:p w14:paraId="646BFC14"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výdavkov realizácie projektu, </w:t>
      </w:r>
    </w:p>
    <w:p w14:paraId="1DB26482"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oprávnenosť miesta realizácie projektu, </w:t>
      </w:r>
    </w:p>
    <w:p w14:paraId="5FC68F83"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kritériá pre výber projektov, </w:t>
      </w:r>
    </w:p>
    <w:p w14:paraId="5F7C8EF2"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spôsob financovania, </w:t>
      </w:r>
    </w:p>
    <w:p w14:paraId="4884CB81" w14:textId="77777777" w:rsidR="00B650E5" w:rsidRDefault="00B650E5">
      <w:pPr>
        <w:numPr>
          <w:ilvl w:val="0"/>
          <w:numId w:val="111"/>
        </w:numPr>
        <w:autoSpaceDE w:val="0"/>
        <w:autoSpaceDN w:val="0"/>
        <w:adjustRightInd w:val="0"/>
        <w:spacing w:before="120" w:after="120"/>
        <w:ind w:left="851" w:hanging="426"/>
        <w:jc w:val="both"/>
        <w:rPr>
          <w:color w:val="000000"/>
          <w:lang w:eastAsia="en-US"/>
        </w:rPr>
      </w:pPr>
      <w:r>
        <w:rPr>
          <w:color w:val="000000"/>
          <w:lang w:eastAsia="en-US"/>
        </w:rPr>
        <w:t xml:space="preserve">splnenie podmienok ustanovených v osobitnom predpise podľa § 17 ods. 3, písm. g) zákona o príspevku z EŠIF. </w:t>
      </w:r>
    </w:p>
    <w:p w14:paraId="297FFBCA"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Vyzvanie môže obsahovať podmienky poskytnutia príspevku, ktorými sú: </w:t>
      </w:r>
    </w:p>
    <w:p w14:paraId="2DEB4BC0"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partnera, ak sa partner spolupodieľa na príprave projektu alebo realizácii projektu, </w:t>
      </w:r>
    </w:p>
    <w:p w14:paraId="36C5D6A6"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cieľovej skupiny, ak sa projekt realizuje v prospech cieľovej skupiny, </w:t>
      </w:r>
    </w:p>
    <w:p w14:paraId="5EC8663C"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oprávnenosť užívateľa, ak mu prijímateľ poskytuje finančné prostriedky, </w:t>
      </w:r>
    </w:p>
    <w:p w14:paraId="4906F406" w14:textId="77777777" w:rsidR="00B650E5" w:rsidRDefault="00B650E5">
      <w:pPr>
        <w:numPr>
          <w:ilvl w:val="0"/>
          <w:numId w:val="112"/>
        </w:numPr>
        <w:autoSpaceDE w:val="0"/>
        <w:autoSpaceDN w:val="0"/>
        <w:adjustRightInd w:val="0"/>
        <w:spacing w:before="120" w:after="120"/>
        <w:ind w:left="851" w:hanging="426"/>
        <w:jc w:val="both"/>
        <w:rPr>
          <w:color w:val="000000"/>
          <w:lang w:eastAsia="en-US"/>
        </w:rPr>
      </w:pPr>
      <w:r>
        <w:rPr>
          <w:color w:val="000000"/>
          <w:lang w:eastAsia="en-US"/>
        </w:rPr>
        <w:t xml:space="preserve">ďalšie podmienky poskytnutia príspevku. </w:t>
      </w:r>
    </w:p>
    <w:p w14:paraId="2ACC570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Vyzvanie obsahuje prílohy, najmä:</w:t>
      </w:r>
    </w:p>
    <w:p w14:paraId="7C349BDC"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ŽoNFP,</w:t>
      </w:r>
    </w:p>
    <w:p w14:paraId="094C36B8"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formulár na predloženie informácií o veľkom projekte v zmysle vykonávacieho nariadenia              č. 207/2015 EK,</w:t>
      </w:r>
    </w:p>
    <w:p w14:paraId="4BDBE49E"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color w:val="000000"/>
          <w:lang w:eastAsia="en-US"/>
        </w:rPr>
        <w:t>príručka pre žiadateľa,</w:t>
      </w:r>
    </w:p>
    <w:p w14:paraId="4DDE6EF1" w14:textId="77777777" w:rsidR="00B650E5" w:rsidRDefault="00B650E5">
      <w:pPr>
        <w:numPr>
          <w:ilvl w:val="0"/>
          <w:numId w:val="113"/>
        </w:numPr>
        <w:autoSpaceDE w:val="0"/>
        <w:autoSpaceDN w:val="0"/>
        <w:adjustRightInd w:val="0"/>
        <w:spacing w:before="120" w:after="120"/>
        <w:ind w:left="851" w:hanging="426"/>
        <w:jc w:val="both"/>
        <w:rPr>
          <w:color w:val="000000"/>
          <w:lang w:eastAsia="en-US"/>
        </w:rPr>
      </w:pPr>
      <w:r>
        <w:rPr>
          <w:bCs/>
          <w:iCs/>
        </w:rPr>
        <w:t>zoznam merateľných ukazovateľov,</w:t>
      </w:r>
      <w:r>
        <w:rPr>
          <w:color w:val="000000"/>
          <w:lang w:eastAsia="en-US"/>
        </w:rPr>
        <w:t xml:space="preserve"> </w:t>
      </w:r>
    </w:p>
    <w:p w14:paraId="695302D1" w14:textId="68094C4C" w:rsidR="00B650E5" w:rsidRPr="001B709E" w:rsidRDefault="0098559F">
      <w:pPr>
        <w:numPr>
          <w:ilvl w:val="0"/>
          <w:numId w:val="113"/>
        </w:numPr>
        <w:autoSpaceDE w:val="0"/>
        <w:autoSpaceDN w:val="0"/>
        <w:adjustRightInd w:val="0"/>
        <w:spacing w:before="120" w:after="120"/>
        <w:ind w:left="851" w:hanging="426"/>
        <w:jc w:val="both"/>
        <w:rPr>
          <w:bCs/>
          <w:iCs/>
        </w:rPr>
      </w:pPr>
      <w:r w:rsidRPr="001B709E">
        <w:rPr>
          <w:bCs/>
          <w:iCs/>
        </w:rPr>
        <w:t>informácia pre žiadateľov o nenávratný finančný príspevok / o príspevok v zmysle čl. 105a nariadenia Európskeho Parlamentu a Rady (EÚ, EURATOM) č. 1929/2015 z 28. októbra 2015, ktorým sa mení nariadenie (EÚ, EURATOM) č. 966/2012 o rozpočtových pravidlách, ktoré sa vzťahujú na všeobecný rozpočet Únie</w:t>
      </w:r>
      <w:r w:rsidR="00B650E5" w:rsidRPr="001B709E">
        <w:rPr>
          <w:bCs/>
          <w:iCs/>
        </w:rPr>
        <w:t xml:space="preserve">.  </w:t>
      </w:r>
    </w:p>
    <w:p w14:paraId="30A00204"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14:paraId="057A111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môže vyzvanie zmeniť, ak nie je v </w:t>
      </w:r>
      <w:hyperlink w:anchor="kapitola_343_ods_13" w:tooltip="ods. 13" w:history="1">
        <w:r>
          <w:rPr>
            <w:rStyle w:val="Hypertextovprepojenie"/>
          </w:rPr>
          <w:t>ods. 13</w:t>
        </w:r>
      </w:hyperlink>
      <w:r>
        <w:rPr>
          <w:color w:val="000000"/>
          <w:lang w:eastAsia="en-US"/>
        </w:rPr>
        <w:t xml:space="preserve"> ustanovené inak, ak sa zmenou podstatným spôsobom nezmenia podmienky poskytnutia príspevku. RO môže zmeniť vyzvanie do uzavretia </w:t>
      </w:r>
      <w:r>
        <w:rPr>
          <w:color w:val="000000"/>
          <w:lang w:eastAsia="en-US"/>
        </w:rPr>
        <w:lastRenderedPageBreak/>
        <w:t>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w:t>
      </w:r>
      <w:r w:rsidR="00D07296">
        <w:rPr>
          <w:color w:val="000000"/>
          <w:lang w:eastAsia="en-US"/>
        </w:rPr>
        <w:t> </w:t>
      </w:r>
      <w:r>
        <w:rPr>
          <w:color w:val="000000"/>
          <w:lang w:eastAsia="en-US"/>
        </w:rPr>
        <w:t xml:space="preserve">doplnenie alebo zmenu ŽoNFP. </w:t>
      </w:r>
    </w:p>
    <w:p w14:paraId="36EF988C"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Ak po zverejnení vyzvania dôjde k zmene formálnych náležitostí uvedených v </w:t>
      </w:r>
      <w:hyperlink w:anchor="kapitola_343_ods_7" w:tooltip="ods. 7" w:history="1">
        <w:r>
          <w:rPr>
            <w:rStyle w:val="Hypertextovprepojenie"/>
          </w:rPr>
          <w:t xml:space="preserve">ods. </w:t>
        </w:r>
        <w:r w:rsidR="00D07296">
          <w:rPr>
            <w:rStyle w:val="Hypertextovprepojenie"/>
          </w:rPr>
          <w:t>6</w:t>
        </w:r>
      </w:hyperlink>
      <w:r>
        <w:rPr>
          <w:color w:val="000000"/>
          <w:lang w:eastAsia="en-US"/>
        </w:rPr>
        <w:t xml:space="preserve">, RO bezodkladne zverejní informáciu o tejto zmene a jej zdôvodnenie na svojom webovom sídle. </w:t>
      </w:r>
    </w:p>
    <w:p w14:paraId="20BBF4E0"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bookmarkStart w:id="467" w:name="kapitola_343_ods_13"/>
      <w:bookmarkEnd w:id="467"/>
      <w:r>
        <w:rPr>
          <w:color w:val="000000"/>
          <w:lang w:eastAsia="en-US"/>
        </w:rPr>
        <w:t>RO vyzvanie zruší, ak dôjde k podstatnej zmene podmienok poskytnutia príspevku alebo ak z</w:t>
      </w:r>
      <w:r w:rsidR="00D07296">
        <w:rPr>
          <w:color w:val="000000"/>
          <w:lang w:eastAsia="en-US"/>
        </w:rPr>
        <w:t> </w:t>
      </w:r>
      <w:r>
        <w:rPr>
          <w:color w:val="000000"/>
          <w:lang w:eastAsia="en-US"/>
        </w:rPr>
        <w:t>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14:paraId="65ADE9D3"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pri zmene/zrušení vyzvania primerane aplikuje postup upravený v </w:t>
      </w:r>
      <w:hyperlink w:anchor="kapitola_3111" w:tooltip="kapitole 3.1.1.1" w:history="1">
        <w:r>
          <w:rPr>
            <w:rStyle w:val="Hypertextovprepojenie"/>
          </w:rPr>
          <w:t>kapitole 3.1.1.1</w:t>
        </w:r>
      </w:hyperlink>
      <w:r>
        <w:rPr>
          <w:color w:val="000000"/>
          <w:lang w:eastAsia="en-US"/>
        </w:rPr>
        <w:t>.</w:t>
      </w:r>
      <w:r>
        <w:rPr>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14:paraId="5BF0232F"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o každej aktualizácii indikatívneho zoznamu veľkých projektov informuje prostredníctvom príslušnej Výročnej správy o vykonávaní OP MV a EK. </w:t>
      </w:r>
    </w:p>
    <w:p w14:paraId="2682B29E" w14:textId="77777777" w:rsidR="00B650E5" w:rsidRDefault="00B650E5" w:rsidP="008A67A6">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RO zabezpečí, aby žiadateľ vypracoval pre veľký projekt, ktorý je definovaný v platnom indikatívnom zozname veľkých projektov, ŽoNFP (vzor vydaný CKO), ktorej prílohou je Žiadosť o potvrdenie pomoci vypracovaná v súlade s prílohou 2 vykonávacieho nariadenia komisie</w:t>
      </w:r>
      <w:r w:rsidRPr="008A67A6">
        <w:rPr>
          <w:color w:val="000000"/>
          <w:lang w:eastAsia="en-US"/>
        </w:rPr>
        <w:t xml:space="preserve"> (EÚ) 2015/207</w:t>
      </w:r>
      <w:r>
        <w:rPr>
          <w:color w:val="000000"/>
          <w:lang w:eastAsia="en-US"/>
        </w:rPr>
        <w:t>. Definovanie zoznamu a obsahu ďalších príloh ŽoNFP je v kompetencii RO. RO definuje zoznam povinných príloh ŽoNFP za účelom zisťovania splnenia podmienok poskytnutia príspevku definovaných vo  vyzvaní a overenia súladu predložených dokumentov na</w:t>
      </w:r>
      <w:r w:rsidR="00D07296">
        <w:rPr>
          <w:color w:val="000000"/>
          <w:lang w:eastAsia="en-US"/>
        </w:rPr>
        <w:t> </w:t>
      </w:r>
      <w:r>
        <w:rPr>
          <w:color w:val="000000"/>
          <w:lang w:eastAsia="en-US"/>
        </w:rPr>
        <w:t xml:space="preserve">základe vyzvania s osobitnými predpismi, pričom zohľadňuje charakter veľkého projektu a oprávneného žiadateľa. </w:t>
      </w:r>
    </w:p>
    <w:p w14:paraId="7F0B2A7E"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poskytne žiadateľovi v súvislosti s vypracovaním ŽoNFP a jej príloh potrebnú metodickú a odbornú podporu v súlade s </w:t>
      </w:r>
      <w:r>
        <w:t>§ 27 ods. 2 zákona o príspevku z EŠIF</w:t>
      </w:r>
      <w:r>
        <w:rPr>
          <w:color w:val="000000"/>
          <w:vertAlign w:val="superscript"/>
          <w:lang w:eastAsia="en-US"/>
        </w:rPr>
        <w:t xml:space="preserve"> </w:t>
      </w:r>
      <w:r>
        <w:rPr>
          <w:color w:val="000000"/>
          <w:lang w:eastAsia="en-US"/>
        </w:rPr>
        <w:t>pri dodržaní pravidla vylúčenia zaujatosti. RO môže spolupracovať so žiadateľom najmä pri zabezpečovaní vypracovania podkladov a projektovej dokumentácie pre realizáciu investičného projektu v</w:t>
      </w:r>
      <w:r w:rsidR="00D07296">
        <w:rPr>
          <w:color w:val="000000"/>
          <w:lang w:eastAsia="en-US"/>
        </w:rPr>
        <w:t> </w:t>
      </w:r>
      <w:r>
        <w:rPr>
          <w:color w:val="000000"/>
          <w:lang w:eastAsia="en-US"/>
        </w:rPr>
        <w:t xml:space="preserve">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14:paraId="6A6A0E7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využíva pomoc iniciatívy JASPERS na prípravu veľkých projektov, ktoré boli RO zaradené do Akčného plánu JASPERS pre SR pre príslušný sektor na daný rok. Akčný plán JASPERS pre</w:t>
      </w:r>
      <w:r w:rsidR="00D07296">
        <w:rPr>
          <w:color w:val="000000"/>
          <w:lang w:eastAsia="en-US"/>
        </w:rPr>
        <w:t> </w:t>
      </w:r>
      <w:r>
        <w:rPr>
          <w:color w:val="000000"/>
          <w:lang w:eastAsia="en-US"/>
        </w:rPr>
        <w:t>SR je vypracovaný za účelom zabezpečenia správneho plánovania a koordinácie využívania pomoci pri príprave veľkých projektov z prostriedkov programu JASPERS. RO využíva túto pomoc v zmysle inštrukcií daných subjektom zodpovedným za koordináciu pomoci z</w:t>
      </w:r>
      <w:r w:rsidR="00D07296">
        <w:rPr>
          <w:color w:val="000000"/>
          <w:lang w:eastAsia="en-US"/>
        </w:rPr>
        <w:t> </w:t>
      </w:r>
      <w:r>
        <w:rPr>
          <w:color w:val="000000"/>
          <w:lang w:eastAsia="en-US"/>
        </w:rPr>
        <w:t xml:space="preserve">prostriedkov programu JASPERS. </w:t>
      </w:r>
    </w:p>
    <w:p w14:paraId="01BA049D"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14:paraId="584FA78B"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V zmysle čl. 101 všeobecného nariadenia je možné po dohode RO s EK využiť na hodnotenie kvality veľkého projektu aj iných nezávislých externých expertov ako JASPERS.</w:t>
      </w:r>
    </w:p>
    <w:p w14:paraId="02DB554C"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lastRenderedPageBreak/>
        <w:t xml:space="preserve">Požiadavky na nezávislých expertov a posúdenie kvality veľkých projektov nezávislými expertmi sú ustanovené v kapitole III delegovaného nariadenia Komisie (EÚ) 480/2014, ktorým sa dopĺňa všeobecné nariadenie. </w:t>
      </w:r>
    </w:p>
    <w:p w14:paraId="3363E7E7"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 xml:space="preserve">Postup podľa čl. 102 odsek 2 všeobecného nariadenia RO neuplatňuje, </w:t>
      </w:r>
      <w:r w:rsidR="00C93F30">
        <w:rPr>
          <w:color w:val="000000"/>
          <w:lang w:eastAsia="en-US"/>
        </w:rPr>
        <w:t xml:space="preserve">t. j. </w:t>
      </w:r>
      <w:r>
        <w:rPr>
          <w:color w:val="000000"/>
          <w:lang w:eastAsia="en-US"/>
        </w:rPr>
        <w:t>od RO sa vyžaduje uskutočniť hodnotenie kvality veľkého projektu nezávislými expertmi podľa čl. 101 všeobecného nariadenia.</w:t>
      </w:r>
    </w:p>
    <w:p w14:paraId="1AC4519A"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Pr>
          <w:t xml:space="preserve">kapitoly </w:t>
        </w:r>
        <w:r>
          <w:rPr>
            <w:rStyle w:val="Hypertextovprepojenie"/>
            <w:lang w:eastAsia="en-US"/>
          </w:rPr>
          <w:t>3.</w:t>
        </w:r>
        <w:r>
          <w:rPr>
            <w:rStyle w:val="Hypertextovprepojenie"/>
          </w:rPr>
          <w:t>2.1.1</w:t>
        </w:r>
      </w:hyperlink>
      <w:r>
        <w:rPr>
          <w:color w:val="000000"/>
          <w:lang w:eastAsia="en-US"/>
        </w:rPr>
        <w:t>) v</w:t>
      </w:r>
      <w:r w:rsidR="00D07296">
        <w:rPr>
          <w:color w:val="000000"/>
          <w:lang w:eastAsia="en-US"/>
        </w:rPr>
        <w:t> </w:t>
      </w:r>
      <w:r>
        <w:rPr>
          <w:color w:val="000000"/>
          <w:lang w:eastAsia="en-US"/>
        </w:rPr>
        <w:t>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Pr>
          <w:t xml:space="preserve">kapitola </w:t>
        </w:r>
        <w:r>
          <w:rPr>
            <w:rStyle w:val="Hypertextovprepojenie"/>
            <w:lang w:eastAsia="en-US"/>
          </w:rPr>
          <w:t>3.</w:t>
        </w:r>
        <w:r>
          <w:rPr>
            <w:rStyle w:val="Hypertextovprepojenie"/>
          </w:rPr>
          <w:t>2.1.2</w:t>
        </w:r>
      </w:hyperlink>
      <w:r>
        <w:rPr>
          <w:color w:val="000000"/>
          <w:lang w:eastAsia="en-US"/>
        </w:rPr>
        <w:t xml:space="preserve">) v zmysle podmienok definovaných vo vyzvaní, pri dodržaní podmienok vyplývajúcich z § 17, § 19 a § 27 zákona o  príspevku z EŠIF. </w:t>
      </w:r>
    </w:p>
    <w:p w14:paraId="787B52C4"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predloží EK informácie o veľkom projekte v zmysle čl. 102 všeobecného nariadenia prostredníctvom oznámenia vybraného veľkého projektu podľa čl. 1 vykonávacieho nariadenia Komisie (EÚ) č. 1011/2014. EK prijme rozhodnutie o schválení alebo zamietnutí veľkého projektu v súlade s čl. 102 všeobecného nariadenia. RO predloží žiadosť o potvrdenie pomoci na</w:t>
      </w:r>
      <w:r w:rsidR="00D07296">
        <w:rPr>
          <w:color w:val="000000"/>
          <w:lang w:eastAsia="en-US"/>
        </w:rPr>
        <w:t> </w:t>
      </w:r>
      <w:r>
        <w:rPr>
          <w:color w:val="000000"/>
          <w:lang w:eastAsia="en-US"/>
        </w:rPr>
        <w:t xml:space="preserve">posúdenie CO elektronicky na adresu </w:t>
      </w:r>
      <w:hyperlink r:id="rId211" w:history="1">
        <w:r>
          <w:rPr>
            <w:rStyle w:val="Hypertextovprepojenie"/>
            <w:lang w:eastAsia="en-GB"/>
          </w:rPr>
          <w:t>co@mfsr.sk</w:t>
        </w:r>
      </w:hyperlink>
      <w:r>
        <w:rPr>
          <w:color w:val="000000"/>
          <w:lang w:eastAsia="en-US"/>
        </w:rPr>
        <w:t xml:space="preserve"> ešte pred jej predložením EK </w:t>
      </w:r>
      <w:r w:rsidR="0012163A">
        <w:rPr>
          <w:color w:val="000000"/>
          <w:lang w:eastAsia="en-US"/>
        </w:rPr>
        <w:t>s</w:t>
      </w:r>
      <w:r>
        <w:rPr>
          <w:color w:val="000000"/>
          <w:lang w:eastAsia="en-US"/>
        </w:rPr>
        <w:t xml:space="preserve"> </w:t>
      </w:r>
      <w:r w:rsidR="0012163A">
        <w:rPr>
          <w:color w:val="000000"/>
          <w:lang w:eastAsia="en-US"/>
        </w:rPr>
        <w:t>cieľom</w:t>
      </w:r>
      <w:r>
        <w:rPr>
          <w:color w:val="000000"/>
          <w:lang w:eastAsia="en-US"/>
        </w:rPr>
        <w:t xml:space="preserve"> over</w:t>
      </w:r>
      <w:r w:rsidR="0012163A">
        <w:rPr>
          <w:color w:val="000000"/>
          <w:lang w:eastAsia="en-US"/>
        </w:rPr>
        <w:t>iť</w:t>
      </w:r>
      <w:r>
        <w:rPr>
          <w:color w:val="000000"/>
          <w:lang w:eastAsia="en-US"/>
        </w:rPr>
        <w:t xml:space="preserve"> správnos</w:t>
      </w:r>
      <w:r w:rsidR="0012163A">
        <w:rPr>
          <w:color w:val="000000"/>
          <w:lang w:eastAsia="en-US"/>
        </w:rPr>
        <w:t>ť</w:t>
      </w:r>
      <w:r>
        <w:rPr>
          <w:color w:val="000000"/>
          <w:lang w:eastAsia="en-US"/>
        </w:rPr>
        <w:t xml:space="preserve"> stanovenia pomerov financovania za jednotlivé zdroje v súlade so stratégiou financovania. Lehota na posúdenie tejto žiadosti je 10 pracovných dní.</w:t>
      </w:r>
    </w:p>
    <w:p w14:paraId="2E23108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o rozhodnutí EK informuje príslušného žiadateľa a členov príslušného MV písomnou alebo elektronickou formou. Súčasťou tejto informácie je rozhodnutie EK. Rozhodnutie EK zasiela RO na CKO a CO do 10 pracovných dní po jeho doručení</w:t>
      </w:r>
      <w:r w:rsidR="007324D5">
        <w:rPr>
          <w:color w:val="000000"/>
          <w:lang w:eastAsia="en-US"/>
        </w:rPr>
        <w:t>,</w:t>
      </w:r>
      <w:r>
        <w:rPr>
          <w:color w:val="000000"/>
          <w:lang w:eastAsia="en-US"/>
        </w:rPr>
        <w:t xml:space="preserve"> a to na adresy CKO (</w:t>
      </w:r>
      <w:hyperlink r:id="rId212" w:history="1">
        <w:r w:rsidR="009D6DF9" w:rsidRPr="005D0155">
          <w:rPr>
            <w:rStyle w:val="Hypertextovprepojenie"/>
            <w:lang w:eastAsia="en-US"/>
          </w:rPr>
          <w:t>monitorovanie.cko@vicepremier.gov.sk</w:t>
        </w:r>
      </w:hyperlink>
      <w:r>
        <w:rPr>
          <w:color w:val="000000"/>
          <w:lang w:eastAsia="en-US"/>
        </w:rPr>
        <w:t>) a CO (</w:t>
      </w:r>
      <w:hyperlink r:id="rId213" w:history="1">
        <w:r>
          <w:rPr>
            <w:rStyle w:val="Hypertextovprepojenie"/>
            <w:lang w:eastAsia="en-GB"/>
          </w:rPr>
          <w:t>co@mfsr.sk</w:t>
        </w:r>
      </w:hyperlink>
      <w:r>
        <w:t>)</w:t>
      </w:r>
      <w:r>
        <w:rPr>
          <w:color w:val="000000"/>
          <w:lang w:eastAsia="en-US"/>
        </w:rPr>
        <w:t>.</w:t>
      </w:r>
    </w:p>
    <w:p w14:paraId="123DF778"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 V prípade využitia tejto možnosti RO zmluvne zabezpečí povinnosť vrátenia už poskytnutých finančných prostriedkov, resp. úpravu výšky poskytnutej pomoci v prípade nepotvrdenia pomoci zo strany EK alebo potvrdenia pomoci v nižšej výške, ako bolo uvedené v Žiadosti o potvrdenie pomoci.</w:t>
      </w:r>
    </w:p>
    <w:p w14:paraId="6E4B63B3" w14:textId="77777777" w:rsidR="00B650E5" w:rsidRDefault="00B650E5">
      <w:pPr>
        <w:numPr>
          <w:ilvl w:val="0"/>
          <w:numId w:val="16"/>
        </w:numPr>
        <w:autoSpaceDE w:val="0"/>
        <w:autoSpaceDN w:val="0"/>
        <w:adjustRightInd w:val="0"/>
        <w:spacing w:before="120" w:after="120"/>
        <w:ind w:left="425" w:hanging="425"/>
        <w:jc w:val="both"/>
        <w:rPr>
          <w:color w:val="000000"/>
          <w:lang w:eastAsia="en-US"/>
        </w:rPr>
      </w:pPr>
      <w:r>
        <w:rPr>
          <w:color w:val="000000"/>
          <w:lang w:eastAsia="en-US"/>
        </w:rPr>
        <w:t>RO pri výbere projektu realizovaného vo fázach (podľa článku 103 všeobecného nariadenia) postupuje primerane podľa vyššie uvedených odsekov tejto kapitoly, okrem požiadavky na</w:t>
      </w:r>
      <w:r w:rsidR="00D07296">
        <w:rPr>
          <w:color w:val="000000"/>
          <w:lang w:eastAsia="en-US"/>
        </w:rPr>
        <w:t> </w:t>
      </w:r>
      <w:r>
        <w:rPr>
          <w:color w:val="000000"/>
          <w:lang w:eastAsia="en-US"/>
        </w:rPr>
        <w:t>hodnotenie kvality veľkého projektu nezávislými expertmi v zmysle článku 101 všeobecného nariadenia.</w:t>
      </w:r>
    </w:p>
    <w:p w14:paraId="5D3CB134" w14:textId="77777777" w:rsidR="00B650E5" w:rsidRDefault="00B650E5">
      <w:pPr>
        <w:numPr>
          <w:ilvl w:val="0"/>
          <w:numId w:val="16"/>
        </w:numPr>
        <w:autoSpaceDE w:val="0"/>
        <w:autoSpaceDN w:val="0"/>
        <w:adjustRightInd w:val="0"/>
        <w:spacing w:before="120" w:after="120"/>
        <w:ind w:left="426" w:hanging="426"/>
        <w:jc w:val="both"/>
        <w:rPr>
          <w:color w:val="000000"/>
          <w:lang w:eastAsia="en-US"/>
        </w:rPr>
      </w:pPr>
      <w:r>
        <w:rPr>
          <w:color w:val="000000"/>
          <w:lang w:eastAsia="en-US"/>
        </w:rPr>
        <w:t>V zmysle čl. 103 všeobecného nariadenia, pri rozhodnutí o veľkom projekte, ktorý sa realizuje vo</w:t>
      </w:r>
      <w:r w:rsidR="00D07296">
        <w:rPr>
          <w:color w:val="000000"/>
          <w:lang w:eastAsia="en-US"/>
        </w:rPr>
        <w:t> </w:t>
      </w:r>
      <w:r>
        <w:rPr>
          <w:color w:val="000000"/>
          <w:lang w:eastAsia="en-US"/>
        </w:rPr>
        <w:t>fázach, je potrebné overiť podmienky definované v uvedenom článku odsek 1, písm. a) až e). Druhá alebo nasledujúca fáza veľkého projektu musí byť v súlade s pravidlami pre programové obdobie 2014</w:t>
      </w:r>
      <w:r w:rsidR="0023261D">
        <w:rPr>
          <w:color w:val="000000"/>
          <w:lang w:eastAsia="en-US"/>
        </w:rPr>
        <w:t xml:space="preserve"> </w:t>
      </w:r>
      <w:r>
        <w:rPr>
          <w:color w:val="000000"/>
          <w:lang w:eastAsia="en-US"/>
        </w:rPr>
        <w:t>-</w:t>
      </w:r>
      <w:r w:rsidR="0023261D">
        <w:rPr>
          <w:color w:val="000000"/>
          <w:lang w:eastAsia="en-US"/>
        </w:rPr>
        <w:t xml:space="preserve"> </w:t>
      </w:r>
      <w:r>
        <w:rPr>
          <w:color w:val="000000"/>
          <w:lang w:eastAsia="en-US"/>
        </w:rPr>
        <w:t>2020. Komisia zamietne veľký projekt realizovaný vo fázach, ak došlo k podstatným zmenám v informáciách uvedených v odseku 1 písm. d) článku 103 všeobecného nariadenia alebo keď daný veľký projekt nie je v súlade s príslušnou PO príslušného OP.</w:t>
      </w:r>
    </w:p>
    <w:p w14:paraId="7C66F65F" w14:textId="77777777" w:rsidR="00B650E5" w:rsidRDefault="00B650E5">
      <w:pPr>
        <w:pStyle w:val="SRK3"/>
      </w:pPr>
      <w:bookmarkStart w:id="468" w:name="_Toc453234059"/>
      <w:bookmarkStart w:id="469" w:name="_Toc501630110"/>
      <w:bookmarkEnd w:id="464"/>
      <w:r>
        <w:t>3.4.3 Projekty technickej pomoci</w:t>
      </w:r>
      <w:bookmarkEnd w:id="468"/>
      <w:bookmarkEnd w:id="469"/>
    </w:p>
    <w:p w14:paraId="15069C9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39B20CE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lastRenderedPageBreak/>
        <w:t>Čl. 58 a 59  všeobecného nariadenia</w:t>
      </w:r>
    </w:p>
    <w:p w14:paraId="7EA678D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14:paraId="53760E3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730D476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14:paraId="5F78FCF4" w14:textId="77777777" w:rsidR="00B650E5" w:rsidRDefault="00B650E5">
      <w:pPr>
        <w:numPr>
          <w:ilvl w:val="0"/>
          <w:numId w:val="334"/>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w:t>
      </w:r>
      <w:r w:rsidR="00D07296">
        <w:t> </w:t>
      </w:r>
      <w:r>
        <w:t>podporu opatrení zameraných na zníženie administratívneho zaťaženia prijímateľov a ostatné činnosti uvedené v podmienkach všeobecného nariadenia.</w:t>
      </w:r>
    </w:p>
    <w:p w14:paraId="3F8D01DE"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na predloženie projektov technickej pomoci vyzve budúceho žiadateľa písomne alebo zverejnením na svojom webovom sídle. Ak RO vyzve budúceho žiadateľa písomne, bezodkladne zverejní vyzvanie na svojom webovom sídle. RO je povinný pred vyzvaním pre projekty technickej pomoci vykonať kontrolu správnosti a kompletnosti vyzvania. Kontrola je zameraná predovšetkým na kontrolu súladu vyzvania s OP, podmienkami uvedenými v relevantnej schéme štátnej pomoci/schéme pomoci de minimis a ostatnými relevantnými dokumentmi, ako aj požiadavkami legislatívy EÚ a SR. RO je povinný pred vyzvaním budúceho žiadateľa alebo zverejnením vyzvania na svojom webovom sídle zaslať vyzvanie na posúdenie zo strany CKO. Na tento postup sa vzťahuje </w:t>
      </w:r>
      <w:hyperlink w:anchor="kapitola_311_ods_3" w:tooltip="ods. 3 až ods. 12 kapitoly 3.1.1" w:history="1">
        <w:r>
          <w:rPr>
            <w:rStyle w:val="Hypertextovprepojenie"/>
            <w:szCs w:val="22"/>
            <w:lang w:eastAsia="en-US"/>
          </w:rPr>
          <w:t>ods. 3 až ods. 12 kapitoly 3.1.1</w:t>
        </w:r>
      </w:hyperlink>
      <w:r>
        <w:rPr>
          <w:szCs w:val="22"/>
          <w:lang w:eastAsia="en-US"/>
        </w:rPr>
        <w:t>.</w:t>
      </w:r>
    </w:p>
    <w:p w14:paraId="1F8D8AB3" w14:textId="77777777" w:rsidR="00B650E5" w:rsidRDefault="00B650E5">
      <w:pPr>
        <w:numPr>
          <w:ilvl w:val="0"/>
          <w:numId w:val="334"/>
        </w:numPr>
        <w:autoSpaceDE w:val="0"/>
        <w:autoSpaceDN w:val="0"/>
        <w:adjustRightInd w:val="0"/>
        <w:spacing w:before="120" w:after="120"/>
        <w:ind w:left="426" w:hanging="426"/>
        <w:jc w:val="both"/>
        <w:rPr>
          <w:bCs/>
        </w:rPr>
      </w:pPr>
      <w:r>
        <w:rPr>
          <w:bCs/>
          <w:iCs/>
          <w:szCs w:val="22"/>
          <w:lang w:eastAsia="en-US"/>
        </w:rPr>
        <w:t xml:space="preserve">RO sa môže proaktívne,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14:paraId="140EC1D5" w14:textId="77777777" w:rsidR="00B650E5" w:rsidRDefault="00B650E5">
      <w:pPr>
        <w:numPr>
          <w:ilvl w:val="0"/>
          <w:numId w:val="334"/>
        </w:numPr>
        <w:autoSpaceDE w:val="0"/>
        <w:autoSpaceDN w:val="0"/>
        <w:adjustRightInd w:val="0"/>
        <w:spacing w:before="120" w:after="120"/>
        <w:ind w:left="426" w:hanging="426"/>
        <w:jc w:val="both"/>
      </w:pPr>
      <w:r>
        <w:rPr>
          <w:bCs/>
          <w:iCs/>
          <w:szCs w:val="22"/>
          <w:lang w:eastAsia="en-US"/>
        </w:rPr>
        <w:t xml:space="preserve">Na schvaľovanie a implementáciu projektov technickej pomoci sa vzťahujú ustanovenia </w:t>
      </w:r>
      <w:hyperlink w:anchor="kapitola_32" w:tooltip="kapitoly 3.2" w:history="1">
        <w:r>
          <w:rPr>
            <w:rStyle w:val="Hypertextovprepojenie"/>
          </w:rPr>
          <w:t>kapitoly 3.2</w:t>
        </w:r>
      </w:hyperlink>
      <w:r>
        <w:rPr>
          <w:bCs/>
          <w:iCs/>
          <w:szCs w:val="22"/>
          <w:lang w:eastAsia="en-US"/>
        </w:rPr>
        <w:t xml:space="preserve"> a </w:t>
      </w:r>
      <w:hyperlink w:anchor="kapitola_33" w:tooltip="kapitoly 3.3" w:history="1">
        <w:r>
          <w:rPr>
            <w:rStyle w:val="Hypertextovprepojenie"/>
            <w:bCs/>
            <w:iCs/>
            <w:szCs w:val="22"/>
            <w:lang w:eastAsia="en-US"/>
          </w:rPr>
          <w:t>kapitoly 3.3</w:t>
        </w:r>
      </w:hyperlink>
      <w:r>
        <w:rPr>
          <w:bCs/>
          <w:iCs/>
          <w:szCs w:val="22"/>
          <w:lang w:eastAsia="en-US"/>
        </w:rPr>
        <w:t xml:space="preserve"> primerane. Podrobnosti týkajúce sa projektov technickej pomoci upraví CKO v metodickom pokyne</w:t>
      </w:r>
      <w:r>
        <w:rPr>
          <w:rStyle w:val="Odkaznapoznmkupodiarou"/>
          <w:bCs/>
          <w:iCs/>
          <w:szCs w:val="22"/>
          <w:lang w:eastAsia="en-US"/>
        </w:rPr>
        <w:footnoteReference w:id="133"/>
      </w:r>
      <w:r>
        <w:rPr>
          <w:bCs/>
          <w:iCs/>
          <w:szCs w:val="22"/>
          <w:lang w:eastAsia="en-US"/>
        </w:rPr>
        <w:t>.</w:t>
      </w:r>
    </w:p>
    <w:p w14:paraId="152EC2D3" w14:textId="77777777" w:rsidR="00B650E5" w:rsidRDefault="00B650E5">
      <w:pPr>
        <w:pStyle w:val="SRK3"/>
      </w:pPr>
      <w:bookmarkStart w:id="470" w:name="_Toc453234060"/>
      <w:bookmarkStart w:id="471" w:name="_Toc501630111"/>
      <w:r>
        <w:t>3.4.4 Miestny rozvoj vedený komunitou</w:t>
      </w:r>
      <w:bookmarkEnd w:id="470"/>
      <w:bookmarkEnd w:id="471"/>
      <w:r>
        <w:t xml:space="preserve"> </w:t>
      </w:r>
    </w:p>
    <w:p w14:paraId="3DF4E63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773032A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w:t>
      </w:r>
      <w:r w:rsidR="00D07296">
        <w:rPr>
          <w:bCs/>
          <w:i/>
          <w:iCs/>
          <w:sz w:val="22"/>
          <w:szCs w:val="22"/>
          <w:lang w:eastAsia="en-US"/>
        </w:rPr>
        <w:t xml:space="preserve"> </w:t>
      </w:r>
      <w:r>
        <w:rPr>
          <w:bCs/>
          <w:i/>
          <w:iCs/>
          <w:sz w:val="22"/>
          <w:szCs w:val="22"/>
          <w:lang w:eastAsia="en-US"/>
        </w:rPr>
        <w:t>-</w:t>
      </w:r>
      <w:r w:rsidR="00D07296">
        <w:rPr>
          <w:bCs/>
          <w:i/>
          <w:iCs/>
          <w:sz w:val="22"/>
          <w:szCs w:val="22"/>
          <w:lang w:eastAsia="en-US"/>
        </w:rPr>
        <w:t xml:space="preserve"> </w:t>
      </w:r>
      <w:r>
        <w:rPr>
          <w:bCs/>
          <w:i/>
          <w:iCs/>
          <w:sz w:val="22"/>
          <w:szCs w:val="22"/>
          <w:lang w:eastAsia="en-US"/>
        </w:rPr>
        <w:t>35  všeobecného nariadenia</w:t>
      </w:r>
    </w:p>
    <w:p w14:paraId="0F1421B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14:paraId="125F06E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14:paraId="6297E0E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14:paraId="779C88E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14:paraId="4B3C4D6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14:paraId="637303D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4E68617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14:paraId="1570222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t>§ 30</w:t>
      </w:r>
      <w:r>
        <w:rPr>
          <w:i/>
          <w:sz w:val="28"/>
          <w:szCs w:val="28"/>
        </w:rPr>
        <w:t xml:space="preserve"> </w:t>
      </w:r>
      <w:r>
        <w:rPr>
          <w:bCs/>
          <w:i/>
          <w:iCs/>
          <w:sz w:val="22"/>
          <w:szCs w:val="22"/>
          <w:lang w:eastAsia="en-US"/>
        </w:rPr>
        <w:t>zákona o  príspevku z EŠIF</w:t>
      </w:r>
    </w:p>
    <w:p w14:paraId="09DBA2D7"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Miestny rozvoj vedený komunitou je prostriedkom na zapojenie lokálnych aktérov do tvorby a implementácie stratégií miestneho rozvoja, ktoré napomôžu trvalo udržateľnému rozvoju na danom území.</w:t>
      </w:r>
    </w:p>
    <w:p w14:paraId="4A02D611"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lastRenderedPageBreak/>
        <w:t>CLLD predstavuje taký nástroj implementácie, ktorý umožňuje napĺňanie miestnych potrieb a cieľov a tým prispieva k cieľom stratégie Európa 2020. Základom je stratégia miestneho rozvoja. Stratégia miestneho rozvoja musí byť v súlade a prispievať k napĺňaniu cieľov OP, z ktorého je financovaná.</w:t>
      </w:r>
    </w:p>
    <w:p w14:paraId="69DB1A59" w14:textId="77777777" w:rsidR="00B650E5" w:rsidRDefault="00B650E5">
      <w:pPr>
        <w:numPr>
          <w:ilvl w:val="0"/>
          <w:numId w:val="277"/>
        </w:numPr>
        <w:autoSpaceDE w:val="0"/>
        <w:autoSpaceDN w:val="0"/>
        <w:adjustRightInd w:val="0"/>
        <w:spacing w:before="120" w:after="120"/>
        <w:ind w:left="425" w:hanging="425"/>
        <w:jc w:val="both"/>
        <w:rPr>
          <w:color w:val="000000"/>
          <w:lang w:eastAsia="en-US"/>
        </w:rPr>
      </w:pPr>
      <w:r>
        <w:rPr>
          <w:color w:val="000000"/>
          <w:lang w:eastAsia="en-US"/>
        </w:rPr>
        <w:t xml:space="preserve">RO je oprávnený časť alokácie OP spolufinancovaného z fondu EFRR, ESF, EFPRV a ENRF použiť na implementáciu projektov prostredníctvom nástroja CLLD. </w:t>
      </w:r>
    </w:p>
    <w:p w14:paraId="158EAFD0" w14:textId="77777777" w:rsidR="00B650E5" w:rsidRPr="00DE5D89" w:rsidRDefault="00B650E5">
      <w:pPr>
        <w:numPr>
          <w:ilvl w:val="0"/>
          <w:numId w:val="277"/>
        </w:numPr>
        <w:autoSpaceDE w:val="0"/>
        <w:autoSpaceDN w:val="0"/>
        <w:adjustRightInd w:val="0"/>
        <w:spacing w:before="120" w:after="120"/>
        <w:ind w:left="425" w:hanging="425"/>
        <w:jc w:val="both"/>
      </w:pPr>
      <w:r>
        <w:rPr>
          <w:color w:val="000000"/>
          <w:lang w:eastAsia="en-US"/>
        </w:rPr>
        <w:t>Realizátorom a hlavným subjektom, prostredníctvom ktorého sú napĺňané ciele na miestnej úrovni definované v stratégii miestneho rozvoja je partnerstvo na miestnej úrovni. Partnerstvo na</w:t>
      </w:r>
      <w:r w:rsidR="00D07296">
        <w:rPr>
          <w:color w:val="000000"/>
          <w:lang w:eastAsia="en-US"/>
        </w:rPr>
        <w:t> </w:t>
      </w:r>
      <w:r>
        <w:rPr>
          <w:color w:val="000000"/>
          <w:lang w:eastAsia="en-US"/>
        </w:rPr>
        <w:t>miestnej úrovni je vyjadrené existenciou verejno-súkromného partnerstva (</w:t>
      </w:r>
      <w:r>
        <w:t>zoskupenie zahŕňa verejný a súkromný sektor vrátane občianskeho a neziskového)</w:t>
      </w:r>
      <w:r>
        <w:rPr>
          <w:color w:val="000000"/>
          <w:vertAlign w:val="superscript"/>
          <w:lang w:eastAsia="en-US"/>
        </w:rPr>
        <w:t xml:space="preserve"> </w:t>
      </w:r>
      <w:r>
        <w:rPr>
          <w:color w:val="000000"/>
          <w:lang w:eastAsia="en-US"/>
        </w:rPr>
        <w:t xml:space="preserve">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14:paraId="1DFB6C1F" w14:textId="77777777" w:rsidR="00B650E5" w:rsidRDefault="00B650E5" w:rsidP="00DE5D89">
      <w:pPr>
        <w:numPr>
          <w:ilvl w:val="0"/>
          <w:numId w:val="277"/>
        </w:numPr>
        <w:autoSpaceDE w:val="0"/>
        <w:autoSpaceDN w:val="0"/>
        <w:adjustRightInd w:val="0"/>
        <w:spacing w:before="120" w:after="120"/>
        <w:ind w:left="426" w:hanging="426"/>
        <w:jc w:val="both"/>
      </w:pPr>
      <w:r>
        <w:t xml:space="preserve">Špecifiká implementácie CLLD, ktoré objektívne neumožňujú aplikáciu postupov štandardne upravených v Systéme riadenia </w:t>
      </w:r>
      <w:r w:rsidR="004E3967">
        <w:t xml:space="preserve">EŠIF </w:t>
      </w:r>
      <w:r>
        <w:t>budú upravené v Systéme riadenia CLLD (LEADER a komunitný rozvoj) pre programové obdobie 2014</w:t>
      </w:r>
      <w:r w:rsidR="0023261D">
        <w:t xml:space="preserve"> </w:t>
      </w:r>
      <w:r>
        <w:t>-</w:t>
      </w:r>
      <w:r w:rsidR="0023261D">
        <w:t xml:space="preserve"> </w:t>
      </w:r>
      <w:r>
        <w:t>2020 a riadiacej dokumentácii jednotlivých 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w:t>
      </w:r>
    </w:p>
    <w:p w14:paraId="516FA585" w14:textId="77777777" w:rsidR="00B650E5" w:rsidRDefault="00B650E5" w:rsidP="0045286B">
      <w:pPr>
        <w:pStyle w:val="SRK4"/>
      </w:pPr>
      <w:bookmarkStart w:id="472" w:name="_Toc453234061"/>
      <w:bookmarkStart w:id="473" w:name="_Toc501630112"/>
      <w:bookmarkStart w:id="474" w:name="_Toc378947526"/>
      <w:r>
        <w:t>3.4.4.1 Výber a realizácia projektov v rámci CLLD</w:t>
      </w:r>
      <w:bookmarkEnd w:id="472"/>
      <w:bookmarkEnd w:id="473"/>
      <w:r>
        <w:t xml:space="preserve"> </w:t>
      </w:r>
    </w:p>
    <w:p w14:paraId="432DCB5D" w14:textId="77777777" w:rsidR="00B650E5" w:rsidRDefault="00B650E5">
      <w:pPr>
        <w:numPr>
          <w:ilvl w:val="0"/>
          <w:numId w:val="278"/>
        </w:numPr>
        <w:autoSpaceDE w:val="0"/>
        <w:autoSpaceDN w:val="0"/>
        <w:adjustRightInd w:val="0"/>
        <w:spacing w:before="120" w:after="120"/>
        <w:ind w:left="426" w:hanging="426"/>
        <w:jc w:val="both"/>
      </w:pPr>
      <w:r>
        <w:t>Miestna akčná skupina, ktorej bol udelený štatút podľa § 13 zákona o príspevku z EŠIF je oprávnená na základe a v rozsahu dohodnutom v zmluve s </w:t>
      </w:r>
      <w:r w:rsidR="00226058">
        <w:t xml:space="preserve">poskytovateľom </w:t>
      </w:r>
      <w:r>
        <w:t xml:space="preserve">vykonávať niektoré činnosti </w:t>
      </w:r>
      <w:r w:rsidR="00226058">
        <w:t xml:space="preserve">poskytovateľa </w:t>
      </w:r>
      <w:r>
        <w:t xml:space="preserve">v oblasti výberu a implementácie projektov, ktorých minimálny rozsah upravuje všeobecné nariadenie. </w:t>
      </w:r>
    </w:p>
    <w:p w14:paraId="4EDF85C7" w14:textId="77777777" w:rsidR="00B650E5" w:rsidRDefault="00B650E5">
      <w:pPr>
        <w:numPr>
          <w:ilvl w:val="0"/>
          <w:numId w:val="278"/>
        </w:numPr>
        <w:autoSpaceDE w:val="0"/>
        <w:autoSpaceDN w:val="0"/>
        <w:adjustRightInd w:val="0"/>
        <w:spacing w:before="120" w:after="120"/>
        <w:ind w:left="426" w:hanging="426"/>
        <w:jc w:val="both"/>
      </w:pPr>
      <w:r>
        <w:t xml:space="preserve">Miestna akčná skupina v rozsahu vykonávaných úloh postupuje podľa príslušných ustanovení Systému riadenia EŠIF, vrátane postupu podľa </w:t>
      </w:r>
      <w:hyperlink w:anchor="kapitola_311_ods_3" w:tooltip="ods. 3 až ods. 12 tejto kapitoly" w:history="1">
        <w:r>
          <w:rPr>
            <w:rStyle w:val="Hypertextovprepojenie"/>
          </w:rPr>
          <w:t>ods. 3 až ods. 12 kapitol</w:t>
        </w:r>
        <w:r w:rsidR="007708C1">
          <w:rPr>
            <w:rStyle w:val="Hypertextovprepojenie"/>
          </w:rPr>
          <w:t>y 3.1.1</w:t>
        </w:r>
      </w:hyperlink>
      <w:r w:rsidR="007708C1">
        <w:rPr>
          <w:rStyle w:val="Hypertextovprepojenie"/>
        </w:rPr>
        <w:t>.</w:t>
      </w:r>
    </w:p>
    <w:p w14:paraId="701BF8B5"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vyhlásila výzvu na</w:t>
      </w:r>
      <w:r w:rsidR="00226058">
        <w:t> </w:t>
      </w:r>
      <w:r>
        <w:t>predkladanie projektových zámerov, môže vykonávať všetky činnosti spojené s posudzovaním projektových zámerov, vrátane vydávania hodnotiacej správy.</w:t>
      </w:r>
    </w:p>
    <w:p w14:paraId="7C213AA6" w14:textId="77777777" w:rsidR="00B650E5" w:rsidRDefault="00B650E5">
      <w:pPr>
        <w:numPr>
          <w:ilvl w:val="0"/>
          <w:numId w:val="278"/>
        </w:numPr>
        <w:autoSpaceDE w:val="0"/>
        <w:autoSpaceDN w:val="0"/>
        <w:adjustRightInd w:val="0"/>
        <w:spacing w:before="120" w:after="120"/>
        <w:ind w:left="426" w:hanging="426"/>
        <w:jc w:val="both"/>
      </w:pPr>
      <w:r>
        <w:t>Miestna akčná skupina, ktorá v súlade so zmluvou s </w:t>
      </w:r>
      <w:r w:rsidR="00226058">
        <w:t xml:space="preserve">poskytovateľom </w:t>
      </w:r>
      <w:r>
        <w:t xml:space="preserve">vyhlásila výzvu, vykonáva všetky činnosti v konaní o ŽoNFP, s výnimkou vydávania rozhodnutí o ŽoNFP. Miestna akčná skupina po posúdení ŽoNFP postúpi ŽoNFP na ďalšie konanie a rozhodnutie príslušnému </w:t>
      </w:r>
      <w:r w:rsidR="00226058">
        <w:t>poskytovateľovi</w:t>
      </w:r>
      <w:r>
        <w:t>.</w:t>
      </w:r>
    </w:p>
    <w:p w14:paraId="21D3FF19" w14:textId="10C5C72C" w:rsidR="00B650E5" w:rsidRDefault="00B650E5">
      <w:pPr>
        <w:numPr>
          <w:ilvl w:val="0"/>
          <w:numId w:val="278"/>
        </w:numPr>
        <w:autoSpaceDE w:val="0"/>
        <w:autoSpaceDN w:val="0"/>
        <w:adjustRightInd w:val="0"/>
        <w:spacing w:before="120" w:after="120"/>
        <w:ind w:left="426" w:hanging="426"/>
        <w:jc w:val="both"/>
      </w:pPr>
      <w:r>
        <w:t xml:space="preserve">Na postup miestnej akčnej skupiny pri výkone činností spojených s poskytovaním príspevku z EFPRV sa nevzťahujú ustanovenia Systému riadenia EŠIF, s výnimkou povinného predkladania výziev na posúdenie zo strany CKO podľa </w:t>
      </w:r>
      <w:hyperlink w:anchor="kapitola_311_ods_3" w:tooltip="ods. 3 až ods. 12 kapitoly 3.1.1" w:history="1">
        <w:r>
          <w:rPr>
            <w:rStyle w:val="Hypertextovprepojenie"/>
          </w:rPr>
          <w:t>ods. 3 až ods. 12 kapitoly 3.1.1</w:t>
        </w:r>
      </w:hyperlink>
      <w:r>
        <w:t xml:space="preserve"> (táto povinnosť sa vzťahuje na všetky výzvy a vyzvania v súlade so zákonom o príspevku z EŠIF)</w:t>
      </w:r>
      <w:r w:rsidR="00FB1BE9">
        <w:t>.</w:t>
      </w:r>
    </w:p>
    <w:p w14:paraId="5CEE213F" w14:textId="77777777" w:rsidR="00B650E5" w:rsidRDefault="00B650E5">
      <w:pPr>
        <w:pStyle w:val="SRK3"/>
      </w:pPr>
      <w:bookmarkStart w:id="475" w:name="_Toc453234062"/>
      <w:bookmarkStart w:id="476" w:name="_Toc501630113"/>
      <w:r>
        <w:t>3.4.</w:t>
      </w:r>
      <w:bookmarkEnd w:id="474"/>
      <w:r>
        <w:t>5 Globálny grant</w:t>
      </w:r>
      <w:bookmarkEnd w:id="475"/>
      <w:bookmarkEnd w:id="476"/>
    </w:p>
    <w:p w14:paraId="367E4C7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2647941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 123, odsek 7 všeobecného nariadenia</w:t>
      </w:r>
    </w:p>
    <w:p w14:paraId="23093F07"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34C3AF0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lastRenderedPageBreak/>
        <w:t>§ 8</w:t>
      </w:r>
      <w:r>
        <w:rPr>
          <w:i/>
          <w:sz w:val="28"/>
          <w:szCs w:val="28"/>
        </w:rPr>
        <w:t xml:space="preserve"> </w:t>
      </w:r>
      <w:r>
        <w:rPr>
          <w:bCs/>
          <w:i/>
          <w:iCs/>
          <w:sz w:val="22"/>
          <w:szCs w:val="22"/>
          <w:lang w:eastAsia="en-US"/>
        </w:rPr>
        <w:t>zákona o  príspevku z EŠIF</w:t>
      </w:r>
    </w:p>
    <w:p w14:paraId="521DB3CC"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 xml:space="preserve">RO je oprávnený časť OP realizovať prostredníctvom globálneho grantu. Globálny grant predstavuje územne a/alebo tematicky zameraný grantový mechanizmus, </w:t>
      </w:r>
      <w:r w:rsidR="00C93F30">
        <w:rPr>
          <w:color w:val="000000"/>
        </w:rPr>
        <w:t xml:space="preserve">t. j. </w:t>
      </w:r>
      <w:r>
        <w:rPr>
          <w:color w:val="000000"/>
        </w:rPr>
        <w:t xml:space="preserve">prerozdelenie finančných prostriedkov na malé projekty, ktoré sú vyberané na základe vyhlásenej výzvy/výziev. </w:t>
      </w:r>
    </w:p>
    <w:p w14:paraId="58876B4E"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Globálny grant umožňuje prerozdelenie finančných prostriedkov z fondov a ENRF cielených na</w:t>
      </w:r>
      <w:r w:rsidR="00994E86">
        <w:rPr>
          <w:color w:val="000000"/>
        </w:rPr>
        <w:t> </w:t>
      </w:r>
      <w:r>
        <w:rPr>
          <w:color w:val="000000"/>
        </w:rPr>
        <w:t xml:space="preserve">určitú tému/aktivitu priamo do územia prostredníctvom vybraných partnerov, ktorí sa zameriavajú svojou aktívnou činnosťou na daný typ aktivity/témy. </w:t>
      </w:r>
    </w:p>
    <w:p w14:paraId="5E2C7324" w14:textId="77777777" w:rsidR="00B650E5" w:rsidRDefault="00B650E5">
      <w:pPr>
        <w:numPr>
          <w:ilvl w:val="0"/>
          <w:numId w:val="114"/>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14:paraId="6A4A03D1" w14:textId="77777777" w:rsidR="00B650E5" w:rsidRDefault="00B650E5" w:rsidP="0045286B">
      <w:pPr>
        <w:pStyle w:val="SRK4"/>
      </w:pPr>
      <w:bookmarkStart w:id="477" w:name="_Toc453234063"/>
      <w:bookmarkStart w:id="478" w:name="_Toc501630114"/>
      <w:r>
        <w:t>3.4.5.1 Výber sprostredkovateľského orgánu pre globálny grant</w:t>
      </w:r>
      <w:bookmarkEnd w:id="477"/>
      <w:bookmarkEnd w:id="478"/>
    </w:p>
    <w:p w14:paraId="34815DAA"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14:paraId="61F31C72"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w:t>
      </w:r>
      <w:r w:rsidR="00903718">
        <w:rPr>
          <w:color w:val="000000"/>
        </w:rPr>
        <w:t> </w:t>
      </w:r>
      <w:r>
        <w:rPr>
          <w:color w:val="000000"/>
        </w:rPr>
        <w:t>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14:paraId="46972B83"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14:paraId="306D2239"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14:paraId="65C6B22E" w14:textId="77777777" w:rsidR="00B650E5" w:rsidRDefault="00B650E5">
      <w:pPr>
        <w:numPr>
          <w:ilvl w:val="0"/>
          <w:numId w:val="116"/>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14:paraId="12AE87E0" w14:textId="77777777" w:rsidR="00B650E5" w:rsidRDefault="00B650E5">
      <w:pPr>
        <w:numPr>
          <w:ilvl w:val="0"/>
          <w:numId w:val="116"/>
        </w:numPr>
        <w:spacing w:before="120" w:after="120"/>
        <w:ind w:left="851" w:hanging="425"/>
        <w:jc w:val="both"/>
        <w:rPr>
          <w:color w:val="000000"/>
        </w:rPr>
      </w:pPr>
      <w:r>
        <w:rPr>
          <w:color w:val="000000"/>
        </w:rPr>
        <w:t>konkrétne vymedzenie úloh a funkcií jednotlivých článkov riadenia globálneho grantu v</w:t>
      </w:r>
      <w:r w:rsidR="000A0CD7">
        <w:rPr>
          <w:color w:val="000000"/>
        </w:rPr>
        <w:t> </w:t>
      </w:r>
      <w:r>
        <w:rPr>
          <w:color w:val="000000"/>
        </w:rPr>
        <w:t>rámci organizačnej štruktúry a vymedzenie efektívneho systému ich kontroly.</w:t>
      </w:r>
    </w:p>
    <w:p w14:paraId="4C9F44D6"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14:paraId="1520A2E2"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t>Zmluva so SO musí obsahovať najmä:</w:t>
      </w:r>
    </w:p>
    <w:p w14:paraId="2015631D" w14:textId="77777777" w:rsidR="00B650E5" w:rsidRDefault="00B650E5">
      <w:pPr>
        <w:numPr>
          <w:ilvl w:val="0"/>
          <w:numId w:val="117"/>
        </w:numPr>
        <w:spacing w:before="120" w:after="120"/>
        <w:ind w:left="851" w:hanging="425"/>
        <w:jc w:val="both"/>
        <w:rPr>
          <w:color w:val="000000"/>
        </w:rPr>
      </w:pPr>
      <w:r>
        <w:rPr>
          <w:color w:val="000000"/>
        </w:rPr>
        <w:t>ciele globálneho grantu,</w:t>
      </w:r>
    </w:p>
    <w:p w14:paraId="6F880D0C" w14:textId="77777777" w:rsidR="00B650E5" w:rsidRDefault="00B650E5">
      <w:pPr>
        <w:numPr>
          <w:ilvl w:val="0"/>
          <w:numId w:val="117"/>
        </w:numPr>
        <w:spacing w:before="120" w:after="120"/>
        <w:ind w:left="851" w:hanging="425"/>
        <w:jc w:val="both"/>
        <w:rPr>
          <w:color w:val="000000"/>
        </w:rPr>
      </w:pPr>
      <w:r>
        <w:rPr>
          <w:color w:val="000000"/>
        </w:rPr>
        <w:t>výšku finančných prostriedkov určených na implementáciu globálneho grantu,</w:t>
      </w:r>
    </w:p>
    <w:p w14:paraId="51698A6E" w14:textId="77777777" w:rsidR="00B650E5" w:rsidRDefault="00B650E5">
      <w:pPr>
        <w:numPr>
          <w:ilvl w:val="0"/>
          <w:numId w:val="117"/>
        </w:numPr>
        <w:spacing w:before="120" w:after="120"/>
        <w:ind w:left="851" w:hanging="425"/>
        <w:jc w:val="both"/>
        <w:rPr>
          <w:color w:val="000000"/>
        </w:rPr>
      </w:pPr>
      <w:r>
        <w:rPr>
          <w:color w:val="000000"/>
        </w:rPr>
        <w:t>práva a povinnosti zmluvných strán,</w:t>
      </w:r>
    </w:p>
    <w:p w14:paraId="58F08E94" w14:textId="77777777" w:rsidR="00B650E5" w:rsidRDefault="00B650E5">
      <w:pPr>
        <w:numPr>
          <w:ilvl w:val="0"/>
          <w:numId w:val="117"/>
        </w:numPr>
        <w:spacing w:before="120" w:after="120"/>
        <w:ind w:left="851" w:hanging="425"/>
        <w:jc w:val="both"/>
        <w:rPr>
          <w:color w:val="000000"/>
        </w:rPr>
      </w:pPr>
      <w:r>
        <w:rPr>
          <w:color w:val="000000"/>
        </w:rPr>
        <w:t>pravidlá implementácie globálneho grantu,</w:t>
      </w:r>
    </w:p>
    <w:p w14:paraId="1F9A9DD5" w14:textId="77777777" w:rsidR="00B650E5" w:rsidRDefault="00B650E5">
      <w:pPr>
        <w:numPr>
          <w:ilvl w:val="0"/>
          <w:numId w:val="117"/>
        </w:numPr>
        <w:spacing w:before="120" w:after="120"/>
        <w:ind w:left="851" w:hanging="425"/>
        <w:jc w:val="both"/>
        <w:rPr>
          <w:color w:val="000000"/>
        </w:rPr>
      </w:pPr>
      <w:r>
        <w:rPr>
          <w:color w:val="000000"/>
        </w:rPr>
        <w:t>manuál riadenia globálneho grantu.</w:t>
      </w:r>
    </w:p>
    <w:p w14:paraId="09A5B499" w14:textId="77777777" w:rsidR="00B650E5" w:rsidRDefault="00B650E5">
      <w:pPr>
        <w:numPr>
          <w:ilvl w:val="0"/>
          <w:numId w:val="115"/>
        </w:numPr>
        <w:autoSpaceDE w:val="0"/>
        <w:autoSpaceDN w:val="0"/>
        <w:adjustRightInd w:val="0"/>
        <w:spacing w:before="120" w:after="120"/>
        <w:ind w:left="425" w:hanging="425"/>
        <w:jc w:val="both"/>
        <w:rPr>
          <w:color w:val="000000"/>
        </w:rPr>
      </w:pPr>
      <w:r>
        <w:rPr>
          <w:color w:val="000000"/>
        </w:rPr>
        <w:lastRenderedPageBreak/>
        <w:t>RO v zmluve so SO môže určiť minimálne a maximálne výšky NFP projektov podporených prostredníctvom tohto nástroja.</w:t>
      </w:r>
    </w:p>
    <w:p w14:paraId="350DF83F" w14:textId="77777777" w:rsidR="00B650E5" w:rsidRDefault="00B650E5">
      <w:pPr>
        <w:numPr>
          <w:ilvl w:val="0"/>
          <w:numId w:val="115"/>
        </w:numPr>
        <w:autoSpaceDE w:val="0"/>
        <w:autoSpaceDN w:val="0"/>
        <w:adjustRightInd w:val="0"/>
        <w:spacing w:before="120" w:after="120"/>
        <w:ind w:left="425" w:hanging="425"/>
        <w:jc w:val="both"/>
        <w:rPr>
          <w:color w:val="000000"/>
        </w:rPr>
      </w:pPr>
      <w:r>
        <w:rPr>
          <w:bCs/>
          <w:color w:val="000000"/>
        </w:rPr>
        <w:t>Aktivity týkajúce sa príprav, riadenia, monitorovania, hodnotenia, informovania a kontroly globálneho grantu zo strany SO sú oprávnené na financovanie z prostriedkov technickej pomoci OP.</w:t>
      </w:r>
    </w:p>
    <w:p w14:paraId="73F9583C" w14:textId="77777777" w:rsidR="00B650E5" w:rsidRPr="00556762" w:rsidRDefault="00B650E5" w:rsidP="0045286B">
      <w:pPr>
        <w:pStyle w:val="SRK4"/>
      </w:pPr>
      <w:bookmarkStart w:id="479" w:name="_Toc453234064"/>
      <w:bookmarkStart w:id="480" w:name="_Toc501630115"/>
      <w:r w:rsidRPr="00556762">
        <w:t>3.4.5.2 Zverejnenie výzvy a schvaľovací proces</w:t>
      </w:r>
      <w:bookmarkEnd w:id="479"/>
      <w:bookmarkEnd w:id="480"/>
    </w:p>
    <w:p w14:paraId="3FBADD59"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zodpovedá za prípravu výziev a taktiež zodpovedá za celkovú kontrolu úplnosti informácií v nich uvedených a ďalších dokumentoch nevyhnutých pre ich správne vypracovanie. Zverejnenie výziev podlieha súhlasnému stanovisku RO</w:t>
      </w:r>
      <w:r w:rsidR="00F64BDD" w:rsidRPr="00556762">
        <w:rPr>
          <w:color w:val="000000"/>
        </w:rPr>
        <w:t>,</w:t>
      </w:r>
      <w:r w:rsidRPr="00556762">
        <w:rPr>
          <w:color w:val="000000"/>
        </w:rPr>
        <w:t xml:space="preserve"> ako aj CKO v súlade s </w:t>
      </w:r>
      <w:hyperlink w:anchor="kapitola_311_ods_3" w:tooltip="ods. 3 až ods. 12 kapitoly 3.1.1" w:history="1">
        <w:r w:rsidRPr="00556762">
          <w:rPr>
            <w:rStyle w:val="Hypertextovprepojenie"/>
          </w:rPr>
          <w:t>ods. 3 až ods. 12 kapitoly 3.1.1</w:t>
        </w:r>
      </w:hyperlink>
      <w:r w:rsidRPr="00556762">
        <w:rPr>
          <w:color w:val="000000"/>
        </w:rPr>
        <w:t>.</w:t>
      </w:r>
    </w:p>
    <w:p w14:paraId="7ECA7A5E"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zabezpečí prípravu výzvy v súlade s ustanoveniami manuálu riadenia globálneho grantu.</w:t>
      </w:r>
    </w:p>
    <w:p w14:paraId="38C55C96" w14:textId="77777777" w:rsidR="00B650E5" w:rsidRPr="00556762"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14:paraId="067DCAD3" w14:textId="77777777" w:rsidR="00B650E5" w:rsidRDefault="00B650E5">
      <w:pPr>
        <w:numPr>
          <w:ilvl w:val="0"/>
          <w:numId w:val="118"/>
        </w:numPr>
        <w:autoSpaceDE w:val="0"/>
        <w:autoSpaceDN w:val="0"/>
        <w:adjustRightInd w:val="0"/>
        <w:spacing w:before="120" w:after="120"/>
        <w:ind w:left="425" w:hanging="425"/>
        <w:jc w:val="both"/>
        <w:rPr>
          <w:color w:val="000000"/>
        </w:rPr>
      </w:pPr>
      <w:r w:rsidRPr="00556762">
        <w:rPr>
          <w:color w:val="000000"/>
        </w:rPr>
        <w:t>Zloženie Riadiaceho výboru navrhuje príslušný štatutárny orgán SO globálneho grantu. Členmi Riadiaceho výboru sú zástupcovia RO, zástupcovia verejnej správy a externí odborníci</w:t>
      </w:r>
      <w:r>
        <w:rPr>
          <w:color w:val="000000"/>
        </w:rPr>
        <w:t xml:space="preserve"> so</w:t>
      </w:r>
      <w:r w:rsidR="00903718">
        <w:rPr>
          <w:color w:val="000000"/>
        </w:rPr>
        <w:t> </w:t>
      </w:r>
      <w:r>
        <w:rPr>
          <w:color w:val="000000"/>
        </w:rPr>
        <w:t>znalosťami a prehľadom v téme globálneho grantu. Právo zúčastňovať sa na zasadnutiach Riadiaceho výboru v pozícii pozorovateľa majú vopred nominovaní zástupcovia verejnej správy a mimovládnych neziskových organizácií.</w:t>
      </w:r>
    </w:p>
    <w:p w14:paraId="22DABC72"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SO pre globálny grant je oprávnený v prípade relevancie využiť aj 2-kolový proces výberu. </w:t>
      </w:r>
    </w:p>
    <w:p w14:paraId="3C7C394E"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14:paraId="04AF41A7"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14:paraId="52764EC0"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V prípade ustanovenia Riadiaceho výboru, stanovené poradie hodnotených projektov, ktoré je výsledkom hodnotenia externých hodnotiteľov, je základným východiskom pre výber projektov na schválenie na úrovni Riadiaceho výboru. </w:t>
      </w:r>
    </w:p>
    <w:p w14:paraId="1FB8069A"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14:paraId="71E1F62B" w14:textId="77777777" w:rsidR="00B650E5" w:rsidRDefault="00B650E5">
      <w:pPr>
        <w:numPr>
          <w:ilvl w:val="0"/>
          <w:numId w:val="118"/>
        </w:numPr>
        <w:autoSpaceDE w:val="0"/>
        <w:autoSpaceDN w:val="0"/>
        <w:adjustRightInd w:val="0"/>
        <w:spacing w:before="120" w:after="120"/>
        <w:ind w:left="425" w:hanging="425"/>
        <w:jc w:val="both"/>
        <w:rPr>
          <w:color w:val="000000"/>
        </w:rPr>
      </w:pPr>
      <w:r>
        <w:rPr>
          <w:color w:val="000000"/>
        </w:rPr>
        <w:t xml:space="preserve">Po schválení zo strany RO, SO pristúpi k vydaniu rozhodnutí o ŽoNFP a uzavretiu zmlúv o NFP s úspešnými žiadateľmi; pri uzavretí zmluvy o NFP postupuje SO v súlade s ustanoveniami manuálu riadenia globálneho grantu. </w:t>
      </w:r>
    </w:p>
    <w:p w14:paraId="04ADC09E" w14:textId="77777777" w:rsidR="00B650E5" w:rsidRDefault="00B650E5" w:rsidP="0045286B">
      <w:pPr>
        <w:pStyle w:val="SRK4"/>
      </w:pPr>
      <w:bookmarkStart w:id="481" w:name="_Toc453234065"/>
      <w:bookmarkStart w:id="482" w:name="_Toc501630116"/>
      <w:r>
        <w:t>3.4.5.3 Monitorovanie a hodnotenie globálneho grantu</w:t>
      </w:r>
      <w:bookmarkEnd w:id="481"/>
      <w:bookmarkEnd w:id="482"/>
    </w:p>
    <w:p w14:paraId="18C31D94" w14:textId="77777777" w:rsidR="00B650E5" w:rsidRDefault="00B650E5">
      <w:pPr>
        <w:numPr>
          <w:ilvl w:val="0"/>
          <w:numId w:val="120"/>
        </w:numPr>
        <w:autoSpaceDE w:val="0"/>
        <w:autoSpaceDN w:val="0"/>
        <w:adjustRightInd w:val="0"/>
        <w:spacing w:before="120" w:after="120"/>
        <w:ind w:left="425" w:hanging="425"/>
        <w:jc w:val="both"/>
        <w:rPr>
          <w:color w:val="000000"/>
        </w:rPr>
      </w:pPr>
      <w:bookmarkStart w:id="483"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14:paraId="105288BE"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14:paraId="4954898F" w14:textId="77777777" w:rsidR="00B650E5" w:rsidRDefault="00B650E5">
      <w:pPr>
        <w:numPr>
          <w:ilvl w:val="0"/>
          <w:numId w:val="120"/>
        </w:numPr>
        <w:autoSpaceDE w:val="0"/>
        <w:autoSpaceDN w:val="0"/>
        <w:adjustRightInd w:val="0"/>
        <w:spacing w:before="120" w:after="120"/>
        <w:ind w:left="425" w:hanging="425"/>
        <w:jc w:val="both"/>
        <w:rPr>
          <w:color w:val="000000"/>
        </w:rPr>
      </w:pPr>
      <w:r>
        <w:rPr>
          <w:color w:val="000000"/>
        </w:rPr>
        <w:t xml:space="preserve">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w:t>
      </w:r>
      <w:r>
        <w:rPr>
          <w:color w:val="000000"/>
        </w:rPr>
        <w:lastRenderedPageBreak/>
        <w:t>hodnotením dosiahnutých cieľov a výsledkami kvantifikujúcimi účinnosť a efektivitu pomoci vrátane ich trvalej udržateľnosti.</w:t>
      </w:r>
    </w:p>
    <w:p w14:paraId="4B2E170E" w14:textId="77777777" w:rsidR="00B650E5" w:rsidRDefault="00B650E5" w:rsidP="0045286B">
      <w:pPr>
        <w:pStyle w:val="SRK4"/>
      </w:pPr>
      <w:bookmarkStart w:id="484" w:name="_Toc453234066"/>
      <w:bookmarkStart w:id="485" w:name="_Toc501630117"/>
      <w:r>
        <w:t>3.4.5.4 Kontrola projektov</w:t>
      </w:r>
      <w:bookmarkEnd w:id="484"/>
      <w:bookmarkEnd w:id="485"/>
    </w:p>
    <w:p w14:paraId="42374156" w14:textId="77777777" w:rsidR="00B650E5" w:rsidRDefault="00B650E5">
      <w:pPr>
        <w:numPr>
          <w:ilvl w:val="0"/>
          <w:numId w:val="354"/>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14:paraId="5CD2647F" w14:textId="77777777" w:rsidR="00B650E5" w:rsidRDefault="00B650E5">
      <w:pPr>
        <w:pStyle w:val="SRK3"/>
      </w:pPr>
      <w:bookmarkStart w:id="486" w:name="_Toc453234067"/>
      <w:bookmarkStart w:id="487" w:name="_Toc501630118"/>
      <w:r>
        <w:t>3.4.6 Spoločný akčný plán</w:t>
      </w:r>
      <w:bookmarkEnd w:id="483"/>
      <w:bookmarkEnd w:id="486"/>
      <w:bookmarkEnd w:id="487"/>
    </w:p>
    <w:p w14:paraId="0E66375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0265472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14:paraId="0267F23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8C33D2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zákon o  príspevku z EŠIF</w:t>
      </w:r>
    </w:p>
    <w:p w14:paraId="250D3171" w14:textId="77777777" w:rsidR="00B650E5" w:rsidRDefault="00B650E5" w:rsidP="00556762">
      <w:pPr>
        <w:numPr>
          <w:ilvl w:val="0"/>
          <w:numId w:val="126"/>
        </w:numPr>
        <w:autoSpaceDE w:val="0"/>
        <w:autoSpaceDN w:val="0"/>
        <w:adjustRightInd w:val="0"/>
        <w:spacing w:before="120" w:after="120"/>
        <w:ind w:left="425" w:hanging="425"/>
        <w:jc w:val="both"/>
        <w:rPr>
          <w:color w:val="000000"/>
          <w:lang w:eastAsia="en-US"/>
        </w:rPr>
      </w:pPr>
      <w:r w:rsidRPr="005E60EF">
        <w:rPr>
          <w:color w:val="000000"/>
          <w:lang w:eastAsia="en-US"/>
        </w:rPr>
        <w:t>V zmysle čl. 104 všeobecného nariadenia Spoločný akčný plán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r w:rsidR="005E60EF" w:rsidRPr="005E60EF">
        <w:rPr>
          <w:color w:val="000000"/>
          <w:lang w:eastAsia="en-US"/>
        </w:rPr>
        <w:t xml:space="preserve"> Podrobnosti sú uvedené v relevantných ustanoveniach všeobecného nariadenia a v zákone o príspevku z EŠIF. </w:t>
      </w:r>
      <w:bookmarkStart w:id="488" w:name="_Toc378947530"/>
    </w:p>
    <w:p w14:paraId="062E8410" w14:textId="77777777" w:rsidR="00B650E5" w:rsidRDefault="00B650E5">
      <w:pPr>
        <w:pStyle w:val="SRK3"/>
      </w:pPr>
      <w:bookmarkStart w:id="489" w:name="_Toc453234072"/>
      <w:bookmarkStart w:id="490" w:name="_Toc501630119"/>
      <w:bookmarkEnd w:id="488"/>
      <w:r>
        <w:t>3.4.7 Integrovaný prístup k územnému rozvoju - regionálne integrované územné stratégie a integrované územné stratégie mestskej oblasti</w:t>
      </w:r>
      <w:bookmarkEnd w:id="489"/>
      <w:bookmarkEnd w:id="490"/>
    </w:p>
    <w:p w14:paraId="418CFC4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58B71EE9"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5 všeobecného nariadenia</w:t>
      </w:r>
    </w:p>
    <w:p w14:paraId="0429B8C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36  všeobecného nariadenia</w:t>
      </w:r>
    </w:p>
    <w:p w14:paraId="4FA3300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Nariadenia o EFRR</w:t>
      </w:r>
    </w:p>
    <w:p w14:paraId="4275F55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425246C0"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15 zákona o  príspevku z EŠIF</w:t>
      </w:r>
    </w:p>
    <w:p w14:paraId="69711168"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IÚI sa budú realizovať prostredníctvom IROP na základe RIÚS a IÚSMO, ktoré predstavujú východiskový strategický dokument pre realizáciu IÚI na regionálnej úrovni, s dopadom na miestnu úroveň. </w:t>
      </w:r>
    </w:p>
    <w:p w14:paraId="31B5C4EF"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Na základe RIÚS a IÚSMO budú v podmienkach SR aplikované IÚI v zmysle                             čl. 36 všeobecného nariadenia a udržateľný mestský rozvoj v zmysle čl. 7 nariadenia o EFRR. </w:t>
      </w:r>
    </w:p>
    <w:p w14:paraId="2550CBDC"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Podľa PD bude aplikovaných 8 RIÚS na úrovni NUTS 3. V súlade s PD a zákonom o EŠIF zabezpečujú prípravu a implementáciu RIUS samosprávne kraje.</w:t>
      </w:r>
    </w:p>
    <w:p w14:paraId="27A971E4"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14:paraId="2A830FCC"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V súlade s § 15 ods. 1, písm. c) zákona o EŠIF RO pre IROP schvaľuje RIÚS na základe stanoviska rady partnerstva z hľadiska ich súladu s OP.</w:t>
      </w:r>
    </w:p>
    <w:p w14:paraId="0101C208"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Model RIÚS predstavuje aplikáciu princípu partnerstva v súlade čl. 5 všeobecného nariadenia.  Nositeľom RIÚS je partnerstvo pre tvorbu a implementáciu RIÚS zložené zo zástupcov </w:t>
      </w:r>
      <w:r>
        <w:rPr>
          <w:color w:val="000000"/>
          <w:lang w:eastAsia="en-US"/>
        </w:rPr>
        <w:lastRenderedPageBreak/>
        <w:t xml:space="preserve">regionálnej samosprávy (samosprávne kraje), miestnej samosprávy (mestá a obce), štátnej správy, miestnych 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14:paraId="3B7D53DF"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Pokiaľ RIÚS navrhne včlenenie aktivít, ktoré sú oprávnené v rámci iných OP/programov a tieto zapojenie do RIÚS predpokladajú, postupuje sa v súlade s podmienkami uvedenými v daných 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lang w:eastAsia="en-US"/>
          </w:rPr>
          <w:t>kapitole 2.4.3.2, odsek 3</w:t>
        </w:r>
      </w:hyperlink>
      <w:r>
        <w:rPr>
          <w:color w:val="000000"/>
          <w:lang w:eastAsia="en-US"/>
        </w:rPr>
        <w:t xml:space="preserve">. </w:t>
      </w:r>
    </w:p>
    <w:p w14:paraId="520756DF"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V súlade s § 15 ods. 2 zákona o EŠIF RO pre IROP koordinuje a vydáva metodické usmernenia, ktoré popisujú jednotný postup prípravy a implementácie RIÚS a IÚSMO. </w:t>
      </w:r>
    </w:p>
    <w:p w14:paraId="7E9C8B8A" w14:textId="77777777" w:rsidR="00B650E5" w:rsidRDefault="00B650E5">
      <w:pPr>
        <w:numPr>
          <w:ilvl w:val="0"/>
          <w:numId w:val="370"/>
        </w:numPr>
        <w:autoSpaceDE w:val="0"/>
        <w:autoSpaceDN w:val="0"/>
        <w:adjustRightInd w:val="0"/>
        <w:spacing w:before="120" w:after="120"/>
        <w:ind w:left="425" w:hanging="425"/>
        <w:jc w:val="both"/>
        <w:rPr>
          <w:color w:val="000000"/>
          <w:lang w:eastAsia="en-US"/>
        </w:rPr>
      </w:pPr>
      <w:r>
        <w:rPr>
          <w:color w:val="000000"/>
          <w:lang w:eastAsia="en-US"/>
        </w:rPr>
        <w:t xml:space="preserve">Pri výbere a implementácii projektov zahrnutých pod RIÚS sa postupuje štandardne podľa príslušných ustanovení Systému riadenia.  </w:t>
      </w:r>
    </w:p>
    <w:p w14:paraId="56A227DD" w14:textId="77777777" w:rsidR="00B650E5" w:rsidRDefault="00B650E5">
      <w:pPr>
        <w:pStyle w:val="SRK3"/>
      </w:pPr>
      <w:bookmarkStart w:id="491" w:name="_Toc453234073"/>
      <w:bookmarkStart w:id="492" w:name="_Toc501630120"/>
      <w:r>
        <w:t>3.4.8 Finančné nástroje</w:t>
      </w:r>
      <w:bookmarkEnd w:id="491"/>
      <w:bookmarkEnd w:id="492"/>
    </w:p>
    <w:p w14:paraId="25E0378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25BE311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37  - 46  všeobecného nariadenia</w:t>
      </w:r>
    </w:p>
    <w:p w14:paraId="0C6F4343" w14:textId="77777777" w:rsidR="00B650E5" w:rsidRDefault="00B650E5">
      <w:pPr>
        <w:numPr>
          <w:ilvl w:val="0"/>
          <w:numId w:val="372"/>
        </w:numPr>
        <w:autoSpaceDE w:val="0"/>
        <w:autoSpaceDN w:val="0"/>
        <w:adjustRightInd w:val="0"/>
        <w:spacing w:before="120" w:after="120"/>
        <w:ind w:left="426" w:hanging="426"/>
        <w:jc w:val="both"/>
        <w:rPr>
          <w:color w:val="000000"/>
          <w:lang w:eastAsia="en-US"/>
        </w:rPr>
      </w:pPr>
      <w:r>
        <w:rPr>
          <w:color w:val="000000"/>
          <w:lang w:eastAsia="en-US"/>
        </w:rPr>
        <w:t xml:space="preserve">Implementáciu finančných nástrojov prostredníctvom Slovenského investičného holdingu, a.s. a Slovenskej záručnej a rozvojovej banky Asset Management, a.s. bude riadiť, koordinovať a kontrolovať Ministerstvo financií Slovenskej republiky, v súlade s úlohami vyplývajúcimi z uznesenia vlády č. 736/2013 z 16. decembra 2013 a podľa osobitného </w:t>
      </w:r>
      <w:r w:rsidRPr="000E286B">
        <w:rPr>
          <w:color w:val="000000"/>
          <w:lang w:eastAsia="en-US"/>
        </w:rPr>
        <w:t xml:space="preserve">Systému riadenia finančných nástrojov financovaných z Kohézneho fondu, Európskeho fondu regionálneho rozvoja a Európskeho sociálneho fondu </w:t>
      </w:r>
      <w:r>
        <w:rPr>
          <w:color w:val="000000"/>
          <w:lang w:eastAsia="en-US"/>
        </w:rPr>
        <w:t xml:space="preserve"> predloženého Ministerstvom financií Slovenskej republiky záväzného pre všetky dotknuté RO.</w:t>
      </w:r>
      <w:r>
        <w:rPr>
          <w:color w:val="000000"/>
          <w:lang w:eastAsia="en-US" w:bidi="he-IL"/>
        </w:rPr>
        <w:t xml:space="preserve">‎ </w:t>
      </w:r>
    </w:p>
    <w:p w14:paraId="23742261" w14:textId="77777777" w:rsidR="00B650E5" w:rsidRDefault="00B650E5">
      <w:pPr>
        <w:pStyle w:val="SRK2"/>
        <w:rPr>
          <w:rStyle w:val="Nadpis1Char"/>
          <w:sz w:val="36"/>
          <w:szCs w:val="26"/>
        </w:rPr>
      </w:pPr>
      <w:bookmarkStart w:id="493" w:name="_Toc378947531"/>
      <w:bookmarkStart w:id="494" w:name="_Toc453234074"/>
      <w:bookmarkStart w:id="495" w:name="_Toc501630121"/>
      <w:r>
        <w:rPr>
          <w:rStyle w:val="Nadpis1Char"/>
          <w:sz w:val="36"/>
          <w:szCs w:val="26"/>
        </w:rPr>
        <w:t>3.5 Oprávnenosť výdavkov</w:t>
      </w:r>
      <w:bookmarkEnd w:id="493"/>
      <w:bookmarkEnd w:id="494"/>
      <w:bookmarkEnd w:id="495"/>
    </w:p>
    <w:p w14:paraId="3957B0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EÚ:</w:t>
      </w:r>
    </w:p>
    <w:p w14:paraId="740F102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61,65,67,68,69,70,71 všeobecného nariadenia</w:t>
      </w:r>
    </w:p>
    <w:p w14:paraId="00ECA06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 nariadenia o EFRR</w:t>
      </w:r>
    </w:p>
    <w:p w14:paraId="10D1AA3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13, 14 nariadenia o ESF</w:t>
      </w:r>
    </w:p>
    <w:p w14:paraId="567AE46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18,19,20 nariadenia o EÚS</w:t>
      </w:r>
    </w:p>
    <w:p w14:paraId="439A320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11 nariadenia o ENRF</w:t>
      </w:r>
    </w:p>
    <w:p w14:paraId="0D7D310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30 nariadenia č. 966/2012</w:t>
      </w:r>
    </w:p>
    <w:p w14:paraId="16CE72C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 xml:space="preserve">Relevantná úprava v legislatíve SR: </w:t>
      </w:r>
    </w:p>
    <w:p w14:paraId="0916B7C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finančnej kontrole </w:t>
      </w:r>
    </w:p>
    <w:p w14:paraId="4794311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účtovníctve </w:t>
      </w:r>
    </w:p>
    <w:p w14:paraId="1B2B3DB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lastRenderedPageBreak/>
        <w:t xml:space="preserve">zákon o rozpočtových pravidlách </w:t>
      </w:r>
    </w:p>
    <w:p w14:paraId="64EBFFA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zákon o rozpočtových pravidlách územnej samosprávy</w:t>
      </w:r>
    </w:p>
    <w:p w14:paraId="4CBAB561" w14:textId="77777777" w:rsidR="00B650E5" w:rsidRDefault="00B650E5">
      <w:pPr>
        <w:pStyle w:val="SRK3"/>
      </w:pPr>
      <w:bookmarkStart w:id="496" w:name="_Toc453234075"/>
      <w:bookmarkStart w:id="497" w:name="_Toc501630122"/>
      <w:r>
        <w:t>3.5.1 Všeobecné podmienky oprávnenosti</w:t>
      </w:r>
      <w:bookmarkEnd w:id="496"/>
      <w:bookmarkEnd w:id="497"/>
      <w:r>
        <w:t xml:space="preserve"> </w:t>
      </w:r>
    </w:p>
    <w:p w14:paraId="31CD27AD"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prípadov, keď sú stanovené osobitné pravidlá vo všeobecnom nariadení alebo pravidiel pre jednotlivé fondy.</w:t>
      </w:r>
    </w:p>
    <w:p w14:paraId="2677DEBB" w14:textId="77777777" w:rsidR="00B650E5" w:rsidRDefault="00B650E5">
      <w:pPr>
        <w:pStyle w:val="Odsekzoznamu"/>
        <w:numPr>
          <w:ilvl w:val="0"/>
          <w:numId w:val="135"/>
        </w:numPr>
        <w:ind w:left="426" w:hanging="426"/>
        <w:jc w:val="both"/>
        <w:rPr>
          <w:color w:val="000000"/>
          <w:lang w:eastAsia="en-US"/>
        </w:rPr>
      </w:pPr>
      <w:r>
        <w:rPr>
          <w:color w:val="000000"/>
          <w:lang w:eastAsia="en-US"/>
        </w:rPr>
        <w:t>Pravidlá, ktorými sú RO povinné sa riadiť pri používaní číselníka oprávnených výdavkov a pravidlá oprávnenosti pre najčastejšie sa vyskytujúce skupiny výdavkov, sú bližšie upravené v metodickom pokyne vydanom CKO</w:t>
      </w:r>
      <w:r>
        <w:rPr>
          <w:rStyle w:val="Odkaznapoznmkupodiarou"/>
          <w:color w:val="000000"/>
          <w:lang w:eastAsia="en-US"/>
        </w:rPr>
        <w:footnoteReference w:id="134"/>
      </w:r>
      <w:r>
        <w:rPr>
          <w:color w:val="000000"/>
          <w:lang w:eastAsia="en-US"/>
        </w:rPr>
        <w:t>.</w:t>
      </w:r>
    </w:p>
    <w:p w14:paraId="5FA87F54"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14:paraId="5E2999B9"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14:paraId="7CFB30BC"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Výdavky projektu môžu mať charakter bežných výdavkov a kapitálových výdavkov.</w:t>
      </w:r>
    </w:p>
    <w:p w14:paraId="4B899707"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V prípade využitia zjednodušeného vykazovania výdavkov</w:t>
      </w:r>
      <w:r>
        <w:rPr>
          <w:rStyle w:val="Odkaznapoznmkupodiarou"/>
          <w:color w:val="000000"/>
          <w:lang w:eastAsia="en-US"/>
        </w:rPr>
        <w:footnoteReference w:id="135"/>
      </w:r>
      <w:r>
        <w:rPr>
          <w:color w:val="000000"/>
          <w:lang w:eastAsia="en-US"/>
        </w:rPr>
        <w:t xml:space="preserve"> sa výdavky projektu delia na</w:t>
      </w:r>
      <w:r w:rsidR="008520E6">
        <w:rPr>
          <w:color w:val="000000"/>
          <w:lang w:eastAsia="en-US"/>
        </w:rPr>
        <w:t> </w:t>
      </w:r>
      <w:r>
        <w:rPr>
          <w:color w:val="000000"/>
          <w:lang w:eastAsia="en-US"/>
        </w:rPr>
        <w:t xml:space="preserve">priame a nepriame výdavky; </w:t>
      </w:r>
      <w:r>
        <w:t>vecné vymedzenie nepriamych výdavkov upravuje metodický pokyn vydaný CKO</w:t>
      </w:r>
      <w:r>
        <w:rPr>
          <w:rStyle w:val="Odkaznapoznmkupodiarou"/>
        </w:rPr>
        <w:footnoteReference w:id="136"/>
      </w:r>
      <w:r>
        <w:rPr>
          <w:color w:val="000000"/>
          <w:lang w:eastAsia="en-US"/>
        </w:rPr>
        <w:t xml:space="preserve">. </w:t>
      </w:r>
    </w:p>
    <w:p w14:paraId="7873D5C2" w14:textId="7777777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Priame výdavky sú výdavky na uskutočnenie činností preukázateľne priamo súvisiacich s konkrétnou činnosťou</w:t>
      </w:r>
      <w:r>
        <w:rPr>
          <w:rStyle w:val="Odkaznapoznmkupodiarou"/>
          <w:color w:val="000000"/>
          <w:lang w:eastAsia="en-US"/>
        </w:rPr>
        <w:footnoteReference w:id="137"/>
      </w:r>
      <w:r>
        <w:rPr>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w:t>
      </w:r>
    </w:p>
    <w:p w14:paraId="0EDC7B1A" w14:textId="10732C37" w:rsidR="00B650E5" w:rsidRDefault="00B650E5">
      <w:pPr>
        <w:numPr>
          <w:ilvl w:val="0"/>
          <w:numId w:val="135"/>
        </w:numPr>
        <w:autoSpaceDE w:val="0"/>
        <w:autoSpaceDN w:val="0"/>
        <w:adjustRightInd w:val="0"/>
        <w:spacing w:before="120" w:after="120"/>
        <w:ind w:left="425" w:hanging="425"/>
        <w:jc w:val="both"/>
        <w:rPr>
          <w:color w:val="000000"/>
          <w:lang w:eastAsia="en-US"/>
        </w:rPr>
      </w:pPr>
      <w:r>
        <w:rPr>
          <w:color w:val="000000"/>
          <w:lang w:eastAsia="en-US"/>
        </w:rPr>
        <w:t>Nepriame výdavky majú charakter bežných výdavkov</w:t>
      </w:r>
      <w:r>
        <w:rPr>
          <w:rStyle w:val="Odkaznapoznmkupodiarou"/>
          <w:color w:val="000000"/>
          <w:lang w:eastAsia="en-US"/>
        </w:rPr>
        <w:footnoteReference w:id="138"/>
      </w:r>
      <w:r>
        <w:rPr>
          <w:color w:val="000000"/>
          <w:lang w:eastAsia="en-US"/>
        </w:rPr>
        <w:t xml:space="preserve"> (prevádzková réžia) a slúžia na financovanie podporných aktivít projektu. Nepriame výdavky (režijné výdavky)</w:t>
      </w:r>
      <w:r>
        <w:t xml:space="preserve"> sú také výdavky, ktoré nie sú alebo nemôžu byť prepojené priamo na konkrétnu činnosť projektu. Do takýchto výdavkov by sa zahrnuli aj výdavky, pri ktorých je ťažké presne určiť sumu, ktorú možno priradiť k danej konkrétnej činnosti. Nepriamymi výdavkami sú najmä výdavky na nájom, vodné </w:t>
      </w:r>
      <w:r>
        <w:lastRenderedPageBreak/>
        <w:t>a stočné, nákup pohonných hmôt a energie, na telefón, fax, internet, upratovanie, údržbu, nákup spotrebného materiálu, mzdové výdavky obslužných zamestnancov.</w:t>
      </w:r>
      <w:r>
        <w:rPr>
          <w:color w:val="000000"/>
          <w:lang w:eastAsia="en-US"/>
        </w:rPr>
        <w:t xml:space="preserve"> </w:t>
      </w:r>
    </w:p>
    <w:p w14:paraId="3B6B3F3B" w14:textId="77777777" w:rsidR="00B650E5" w:rsidRDefault="00B650E5" w:rsidP="0045286B">
      <w:pPr>
        <w:pStyle w:val="SRK4"/>
      </w:pPr>
      <w:bookmarkStart w:id="498" w:name="_Toc453234076"/>
      <w:bookmarkStart w:id="499" w:name="_Toc501630123"/>
      <w:bookmarkStart w:id="500" w:name="kapitola_3511"/>
      <w:r>
        <w:t>3.5.1.1 Vecná oprávnenosť výdavku</w:t>
      </w:r>
      <w:bookmarkEnd w:id="498"/>
      <w:bookmarkEnd w:id="499"/>
      <w:r>
        <w:t xml:space="preserve"> </w:t>
      </w:r>
    </w:p>
    <w:bookmarkEnd w:id="500"/>
    <w:p w14:paraId="1C658969"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Z vecného hľadiska musí výdavok spĺňať nasledujúce podmienky</w:t>
      </w:r>
      <w:r>
        <w:rPr>
          <w:color w:val="000000"/>
          <w:vertAlign w:val="superscript"/>
          <w:lang w:eastAsia="en-US"/>
        </w:rPr>
        <w:footnoteReference w:id="139"/>
      </w:r>
      <w:r>
        <w:rPr>
          <w:color w:val="000000"/>
          <w:lang w:eastAsia="en-US"/>
        </w:rPr>
        <w:t>:</w:t>
      </w:r>
    </w:p>
    <w:p w14:paraId="7E5545DA" w14:textId="77777777" w:rsidR="00B650E5" w:rsidRDefault="00B650E5">
      <w:pPr>
        <w:numPr>
          <w:ilvl w:val="0"/>
          <w:numId w:val="137"/>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14:paraId="2865ABB1" w14:textId="77777777" w:rsidR="00B650E5" w:rsidRDefault="00B650E5">
      <w:pPr>
        <w:numPr>
          <w:ilvl w:val="0"/>
          <w:numId w:val="137"/>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de minimis, príp. schémy štátnej pomoci, ktoré tvoria neoddeliteľnú súčasť výzvy, podmienok zmluvy o NFP, resp. rozhodnutia o schválení ŽoNFP (v prípadoch, ak RO a </w:t>
      </w:r>
      <w:r w:rsidR="00F13EE7">
        <w:rPr>
          <w:color w:val="000000"/>
        </w:rPr>
        <w:t xml:space="preserve">prijímateľom </w:t>
      </w:r>
      <w:r>
        <w:rPr>
          <w:color w:val="000000"/>
        </w:rPr>
        <w:t xml:space="preserve">je tá istá osoba); </w:t>
      </w:r>
    </w:p>
    <w:p w14:paraId="5F786391" w14:textId="77777777" w:rsidR="00B650E5" w:rsidRDefault="00B650E5">
      <w:pPr>
        <w:numPr>
          <w:ilvl w:val="0"/>
          <w:numId w:val="137"/>
        </w:numPr>
        <w:spacing w:before="120" w:after="120"/>
        <w:ind w:left="850" w:hanging="425"/>
        <w:jc w:val="both"/>
        <w:rPr>
          <w:color w:val="000000"/>
        </w:rPr>
      </w:pPr>
      <w:r>
        <w:rPr>
          <w:color w:val="000000"/>
        </w:rPr>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14:paraId="28908958" w14:textId="77777777" w:rsidR="00B650E5" w:rsidRDefault="00B650E5">
      <w:pPr>
        <w:numPr>
          <w:ilvl w:val="0"/>
          <w:numId w:val="137"/>
        </w:numPr>
        <w:spacing w:before="120" w:after="120"/>
        <w:ind w:left="850" w:hanging="425"/>
        <w:jc w:val="both"/>
        <w:rPr>
          <w:color w:val="000000"/>
        </w:rPr>
      </w:pPr>
      <w:r>
        <w:rPr>
          <w:color w:val="000000"/>
        </w:rPr>
        <w:t>výdavok je primeraný</w:t>
      </w:r>
      <w:r>
        <w:rPr>
          <w:rStyle w:val="Odkaznapoznmkupodiarou"/>
          <w:color w:val="000000"/>
        </w:rPr>
        <w:footnoteReference w:id="140"/>
      </w:r>
      <w:r>
        <w:rPr>
          <w:color w:val="000000"/>
        </w:rPr>
        <w:t xml:space="preserve">, </w:t>
      </w:r>
      <w:r w:rsidR="00C93F30">
        <w:rPr>
          <w:color w:val="000000"/>
        </w:rPr>
        <w:t xml:space="preserve">t. j. </w:t>
      </w:r>
      <w:r>
        <w:rPr>
          <w:color w:val="000000"/>
        </w:rPr>
        <w:t xml:space="preserve"> zodpovedá obvyklým cenám v danom mieste a čase a zodpovedá potrebám projektu; </w:t>
      </w:r>
    </w:p>
    <w:p w14:paraId="4BF1BC60" w14:textId="77777777" w:rsidR="00B650E5" w:rsidRDefault="00B650E5">
      <w:pPr>
        <w:numPr>
          <w:ilvl w:val="0"/>
          <w:numId w:val="137"/>
        </w:numPr>
        <w:spacing w:before="120" w:after="120"/>
        <w:ind w:left="850" w:hanging="425"/>
        <w:jc w:val="both"/>
        <w:rPr>
          <w:color w:val="000000"/>
        </w:rPr>
      </w:pPr>
      <w:r>
        <w:rPr>
          <w:color w:val="000000"/>
        </w:rPr>
        <w:t xml:space="preserve">výdavok spĺňa zásady hospodárnosti, efektívnosti,  účelnosti a účinnosti, vrátane </w:t>
      </w:r>
      <w:r>
        <w:t>zásady riadneho finančného hospodárenia podľa čl. 30 nariadenia 966/2012</w:t>
      </w:r>
      <w:r>
        <w:rPr>
          <w:color w:val="000000"/>
        </w:rPr>
        <w:t>;</w:t>
      </w:r>
    </w:p>
    <w:p w14:paraId="13D48CB0" w14:textId="77777777" w:rsidR="00B650E5" w:rsidRDefault="00B650E5">
      <w:pPr>
        <w:numPr>
          <w:ilvl w:val="0"/>
          <w:numId w:val="137"/>
        </w:numPr>
        <w:spacing w:before="120" w:after="120"/>
        <w:ind w:left="850" w:hanging="425"/>
        <w:jc w:val="both"/>
        <w:rPr>
          <w:color w:val="000000"/>
        </w:rPr>
      </w:pPr>
      <w:r>
        <w:rPr>
          <w:color w:val="000000"/>
        </w:rP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byť uhradené prijímateľom a ich uhradenie musí byť doložené najneskôr pred ich predložením na RO</w:t>
      </w:r>
      <w:r>
        <w:rPr>
          <w:rStyle w:val="Odkaznapoznmkupodiarou"/>
          <w:color w:val="000000"/>
        </w:rPr>
        <w:footnoteReference w:id="141"/>
      </w:r>
      <w:r>
        <w:rPr>
          <w:color w:val="000000"/>
        </w:rPr>
        <w:t xml:space="preserve">  (s výnimkou odpisov a vecných príspevkov).</w:t>
      </w:r>
    </w:p>
    <w:p w14:paraId="5C25FF4C" w14:textId="77777777" w:rsidR="00B650E5" w:rsidRDefault="00B650E5">
      <w:pPr>
        <w:numPr>
          <w:ilvl w:val="0"/>
          <w:numId w:val="137"/>
        </w:numPr>
        <w:spacing w:before="120" w:after="120"/>
        <w:ind w:left="850" w:hanging="425"/>
        <w:jc w:val="both"/>
        <w:rPr>
          <w:color w:val="000000"/>
        </w:rPr>
      </w:pPr>
      <w:r>
        <w:rPr>
          <w:rFonts w:cs="Arial"/>
        </w:rPr>
        <w:t xml:space="preserve">výdavky súvisiace s preddavkovou platbou spĺňajú podmienky uvedené v písm. a) - e) tohto odseku vrátane časovej a územnej oprávnenosti výdavku, ako aj podmienky uvedené </w:t>
      </w:r>
      <w:hyperlink w:anchor="kapitola_3510" w:history="1">
        <w:r w:rsidRPr="00FB3000">
          <w:rPr>
            <w:rStyle w:val="Hypertextovprepojenie"/>
            <w:rFonts w:cs="Arial"/>
          </w:rPr>
          <w:t>v kapitole 3.5.10</w:t>
        </w:r>
      </w:hyperlink>
      <w:r>
        <w:rPr>
          <w:rFonts w:cs="Arial"/>
        </w:rPr>
        <w:t>.</w:t>
      </w:r>
    </w:p>
    <w:p w14:paraId="38BFEBC3" w14:textId="77777777" w:rsidR="00CE759D" w:rsidRDefault="00CE759D">
      <w:pPr>
        <w:numPr>
          <w:ilvl w:val="0"/>
          <w:numId w:val="136"/>
        </w:numPr>
        <w:autoSpaceDE w:val="0"/>
        <w:autoSpaceDN w:val="0"/>
        <w:adjustRightInd w:val="0"/>
        <w:spacing w:before="120" w:after="120"/>
        <w:ind w:left="425" w:hanging="425"/>
        <w:jc w:val="both"/>
        <w:rPr>
          <w:color w:val="000000"/>
          <w:lang w:eastAsia="en-US"/>
        </w:rPr>
      </w:pPr>
      <w:r w:rsidRPr="00AE29CF">
        <w:rPr>
          <w:color w:val="000000"/>
          <w:lang w:eastAsia="en-US"/>
        </w:rPr>
        <w:t>Za oprávnené výdavky je možné považovať aj vecné príspevky vo forme poskytnutia prác, tovarov, služieb, pozemkov a nehnuteľností, v prípade ktorých neboli vykonané platby v</w:t>
      </w:r>
      <w:r w:rsidR="008D28B0">
        <w:rPr>
          <w:color w:val="000000"/>
          <w:lang w:eastAsia="en-US"/>
        </w:rPr>
        <w:t> </w:t>
      </w:r>
      <w:r w:rsidRPr="00AE29CF">
        <w:rPr>
          <w:color w:val="000000"/>
          <w:lang w:eastAsia="en-US"/>
        </w:rPr>
        <w:t>hotovosti podložené faktúrami alebo dokladmi rovnocennej dôkaznej hodnoty podľa pravidiel oprávnenosti EŠIF</w:t>
      </w:r>
      <w:r>
        <w:rPr>
          <w:rStyle w:val="Odkaznapoznmkupodiarou"/>
          <w:color w:val="000000"/>
          <w:lang w:eastAsia="en-US"/>
        </w:rPr>
        <w:footnoteReference w:id="142"/>
      </w:r>
      <w:r w:rsidRPr="00AE29CF">
        <w:rPr>
          <w:color w:val="000000"/>
          <w:lang w:eastAsia="en-US"/>
        </w:rPr>
        <w:t>.</w:t>
      </w:r>
    </w:p>
    <w:p w14:paraId="35C479EC" w14:textId="77777777" w:rsidR="00B650E5" w:rsidRDefault="00B650E5">
      <w:pPr>
        <w:numPr>
          <w:ilvl w:val="0"/>
          <w:numId w:val="136"/>
        </w:numPr>
        <w:autoSpaceDE w:val="0"/>
        <w:autoSpaceDN w:val="0"/>
        <w:adjustRightInd w:val="0"/>
        <w:spacing w:before="120" w:after="120"/>
        <w:ind w:left="425" w:hanging="425"/>
        <w:jc w:val="both"/>
        <w:rPr>
          <w:color w:val="000000"/>
          <w:lang w:eastAsia="en-US"/>
        </w:rPr>
      </w:pPr>
      <w:r>
        <w:rPr>
          <w:color w:val="000000"/>
          <w:lang w:eastAsia="en-US"/>
        </w:rPr>
        <w:t>V zmysle čl. 65 ods. 11 všeobecného nariadenia na jeden projekt možno udeliť príspevok z</w:t>
      </w:r>
      <w:r w:rsidR="00FB3000">
        <w:rPr>
          <w:color w:val="000000"/>
          <w:lang w:eastAsia="en-US"/>
        </w:rPr>
        <w:t> </w:t>
      </w:r>
      <w:r>
        <w:rPr>
          <w:color w:val="000000"/>
          <w:lang w:eastAsia="en-US"/>
        </w:rPr>
        <w:t xml:space="preserve">jedného alebo viacerých EŠIF alebo z jedného alebo viacerých OP a z iných nástrojov EÚ </w:t>
      </w:r>
      <w:r>
        <w:rPr>
          <w:color w:val="000000"/>
          <w:lang w:eastAsia="en-US"/>
        </w:rPr>
        <w:lastRenderedPageBreak/>
        <w:t>v</w:t>
      </w:r>
      <w:r w:rsidR="00FB3000">
        <w:rPr>
          <w:color w:val="000000"/>
          <w:lang w:eastAsia="en-US"/>
        </w:rPr>
        <w:t> </w:t>
      </w:r>
      <w:r>
        <w:rPr>
          <w:color w:val="000000"/>
          <w:lang w:eastAsia="en-US"/>
        </w:rPr>
        <w:t>prípade, že sa na výdavkovú položku zahrnutú do ŽoP jedným z EŠIF neposkytla podpora z</w:t>
      </w:r>
      <w:r w:rsidR="00FB3000">
        <w:rPr>
          <w:color w:val="000000"/>
          <w:lang w:eastAsia="en-US"/>
        </w:rPr>
        <w:t> </w:t>
      </w:r>
      <w:r>
        <w:rPr>
          <w:color w:val="000000"/>
          <w:lang w:eastAsia="en-US"/>
        </w:rPr>
        <w:t>iného fondu alebo nástroja EÚ, ani podpora z rovnakého fondu v rámci iného OP.</w:t>
      </w:r>
    </w:p>
    <w:p w14:paraId="4D8623A8" w14:textId="77777777" w:rsidR="00B650E5" w:rsidRDefault="00B650E5" w:rsidP="0045286B">
      <w:pPr>
        <w:pStyle w:val="SRK4"/>
      </w:pPr>
      <w:bookmarkStart w:id="501" w:name="_Toc453234077"/>
      <w:bookmarkStart w:id="502" w:name="_Toc501630124"/>
      <w:r>
        <w:t>3.5.1.2 Časová oprávnenosť výdavku</w:t>
      </w:r>
      <w:bookmarkEnd w:id="501"/>
      <w:bookmarkEnd w:id="502"/>
      <w:r>
        <w:t xml:space="preserve"> </w:t>
      </w:r>
    </w:p>
    <w:p w14:paraId="2E12C477"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14:paraId="2107DA4E" w14:textId="77777777" w:rsidR="00B650E5" w:rsidRDefault="00B650E5" w:rsidP="001B709E">
      <w:pPr>
        <w:numPr>
          <w:ilvl w:val="0"/>
          <w:numId w:val="138"/>
        </w:numPr>
        <w:autoSpaceDE w:val="0"/>
        <w:autoSpaceDN w:val="0"/>
        <w:adjustRightInd w:val="0"/>
        <w:spacing w:before="120" w:after="120"/>
        <w:ind w:left="426" w:hanging="426"/>
        <w:jc w:val="both"/>
        <w:rPr>
          <w:color w:val="000000"/>
          <w:lang w:eastAsia="en-US"/>
        </w:rPr>
      </w:pPr>
      <w:r>
        <w:rPr>
          <w:color w:val="000000"/>
          <w:lang w:eastAsia="en-US"/>
        </w:rPr>
        <w:t xml:space="preserve">Podpora z EŠIF sa neudelí na projekty, ktoré boli fyzicky ukončené alebo </w:t>
      </w:r>
      <w:r w:rsidR="004C5010">
        <w:rPr>
          <w:color w:val="000000"/>
          <w:lang w:eastAsia="en-US"/>
        </w:rPr>
        <w:t xml:space="preserve">sa </w:t>
      </w:r>
      <w:r>
        <w:rPr>
          <w:color w:val="000000"/>
          <w:lang w:eastAsia="en-US"/>
        </w:rPr>
        <w:t>plne realizovali ešte pred predložením ŽoNFP prijímateľom v rámci OP bez ohľadu na to, či prijímateľ uhradil všetky súvisiace platby. RO môžu určiť užšie kritériá pre počiatočný a konečný dátum časovej oprávnenosti (tzn. dátum začiatku a konca oprávnenosti výdavkov môže byť stanovený v rozmedzí vyššie uvedeného časového obdobia stanoveného platnou legislatívou EÚ). V prípade, ak RO umožní realizáciu projektu pred predložením ŽoNFP, predbežne posúdi v rámci konania o ŽoNFP, na základe popisu vzniknutých výdavkov v ŽoNFP, ich oprávnenosť.</w:t>
      </w:r>
      <w:r w:rsidR="00F87211">
        <w:rPr>
          <w:color w:val="000000"/>
          <w:lang w:eastAsia="en-US"/>
        </w:rPr>
        <w:t xml:space="preserve"> </w:t>
      </w:r>
      <w:r w:rsidR="00F87211" w:rsidRPr="00F87211">
        <w:rPr>
          <w:color w:val="000000"/>
          <w:lang w:eastAsia="en-US"/>
        </w:rPr>
        <w:t>Uvedené sa netýka poskytovania podpory z EŠIF v súlade s pravidlami štátnej pomoci alebo minimálnej pomoci. V tomto prípade sa postupuje v súlade s legislatívou EÚ v</w:t>
      </w:r>
      <w:r w:rsidR="00F87211">
        <w:rPr>
          <w:color w:val="000000"/>
          <w:lang w:eastAsia="en-US"/>
        </w:rPr>
        <w:t> </w:t>
      </w:r>
      <w:r w:rsidR="00F87211" w:rsidRPr="00F87211">
        <w:rPr>
          <w:color w:val="000000"/>
          <w:lang w:eastAsia="en-US"/>
        </w:rPr>
        <w:t>oblasti štátnej pomoci a minimálnej pomoci.</w:t>
      </w:r>
    </w:p>
    <w:p w14:paraId="454EAA58"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V prípade preplatenia výdavkov na základe čl. 67 ods. 1 písm. b) a c) všeobecného nariadenia sa opatrenia predstavujúce základ pre úhradu výdavkov vykonajú medzi 1. januárom 2014 a 31. decembrom 2023.</w:t>
      </w:r>
      <w:r>
        <w:t xml:space="preserve"> </w:t>
      </w:r>
    </w:p>
    <w:p w14:paraId="75E9BACC" w14:textId="77777777" w:rsidR="00B650E5" w:rsidRDefault="00B650E5">
      <w:pPr>
        <w:numPr>
          <w:ilvl w:val="0"/>
          <w:numId w:val="138"/>
        </w:numPr>
        <w:autoSpaceDE w:val="0"/>
        <w:autoSpaceDN w:val="0"/>
        <w:adjustRightInd w:val="0"/>
        <w:spacing w:before="120" w:after="120"/>
        <w:ind w:left="425" w:hanging="425"/>
        <w:jc w:val="both"/>
        <w:rPr>
          <w:color w:val="000000"/>
          <w:lang w:eastAsia="en-US"/>
        </w:rPr>
      </w:pPr>
      <w:r>
        <w:rPr>
          <w:color w:val="000000"/>
          <w:lang w:eastAsia="en-US"/>
        </w:rPr>
        <w:t xml:space="preserve">V súlade s čl. 65 ods. 9 všeobecného nariadenia v prípade zmeny a doplnenia OP sú výdavky, ktoré sa stanú oprávnenými z dôvodu zmeny a doplnenia OP, oprávnené len odo dňa predloženia žiadosti o zmenu a doplnenie EK. </w:t>
      </w:r>
    </w:p>
    <w:p w14:paraId="22B0133B" w14:textId="77777777" w:rsidR="00B650E5" w:rsidRDefault="00B650E5" w:rsidP="0045286B">
      <w:pPr>
        <w:pStyle w:val="SRK4"/>
      </w:pPr>
      <w:bookmarkStart w:id="503" w:name="_Toc453234078"/>
      <w:bookmarkStart w:id="504" w:name="_Toc501630125"/>
      <w:r>
        <w:t>3.5.1.3 Územná oprávnenosť výdavku</w:t>
      </w:r>
      <w:bookmarkEnd w:id="503"/>
      <w:bookmarkEnd w:id="504"/>
      <w:r>
        <w:t xml:space="preserve"> </w:t>
      </w:r>
    </w:p>
    <w:p w14:paraId="57DE804B"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Z hľadiska územnej oprávnenosti platí, že oprávnený výdavok je realizovaný na oprávnenom území, </w:t>
      </w:r>
      <w:r w:rsidR="00C93F30">
        <w:rPr>
          <w:color w:val="000000"/>
          <w:lang w:eastAsia="en-US"/>
        </w:rPr>
        <w:t xml:space="preserve">t. j. </w:t>
      </w:r>
      <w:r>
        <w:rPr>
          <w:color w:val="000000"/>
          <w:lang w:eastAsia="en-US"/>
        </w:rPr>
        <w:t xml:space="preserve">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 ohľadom na povahu a cieľ projektu. Všeobecne platí, že výdavok má mať väzbu na podporovaný región/územie, ktorý musí mať z realizácie projektu preukázateľný úplný alebo prevažujúci prospech. </w:t>
      </w:r>
    </w:p>
    <w:p w14:paraId="0DECB07D"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zmysle čl. 70 všeobecného nariadenia však RO môže schváliť realizáciu projektu mimo oblasti OP, ale v rámci EÚ, ak sú splnené všetky tieto podmienky:</w:t>
      </w:r>
    </w:p>
    <w:p w14:paraId="4C3B6CD2" w14:textId="77777777" w:rsidR="00B650E5" w:rsidRDefault="00B650E5">
      <w:pPr>
        <w:numPr>
          <w:ilvl w:val="0"/>
          <w:numId w:val="140"/>
        </w:numPr>
        <w:spacing w:before="120" w:after="120"/>
        <w:ind w:left="850" w:hanging="425"/>
        <w:jc w:val="both"/>
        <w:rPr>
          <w:color w:val="000000"/>
        </w:rPr>
      </w:pPr>
      <w:r>
        <w:rPr>
          <w:color w:val="000000"/>
        </w:rPr>
        <w:t>projekt je v prospech oblasti OP,</w:t>
      </w:r>
    </w:p>
    <w:p w14:paraId="1ECAA416" w14:textId="77777777" w:rsidR="00B650E5" w:rsidRDefault="00B650E5">
      <w:pPr>
        <w:numPr>
          <w:ilvl w:val="0"/>
          <w:numId w:val="140"/>
        </w:numPr>
        <w:spacing w:before="120" w:after="120"/>
        <w:ind w:left="850" w:hanging="425"/>
        <w:jc w:val="both"/>
        <w:rPr>
          <w:color w:val="000000"/>
        </w:rPr>
      </w:pPr>
      <w:r>
        <w:rPr>
          <w:color w:val="000000"/>
        </w:rPr>
        <w:t>MV schválil projekt alebo príslušné druhy projektov,</w:t>
      </w:r>
    </w:p>
    <w:p w14:paraId="5F0593C4" w14:textId="77777777" w:rsidR="00B650E5" w:rsidRDefault="00B650E5">
      <w:pPr>
        <w:numPr>
          <w:ilvl w:val="0"/>
          <w:numId w:val="140"/>
        </w:numPr>
        <w:spacing w:before="120" w:after="120"/>
        <w:ind w:left="850" w:hanging="425"/>
        <w:jc w:val="both"/>
        <w:rPr>
          <w:color w:val="000000"/>
        </w:rPr>
      </w:pPr>
      <w:r>
        <w:rPr>
          <w:color w:val="000000"/>
        </w:rPr>
        <w:t xml:space="preserve">celková suma pridelená v rámci OP na projekty umiestnené mimo oblasti OP nepresahuje </w:t>
      </w:r>
      <w:r w:rsidR="00C93F30">
        <w:rPr>
          <w:color w:val="000000"/>
        </w:rPr>
        <w:t xml:space="preserve">         </w:t>
      </w:r>
      <w:r>
        <w:rPr>
          <w:color w:val="000000"/>
        </w:rPr>
        <w:t>15</w:t>
      </w:r>
      <w:r w:rsidR="00C93F30">
        <w:rPr>
          <w:color w:val="000000"/>
        </w:rPr>
        <w:t xml:space="preserve"> </w:t>
      </w:r>
      <w:r>
        <w:rPr>
          <w:color w:val="000000"/>
        </w:rPr>
        <w:t>% podpory poskytnutej z EFRR, KF a ENRF na úrovni priority,</w:t>
      </w:r>
    </w:p>
    <w:p w14:paraId="7402B3BF" w14:textId="77777777" w:rsidR="00B650E5" w:rsidRDefault="00B650E5">
      <w:pPr>
        <w:numPr>
          <w:ilvl w:val="0"/>
          <w:numId w:val="140"/>
        </w:numPr>
        <w:spacing w:before="120" w:after="120"/>
        <w:ind w:left="850" w:hanging="425"/>
        <w:jc w:val="both"/>
        <w:rPr>
          <w:color w:val="000000"/>
        </w:rPr>
      </w:pPr>
      <w:r>
        <w:rPr>
          <w:color w:val="000000"/>
        </w:rPr>
        <w:t>povinnosti orgánov zodpovedných za OP súvisiace s riadením, kontrolou a auditom týkajúce sa projektu plnia orgány zodpovedné za OP, v rámci ktorého je na daný projekt poskytnutá podpora, alebo uzatvoria dohody s orgánmi v oblasti, v ktorej sa projekt realizuje.</w:t>
      </w:r>
    </w:p>
    <w:p w14:paraId="26B695A8"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 xml:space="preserve">V prípade projektov týkajúcich sa technickej pomoci a propagačných aktivít môžu výdavky vzniknúť mimo EÚ za predpokladu, že projekt je v prospech oblasti daného OP a povinnosti orgánov zodpovedných za OP súvisiace s riadením, kontrolou a auditom týkajúce sa projektu sú dodržané orgánmi zodpovednými za OP, v rámci ktorého je na daný projekt poskytnutá podpora, alebo uzatvoria dohody s orgánmi v oblasti, v ktorej sa projekt vykonáva. </w:t>
      </w:r>
    </w:p>
    <w:p w14:paraId="45981DD4"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lastRenderedPageBreak/>
        <w:t>Vyššie uvedené výnimky sa nevzťahujú na programy EÚS a na projekty, na ktoré je vyčlenená podpora z ESF. Pre tieto programy/projekty platia osobitné podmienky uvedené v nariadení o ESF (čl. 13, odsek 2, písm. b) a EÚS (čl. 20, odsek 2 a 3).</w:t>
      </w:r>
    </w:p>
    <w:p w14:paraId="77BD3903"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Podľa čl. 13 nariadenia o ESF, tento fond môže podporiť výdavky vynaložené na projekty, ktoré sa vykonávajú mimo oprávnenej oblasti OP, no v rámci EÚ za predpokladu, že sú splnené tieto dve podmienky:</w:t>
      </w:r>
    </w:p>
    <w:p w14:paraId="3141109E" w14:textId="77777777" w:rsidR="00B650E5" w:rsidRDefault="00B650E5">
      <w:pPr>
        <w:numPr>
          <w:ilvl w:val="0"/>
          <w:numId w:val="141"/>
        </w:numPr>
        <w:spacing w:before="120" w:after="120"/>
        <w:ind w:left="850" w:hanging="425"/>
        <w:jc w:val="both"/>
        <w:rPr>
          <w:color w:val="000000"/>
        </w:rPr>
      </w:pPr>
      <w:r>
        <w:rPr>
          <w:color w:val="000000"/>
        </w:rPr>
        <w:t>príslušný projekt je prínosom pre programovú oblasť;</w:t>
      </w:r>
    </w:p>
    <w:p w14:paraId="28273FDD" w14:textId="77777777" w:rsidR="00B650E5" w:rsidRDefault="00B650E5">
      <w:pPr>
        <w:numPr>
          <w:ilvl w:val="0"/>
          <w:numId w:val="141"/>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14:paraId="04C9B930"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color w:val="000000"/>
          <w:lang w:eastAsia="en-US"/>
        </w:rPr>
        <w:t xml:space="preserve"> pozdĺž všetkých vnútorných a vonkajších pozemných hraníc okrem regiónov, na ktoré sa vzťahujú OP v rámci vonkajších finančných nástrojov EÚ.</w:t>
      </w:r>
    </w:p>
    <w:p w14:paraId="49D206E2"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14:paraId="195ED888" w14:textId="77777777" w:rsidR="00B650E5" w:rsidRDefault="00B650E5">
      <w:pPr>
        <w:numPr>
          <w:ilvl w:val="0"/>
          <w:numId w:val="142"/>
        </w:numPr>
        <w:spacing w:before="120" w:after="120"/>
        <w:ind w:left="850" w:hanging="425"/>
        <w:jc w:val="both"/>
        <w:rPr>
          <w:color w:val="000000"/>
        </w:rPr>
      </w:pPr>
      <w:r>
        <w:rPr>
          <w:color w:val="000000"/>
        </w:rPr>
        <w:t>projekt je na prospech celej programovej oblasti;</w:t>
      </w:r>
    </w:p>
    <w:p w14:paraId="66A5975F" w14:textId="77777777" w:rsidR="00B650E5" w:rsidRDefault="00B650E5">
      <w:pPr>
        <w:numPr>
          <w:ilvl w:val="0"/>
          <w:numId w:val="142"/>
        </w:numPr>
        <w:spacing w:before="120" w:after="120"/>
        <w:ind w:left="850" w:hanging="425"/>
        <w:jc w:val="both"/>
        <w:rPr>
          <w:color w:val="000000"/>
        </w:rPr>
      </w:pPr>
      <w:r>
        <w:rPr>
          <w:color w:val="000000"/>
        </w:rPr>
        <w:t>celková suma pridelená v rámci programu spolupráce na projekty vykonávané mimo časti programovej oblasti na území EÚ nepresiahne 20</w:t>
      </w:r>
      <w:r w:rsidR="00C93F30">
        <w:rPr>
          <w:color w:val="000000"/>
        </w:rPr>
        <w:t xml:space="preserve"> </w:t>
      </w:r>
      <w:r>
        <w:rPr>
          <w:color w:val="000000"/>
        </w:rPr>
        <w:t>% pomoci z EFRR na úrovni programu alebo 30</w:t>
      </w:r>
      <w:r w:rsidR="00C93F30">
        <w:rPr>
          <w:color w:val="000000"/>
        </w:rPr>
        <w:t xml:space="preserve"> </w:t>
      </w:r>
      <w:r>
        <w:rPr>
          <w:color w:val="000000"/>
        </w:rPr>
        <w:t>% v prípade programov spolupráce, kde časť programu na území EÚ tvoria najodľahlejšie regióny;</w:t>
      </w:r>
    </w:p>
    <w:p w14:paraId="79ACF9AA" w14:textId="77777777" w:rsidR="00B650E5" w:rsidRDefault="00B650E5">
      <w:pPr>
        <w:numPr>
          <w:ilvl w:val="0"/>
          <w:numId w:val="142"/>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 tretej krajine alebo na území, kde sa vykonáva projekt.</w:t>
      </w:r>
    </w:p>
    <w:p w14:paraId="7BF2ED02" w14:textId="77777777" w:rsidR="00B650E5" w:rsidRDefault="00B650E5">
      <w:pPr>
        <w:numPr>
          <w:ilvl w:val="0"/>
          <w:numId w:val="139"/>
        </w:numPr>
        <w:autoSpaceDE w:val="0"/>
        <w:autoSpaceDN w:val="0"/>
        <w:adjustRightInd w:val="0"/>
        <w:spacing w:before="120" w:after="120"/>
        <w:ind w:left="425" w:hanging="425"/>
        <w:jc w:val="both"/>
        <w:rPr>
          <w:color w:val="000000"/>
          <w:lang w:eastAsia="en-US"/>
        </w:rPr>
      </w:pPr>
      <w:r>
        <w:rPr>
          <w:color w:val="000000"/>
          <w:lang w:eastAsia="en-US"/>
        </w:rPr>
        <w:t>Pokiaľ ide o projekty týkajúce sa činností v oblasti technickej pomoci alebo propagácie a budovania kapacít, výdavky môžu vzniknúť mimo časti programovej oblasti na území EÚ za predpokladu, že projekt je na prospech celej programovej oblasti a povinnosti RO a OA vo vzťahu k riadeniu, kontrole a auditu projektu vykonávajú orgány pre program spolupráce, alebo tieto orgány uzavrú dohody s orgánmi v členskom štáte alebo v tretej krajine alebo na území, kde sa vykonáva projekt.</w:t>
      </w:r>
    </w:p>
    <w:p w14:paraId="317B687A" w14:textId="77777777" w:rsidR="00B650E5" w:rsidRDefault="00B650E5">
      <w:pPr>
        <w:pStyle w:val="SRK3"/>
      </w:pPr>
      <w:bookmarkStart w:id="505" w:name="_Toc453234079"/>
      <w:bookmarkStart w:id="506" w:name="_Toc501630126"/>
      <w:r>
        <w:t>3.5.2 Neoprávnené výdavky</w:t>
      </w:r>
      <w:bookmarkEnd w:id="505"/>
      <w:bookmarkEnd w:id="506"/>
      <w:r>
        <w:t xml:space="preserve"> </w:t>
      </w:r>
    </w:p>
    <w:p w14:paraId="6663E8CF"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69 všeobecného nariadenia, na príspevok z EŠIF nie sú oprávnené tieto výdavky:</w:t>
      </w:r>
    </w:p>
    <w:p w14:paraId="21E73AE5" w14:textId="77777777" w:rsidR="00B650E5" w:rsidRDefault="00B650E5">
      <w:pPr>
        <w:numPr>
          <w:ilvl w:val="0"/>
          <w:numId w:val="144"/>
        </w:numPr>
        <w:spacing w:before="120" w:after="120"/>
        <w:ind w:left="851" w:hanging="425"/>
        <w:jc w:val="both"/>
        <w:rPr>
          <w:color w:val="000000"/>
        </w:rPr>
      </w:pPr>
      <w:r>
        <w:rPr>
          <w:color w:val="000000"/>
        </w:rPr>
        <w:t>úroky z dlžných súm okrem grantov poskytnutých vo forme úrokových dotácií alebo dotácií záručných poplatkov;</w:t>
      </w:r>
    </w:p>
    <w:p w14:paraId="3ECB3A09" w14:textId="77777777" w:rsidR="00B650E5" w:rsidRDefault="00B650E5">
      <w:pPr>
        <w:numPr>
          <w:ilvl w:val="0"/>
          <w:numId w:val="144"/>
        </w:numPr>
        <w:spacing w:before="120" w:after="120"/>
        <w:ind w:left="850" w:hanging="425"/>
        <w:jc w:val="both"/>
        <w:rPr>
          <w:color w:val="000000"/>
        </w:rPr>
      </w:pPr>
      <w:r>
        <w:rPr>
          <w:color w:val="000000"/>
        </w:rPr>
        <w:t>kúpa nezastavaného a zastavaného pozemku vo výške presahujúcej 10</w:t>
      </w:r>
      <w:r w:rsidR="00C93F30">
        <w:rPr>
          <w:color w:val="000000"/>
        </w:rPr>
        <w:t xml:space="preserve"> </w:t>
      </w:r>
      <w:r>
        <w:rPr>
          <w:color w:val="000000"/>
        </w:rPr>
        <w:t xml:space="preserve">%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w:t>
      </w:r>
      <w:r>
        <w:rPr>
          <w:color w:val="000000"/>
        </w:rPr>
        <w:lastRenderedPageBreak/>
        <w:t>projekty týkajúce sa ochrany životného prostredia povoliť vyššiu uvedenú percentuálnu sadzbu;</w:t>
      </w:r>
    </w:p>
    <w:p w14:paraId="157E32C1" w14:textId="77777777" w:rsidR="00B650E5" w:rsidRDefault="00B650E5">
      <w:pPr>
        <w:numPr>
          <w:ilvl w:val="0"/>
          <w:numId w:val="144"/>
        </w:numPr>
        <w:spacing w:before="120" w:after="120"/>
        <w:ind w:left="850" w:hanging="425"/>
        <w:jc w:val="both"/>
        <w:rPr>
          <w:color w:val="000000"/>
        </w:rPr>
      </w:pPr>
      <w:r>
        <w:rPr>
          <w:color w:val="000000"/>
        </w:rPr>
        <w:t xml:space="preserve">DPH okrem prípadov, kedy nie je možné nárokovať jej odpočet podľa platnej legislatívy členského štátu. </w:t>
      </w:r>
    </w:p>
    <w:p w14:paraId="256DD488"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3 nariadenia o EFRR sa nepodporuje</w:t>
      </w:r>
    </w:p>
    <w:p w14:paraId="017F24A6" w14:textId="77777777" w:rsidR="00B650E5" w:rsidRDefault="00B650E5">
      <w:pPr>
        <w:numPr>
          <w:ilvl w:val="0"/>
          <w:numId w:val="145"/>
        </w:numPr>
        <w:spacing w:before="120" w:after="120"/>
        <w:ind w:left="850" w:hanging="425"/>
        <w:jc w:val="both"/>
        <w:rPr>
          <w:color w:val="000000"/>
        </w:rPr>
      </w:pPr>
      <w:r>
        <w:rPr>
          <w:color w:val="000000"/>
        </w:rPr>
        <w:t>odstavenie alebo výstavba jadrových elektrární;</w:t>
      </w:r>
    </w:p>
    <w:p w14:paraId="05ADB379" w14:textId="77777777" w:rsidR="00B650E5" w:rsidRDefault="00B650E5">
      <w:pPr>
        <w:numPr>
          <w:ilvl w:val="0"/>
          <w:numId w:val="145"/>
        </w:numPr>
        <w:spacing w:before="120" w:after="120"/>
        <w:ind w:left="850" w:hanging="425"/>
        <w:jc w:val="both"/>
        <w:rPr>
          <w:color w:val="000000"/>
        </w:rPr>
      </w:pPr>
      <w:r>
        <w:rPr>
          <w:color w:val="000000"/>
        </w:rPr>
        <w:t>investície, ktorých cieľom je zníženie emisií skleníkových plynov z činností uvedených v prílohe 1 k smernici 2003/87/ES ;</w:t>
      </w:r>
    </w:p>
    <w:p w14:paraId="73CAE127" w14:textId="77777777" w:rsidR="00B650E5" w:rsidRDefault="00B650E5">
      <w:pPr>
        <w:numPr>
          <w:ilvl w:val="0"/>
          <w:numId w:val="145"/>
        </w:numPr>
        <w:spacing w:before="120" w:after="120"/>
        <w:ind w:left="850" w:hanging="425"/>
        <w:jc w:val="both"/>
        <w:rPr>
          <w:color w:val="000000"/>
        </w:rPr>
      </w:pPr>
      <w:r>
        <w:rPr>
          <w:color w:val="000000"/>
        </w:rPr>
        <w:t>výroba, spracovanie a uvádzanie tabaku a tabakových výrobkov na trh;</w:t>
      </w:r>
    </w:p>
    <w:p w14:paraId="492C8358" w14:textId="77777777" w:rsidR="00B650E5" w:rsidRDefault="00B650E5">
      <w:pPr>
        <w:numPr>
          <w:ilvl w:val="0"/>
          <w:numId w:val="145"/>
        </w:numPr>
        <w:spacing w:before="120" w:after="120"/>
        <w:ind w:left="850" w:hanging="425"/>
        <w:jc w:val="both"/>
        <w:rPr>
          <w:color w:val="000000"/>
        </w:rPr>
      </w:pPr>
      <w:r>
        <w:rPr>
          <w:color w:val="000000"/>
        </w:rPr>
        <w:t>podniky v ťažkostiach vymedzené v právnych predpisoch EÚ o štátnej pomoci;</w:t>
      </w:r>
    </w:p>
    <w:p w14:paraId="4BB7B064" w14:textId="77777777" w:rsidR="00B650E5" w:rsidRDefault="00B650E5">
      <w:pPr>
        <w:numPr>
          <w:ilvl w:val="0"/>
          <w:numId w:val="145"/>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14:paraId="60F6DBF8"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13 nariadenia o ESF, medzi neoprávnené výdavky patrí nákup</w:t>
      </w:r>
    </w:p>
    <w:p w14:paraId="7961ABA8" w14:textId="77777777" w:rsidR="00B650E5" w:rsidRDefault="00B650E5">
      <w:pPr>
        <w:numPr>
          <w:ilvl w:val="0"/>
          <w:numId w:val="146"/>
        </w:numPr>
        <w:spacing w:before="120" w:after="120"/>
        <w:ind w:left="850" w:hanging="425"/>
        <w:jc w:val="both"/>
        <w:rPr>
          <w:color w:val="000000"/>
        </w:rPr>
      </w:pPr>
      <w:r>
        <w:rPr>
          <w:color w:val="000000"/>
        </w:rPr>
        <w:t xml:space="preserve">infraštruktúry; </w:t>
      </w:r>
    </w:p>
    <w:p w14:paraId="330341D2" w14:textId="77777777" w:rsidR="00B650E5" w:rsidRDefault="00B650E5">
      <w:pPr>
        <w:numPr>
          <w:ilvl w:val="0"/>
          <w:numId w:val="146"/>
        </w:numPr>
        <w:spacing w:before="120" w:after="120"/>
        <w:ind w:left="850" w:hanging="425"/>
        <w:jc w:val="both"/>
        <w:rPr>
          <w:color w:val="000000"/>
        </w:rPr>
      </w:pPr>
      <w:r>
        <w:rPr>
          <w:color w:val="000000"/>
        </w:rPr>
        <w:t>pozemku;</w:t>
      </w:r>
    </w:p>
    <w:p w14:paraId="1F00DD73" w14:textId="77777777" w:rsidR="00B650E5" w:rsidRDefault="00B650E5">
      <w:pPr>
        <w:numPr>
          <w:ilvl w:val="0"/>
          <w:numId w:val="146"/>
        </w:numPr>
        <w:spacing w:before="120" w:after="120"/>
        <w:ind w:left="850" w:hanging="425"/>
        <w:jc w:val="both"/>
        <w:rPr>
          <w:color w:val="000000"/>
        </w:rPr>
      </w:pPr>
      <w:r>
        <w:rPr>
          <w:color w:val="000000"/>
        </w:rPr>
        <w:t>nehnuteľnosti.</w:t>
      </w:r>
    </w:p>
    <w:p w14:paraId="7F3C352D"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11 nariadenia o ENRF sú neoprávnenými projektmi</w:t>
      </w:r>
    </w:p>
    <w:p w14:paraId="43D10C96" w14:textId="77777777" w:rsidR="00B650E5" w:rsidRDefault="00B650E5">
      <w:pPr>
        <w:numPr>
          <w:ilvl w:val="0"/>
          <w:numId w:val="147"/>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14:paraId="45DCBF77" w14:textId="77777777" w:rsidR="00B650E5" w:rsidRDefault="00B650E5">
      <w:pPr>
        <w:numPr>
          <w:ilvl w:val="0"/>
          <w:numId w:val="147"/>
        </w:numPr>
        <w:spacing w:before="120" w:after="120"/>
        <w:ind w:left="850" w:hanging="425"/>
        <w:jc w:val="both"/>
        <w:rPr>
          <w:color w:val="000000"/>
        </w:rPr>
      </w:pPr>
      <w:r>
        <w:rPr>
          <w:color w:val="000000"/>
        </w:rPr>
        <w:t>stavba nových rybárskych plavidiel alebo dovoz rybárskych plavidiel;</w:t>
      </w:r>
    </w:p>
    <w:p w14:paraId="40AA246D" w14:textId="31738F7F" w:rsidR="00B650E5" w:rsidRDefault="00B650E5">
      <w:pPr>
        <w:numPr>
          <w:ilvl w:val="0"/>
          <w:numId w:val="147"/>
        </w:numPr>
        <w:spacing w:before="120" w:after="120"/>
        <w:ind w:left="850" w:hanging="425"/>
        <w:jc w:val="both"/>
        <w:rPr>
          <w:color w:val="000000"/>
        </w:rPr>
      </w:pPr>
      <w:r>
        <w:rPr>
          <w:color w:val="000000"/>
        </w:rPr>
        <w:t>dočasné alebo trvalé zastavenie rybolovných</w:t>
      </w:r>
      <w:r w:rsidR="00A949CE">
        <w:rPr>
          <w:color w:val="000000"/>
        </w:rPr>
        <w:t xml:space="preserve"> činností</w:t>
      </w:r>
      <w:r>
        <w:rPr>
          <w:color w:val="000000"/>
        </w:rPr>
        <w:t>, ak nie je v nariadení o ENRF uvedené inak;</w:t>
      </w:r>
    </w:p>
    <w:p w14:paraId="5A444E86" w14:textId="77777777" w:rsidR="00B650E5" w:rsidRDefault="00B650E5">
      <w:pPr>
        <w:numPr>
          <w:ilvl w:val="0"/>
          <w:numId w:val="147"/>
        </w:numPr>
        <w:spacing w:before="120" w:after="120"/>
        <w:ind w:left="850" w:hanging="425"/>
        <w:jc w:val="both"/>
        <w:rPr>
          <w:color w:val="000000"/>
        </w:rPr>
      </w:pPr>
      <w:r>
        <w:rPr>
          <w:color w:val="000000"/>
        </w:rPr>
        <w:t>prieskumný rybolov;</w:t>
      </w:r>
    </w:p>
    <w:p w14:paraId="09855E39" w14:textId="77777777" w:rsidR="00B650E5" w:rsidRDefault="00B650E5">
      <w:pPr>
        <w:numPr>
          <w:ilvl w:val="0"/>
          <w:numId w:val="147"/>
        </w:numPr>
        <w:spacing w:before="120" w:after="120"/>
        <w:ind w:left="850" w:hanging="425"/>
        <w:jc w:val="both"/>
        <w:rPr>
          <w:color w:val="000000"/>
        </w:rPr>
      </w:pPr>
      <w:r>
        <w:rPr>
          <w:color w:val="000000"/>
        </w:rPr>
        <w:t>prevod vlastníctva podniku;</w:t>
      </w:r>
    </w:p>
    <w:p w14:paraId="5C7C67A1" w14:textId="77777777" w:rsidR="00B650E5" w:rsidRDefault="00B650E5">
      <w:pPr>
        <w:numPr>
          <w:ilvl w:val="0"/>
          <w:numId w:val="147"/>
        </w:numPr>
        <w:spacing w:before="120" w:after="120"/>
        <w:ind w:left="850" w:hanging="425"/>
        <w:jc w:val="both"/>
        <w:rPr>
          <w:color w:val="000000"/>
        </w:rPr>
      </w:pPr>
      <w:r>
        <w:rPr>
          <w:color w:val="000000"/>
        </w:rPr>
        <w:t>priame opätovné zarybňovanie, pokiaľ sa výslovne neustanovuje ako ochranné opatrenie v právnom akte EÚ alebo pokiaľ nejde o experimentálne opätovné zarybňovanie.</w:t>
      </w:r>
    </w:p>
    <w:p w14:paraId="2BA06ACC" w14:textId="77777777" w:rsidR="00B650E5" w:rsidRDefault="00B650E5">
      <w:pPr>
        <w:numPr>
          <w:ilvl w:val="0"/>
          <w:numId w:val="143"/>
        </w:numPr>
        <w:autoSpaceDE w:val="0"/>
        <w:autoSpaceDN w:val="0"/>
        <w:adjustRightInd w:val="0"/>
        <w:spacing w:before="120" w:after="120"/>
        <w:ind w:left="425" w:hanging="425"/>
        <w:jc w:val="both"/>
        <w:rPr>
          <w:color w:val="000000"/>
          <w:lang w:eastAsia="en-US"/>
        </w:rPr>
      </w:pPr>
      <w:r>
        <w:rPr>
          <w:color w:val="000000"/>
          <w:lang w:eastAsia="en-US"/>
        </w:rPr>
        <w:t>V zmysle čl. 2 nariadenia o KF neoprávnenými výdavkami pre tento fond sú výdavky na:</w:t>
      </w:r>
    </w:p>
    <w:p w14:paraId="442DEFBF" w14:textId="77777777" w:rsidR="00B650E5" w:rsidRDefault="00B650E5">
      <w:pPr>
        <w:numPr>
          <w:ilvl w:val="0"/>
          <w:numId w:val="148"/>
        </w:numPr>
        <w:spacing w:before="120" w:after="120"/>
        <w:ind w:left="850" w:hanging="425"/>
        <w:jc w:val="both"/>
        <w:rPr>
          <w:color w:val="000000"/>
        </w:rPr>
      </w:pPr>
      <w:r>
        <w:rPr>
          <w:color w:val="000000"/>
        </w:rPr>
        <w:t>odstavenie a výstavbu jadrových elektrární;</w:t>
      </w:r>
    </w:p>
    <w:p w14:paraId="315351D9" w14:textId="77777777" w:rsidR="00B650E5" w:rsidRDefault="00B650E5">
      <w:pPr>
        <w:numPr>
          <w:ilvl w:val="0"/>
          <w:numId w:val="148"/>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14:paraId="6477B50A" w14:textId="77777777" w:rsidR="00B650E5" w:rsidRDefault="00B650E5">
      <w:pPr>
        <w:numPr>
          <w:ilvl w:val="0"/>
          <w:numId w:val="148"/>
        </w:numPr>
        <w:spacing w:before="120" w:after="120"/>
        <w:ind w:left="850" w:hanging="425"/>
        <w:jc w:val="both"/>
        <w:rPr>
          <w:color w:val="000000"/>
        </w:rPr>
      </w:pPr>
      <w:r>
        <w:rPr>
          <w:color w:val="000000"/>
        </w:rPr>
        <w:t>investície do bývania s výnimkou tých, ktoré súvisia s podporou energetickej efektívnosti a využívania energie z obnoviteľných zdrojov;</w:t>
      </w:r>
    </w:p>
    <w:p w14:paraId="5F693E36" w14:textId="77777777" w:rsidR="00B650E5" w:rsidRDefault="00B650E5">
      <w:pPr>
        <w:numPr>
          <w:ilvl w:val="0"/>
          <w:numId w:val="148"/>
        </w:numPr>
        <w:spacing w:before="120" w:after="120"/>
        <w:ind w:left="850" w:hanging="425"/>
        <w:jc w:val="both"/>
        <w:rPr>
          <w:color w:val="000000"/>
        </w:rPr>
      </w:pPr>
      <w:r>
        <w:rPr>
          <w:color w:val="000000"/>
        </w:rPr>
        <w:t>výrobu, spracovanie a uvádzanie tabaku a tabakových výrobkov na trh;</w:t>
      </w:r>
    </w:p>
    <w:p w14:paraId="638487F0" w14:textId="77777777" w:rsidR="00B650E5" w:rsidRDefault="00B650E5">
      <w:pPr>
        <w:numPr>
          <w:ilvl w:val="0"/>
          <w:numId w:val="148"/>
        </w:numPr>
        <w:spacing w:before="120" w:after="120"/>
        <w:ind w:left="850" w:hanging="425"/>
        <w:jc w:val="both"/>
        <w:rPr>
          <w:color w:val="000000"/>
        </w:rPr>
      </w:pPr>
      <w:r>
        <w:rPr>
          <w:color w:val="000000"/>
        </w:rPr>
        <w:t>podniky v ťažkostiach, ako sú vymedzené v právnych predpisoch EÚ o štátnej pomoci;</w:t>
      </w:r>
    </w:p>
    <w:p w14:paraId="6E5FF8B9" w14:textId="77777777" w:rsidR="00B650E5" w:rsidRDefault="00B650E5">
      <w:pPr>
        <w:numPr>
          <w:ilvl w:val="0"/>
          <w:numId w:val="148"/>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14:paraId="72D5B8AE" w14:textId="77777777" w:rsidR="00B650E5" w:rsidRDefault="00B650E5">
      <w:pPr>
        <w:pStyle w:val="SRK3"/>
      </w:pPr>
      <w:bookmarkStart w:id="507" w:name="_Toc453234080"/>
      <w:bookmarkStart w:id="508" w:name="_Toc501630127"/>
      <w:r>
        <w:lastRenderedPageBreak/>
        <w:t>3.5.3 Krížové financovanie</w:t>
      </w:r>
      <w:bookmarkEnd w:id="507"/>
      <w:bookmarkEnd w:id="508"/>
      <w:r>
        <w:t xml:space="preserve"> </w:t>
      </w:r>
    </w:p>
    <w:p w14:paraId="0C1AE593"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zmysle čl. 98 všeobecného nariadenia fondy (netýka sa ENRF) môžu poskytovať podporu OP v rámci cieľa Investovanie do rastu a zamestnanosti spoločne.</w:t>
      </w:r>
    </w:p>
    <w:p w14:paraId="7EE5DD57"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EFRR a ESF môžu komplementárnym spôsobom a najviac do výšky 10</w:t>
      </w:r>
      <w:r w:rsidR="00C93F30">
        <w:rPr>
          <w:color w:val="000000"/>
          <w:lang w:eastAsia="en-US"/>
        </w:rPr>
        <w:t xml:space="preserve"> </w:t>
      </w:r>
      <w:r>
        <w:rPr>
          <w:color w:val="000000"/>
          <w:lang w:eastAsia="en-US"/>
        </w:rPr>
        <w:t xml:space="preserve">% prostriedkov EÚ vyčlenených pre každú PO OP financovať časť projektu, ktorého náklady majú nárok na podporu z iného fondu na základe pravidiel oprávnenosti platných pre daný fond za predpokladu, že sú potrebné na uspokojivé vykonávanie projektu a sú s ním priamo spojené. Tieto pravidlá sa neuplatňujú na programy EÚS. </w:t>
      </w:r>
    </w:p>
    <w:p w14:paraId="53694180"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Aktivity spolufinancované krížovým financovaním musia byť v súlade so štátnou pomocou/pomocou de minimis, pretože štátna pomoc/pomoc de minimis je nadradeným princípom nad oprávnenosť výdavkov.</w:t>
      </w:r>
    </w:p>
    <w:p w14:paraId="08029EC0" w14:textId="77777777" w:rsidR="00B650E5" w:rsidRDefault="00B650E5">
      <w:pPr>
        <w:numPr>
          <w:ilvl w:val="0"/>
          <w:numId w:val="149"/>
        </w:numPr>
        <w:autoSpaceDE w:val="0"/>
        <w:autoSpaceDN w:val="0"/>
        <w:adjustRightInd w:val="0"/>
        <w:spacing w:before="120" w:after="120"/>
        <w:ind w:left="425" w:hanging="425"/>
        <w:jc w:val="both"/>
        <w:rPr>
          <w:color w:val="000000"/>
          <w:lang w:eastAsia="en-US"/>
        </w:rPr>
      </w:pPr>
      <w:r>
        <w:rPr>
          <w:color w:val="000000"/>
          <w:lang w:eastAsia="en-US"/>
        </w:rPr>
        <w:t>V prípade uplatnenia krížového financovania v rámci jednotlivých OP musí RO splniť nasledujúce podmienky:</w:t>
      </w:r>
    </w:p>
    <w:p w14:paraId="6790D7A8" w14:textId="77777777" w:rsidR="00B650E5" w:rsidRDefault="00B650E5">
      <w:pPr>
        <w:numPr>
          <w:ilvl w:val="0"/>
          <w:numId w:val="150"/>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 takých oprávnených aktivitách, ktoré s daným projektom súvisia;</w:t>
      </w:r>
    </w:p>
    <w:p w14:paraId="3AAE32CE" w14:textId="77777777" w:rsidR="00B650E5" w:rsidRDefault="00B650E5">
      <w:pPr>
        <w:numPr>
          <w:ilvl w:val="0"/>
          <w:numId w:val="150"/>
        </w:numPr>
        <w:spacing w:before="120" w:after="120"/>
        <w:ind w:left="850" w:hanging="425"/>
        <w:jc w:val="both"/>
        <w:rPr>
          <w:color w:val="000000"/>
        </w:rPr>
      </w:pPr>
      <w:r>
        <w:rPr>
          <w:color w:val="000000"/>
        </w:rPr>
        <w:t>RO stanoví vo svojom manuáli procedúr postupy zaisťujúce dodržanie vyššie uvedených limitov na úrovni PO OP;</w:t>
      </w:r>
    </w:p>
    <w:p w14:paraId="47DFDC75" w14:textId="77777777" w:rsidR="00B650E5" w:rsidRDefault="00B650E5">
      <w:pPr>
        <w:numPr>
          <w:ilvl w:val="0"/>
          <w:numId w:val="150"/>
        </w:numPr>
        <w:spacing w:before="120" w:after="120"/>
        <w:ind w:left="850" w:hanging="425"/>
        <w:jc w:val="both"/>
        <w:rPr>
          <w:color w:val="000000"/>
        </w:rPr>
      </w:pPr>
      <w:r>
        <w:rPr>
          <w:color w:val="000000"/>
        </w:rPr>
        <w:t>RO stanoví maximálny percentuálny limit (resp. stanoví limit, vyjadrený napr. sumou) pre</w:t>
      </w:r>
      <w:r w:rsidR="008520E6">
        <w:rPr>
          <w:color w:val="000000"/>
        </w:rPr>
        <w:t> </w:t>
      </w:r>
      <w:r>
        <w:rPr>
          <w:color w:val="000000"/>
        </w:rPr>
        <w:t>krížové financovanie na jeden projekt (na úrovni OP, PO, špecifického cieľa, alebo výzvy) pri dodržaní limitov na úrovni PO OP.</w:t>
      </w:r>
    </w:p>
    <w:p w14:paraId="72194340" w14:textId="77777777" w:rsidR="00B650E5" w:rsidRPr="001B709E" w:rsidRDefault="00B650E5" w:rsidP="001B709E">
      <w:pPr>
        <w:numPr>
          <w:ilvl w:val="0"/>
          <w:numId w:val="149"/>
        </w:numPr>
        <w:autoSpaceDE w:val="0"/>
        <w:autoSpaceDN w:val="0"/>
        <w:adjustRightInd w:val="0"/>
        <w:spacing w:before="120" w:after="120"/>
        <w:ind w:left="425" w:hanging="425"/>
        <w:jc w:val="both"/>
        <w:rPr>
          <w:color w:val="000000"/>
          <w:lang w:eastAsia="en-US"/>
        </w:rPr>
      </w:pPr>
      <w:r w:rsidRPr="001B709E">
        <w:rPr>
          <w:color w:val="000000"/>
          <w:lang w:eastAsia="en-US"/>
        </w:rPr>
        <w:t>Sledovanie dodržiavani</w:t>
      </w:r>
      <w:r w:rsidR="00B744AA">
        <w:rPr>
          <w:color w:val="000000"/>
          <w:lang w:eastAsia="en-US"/>
        </w:rPr>
        <w:t>a</w:t>
      </w:r>
      <w:r w:rsidRPr="001B709E">
        <w:rPr>
          <w:color w:val="000000"/>
          <w:lang w:eastAsia="en-US"/>
        </w:rPr>
        <w:t xml:space="preserve"> limitov krížového financovania na prioritnej osi </w:t>
      </w:r>
      <w:r>
        <w:rPr>
          <w:color w:val="000000"/>
          <w:lang w:eastAsia="en-US"/>
        </w:rPr>
        <w:t xml:space="preserve">OP </w:t>
      </w:r>
      <w:r w:rsidRPr="001B709E">
        <w:rPr>
          <w:color w:val="000000"/>
          <w:lang w:eastAsia="en-US"/>
        </w:rPr>
        <w:t>v</w:t>
      </w:r>
      <w:r w:rsidRPr="00F12951">
        <w:rPr>
          <w:color w:val="000000"/>
          <w:lang w:eastAsia="en-US"/>
        </w:rPr>
        <w:t> </w:t>
      </w:r>
      <w:r w:rsidRPr="001B709E">
        <w:rPr>
          <w:color w:val="000000"/>
          <w:lang w:eastAsia="en-US"/>
        </w:rPr>
        <w:t>zmysle článku 98, odsek 2 všeobecného nariadenia je zabezpečené prostredníctvom označenia výdavkov informáciou „- krížové financovanie“ v ITMS 2014+.</w:t>
      </w:r>
    </w:p>
    <w:p w14:paraId="4E35EAC8" w14:textId="77777777" w:rsidR="00B650E5" w:rsidRDefault="00B650E5">
      <w:pPr>
        <w:pStyle w:val="SRK3"/>
      </w:pPr>
      <w:bookmarkStart w:id="509" w:name="_Toc453234081"/>
      <w:bookmarkStart w:id="510" w:name="_Toc501630128"/>
      <w:r>
        <w:t>3.5.4 Projekty generujúce čisté príjmy</w:t>
      </w:r>
      <w:bookmarkEnd w:id="509"/>
      <w:bookmarkEnd w:id="510"/>
      <w:r>
        <w:t xml:space="preserve"> </w:t>
      </w:r>
    </w:p>
    <w:p w14:paraId="057CD04E"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Projekty generujúce čistý príjem po ich dokončení definuje čl. 61 všeobecného nariadenia. Projektmi generujúcimi príjmy sú projekty, ktoré:</w:t>
      </w:r>
    </w:p>
    <w:p w14:paraId="204FE50E" w14:textId="77777777" w:rsidR="00B650E5" w:rsidRDefault="00B650E5">
      <w:pPr>
        <w:numPr>
          <w:ilvl w:val="0"/>
          <w:numId w:val="152"/>
        </w:numPr>
        <w:spacing w:before="120" w:after="120"/>
        <w:ind w:left="850" w:hanging="425"/>
        <w:jc w:val="both"/>
        <w:rPr>
          <w:color w:val="000000"/>
        </w:rPr>
      </w:pPr>
      <w:r>
        <w:rPr>
          <w:color w:val="000000"/>
        </w:rPr>
        <w:t>zahŕňajú investíciu do infraštruktúry, ktorej používanie je spoplatnené a priamo uhradené užívateľmi, a/alebo</w:t>
      </w:r>
    </w:p>
    <w:p w14:paraId="3412FDB6" w14:textId="77777777" w:rsidR="00B650E5" w:rsidRDefault="00B650E5">
      <w:pPr>
        <w:numPr>
          <w:ilvl w:val="0"/>
          <w:numId w:val="152"/>
        </w:numPr>
        <w:spacing w:before="120" w:after="120"/>
        <w:ind w:left="850" w:hanging="425"/>
        <w:jc w:val="both"/>
        <w:rPr>
          <w:color w:val="000000"/>
        </w:rPr>
      </w:pPr>
      <w:r>
        <w:rPr>
          <w:color w:val="000000"/>
        </w:rPr>
        <w:t>zahŕňajú predaj alebo prenájom pozemkov alebo budov, a/alebo</w:t>
      </w:r>
    </w:p>
    <w:p w14:paraId="579C0EB9" w14:textId="77777777" w:rsidR="00B650E5" w:rsidRDefault="00B650E5">
      <w:pPr>
        <w:numPr>
          <w:ilvl w:val="0"/>
          <w:numId w:val="152"/>
        </w:numPr>
        <w:spacing w:before="120" w:after="120"/>
        <w:ind w:left="850" w:hanging="425"/>
        <w:jc w:val="both"/>
        <w:rPr>
          <w:color w:val="000000"/>
        </w:rPr>
      </w:pPr>
      <w:r>
        <w:rPr>
          <w:color w:val="000000"/>
        </w:rPr>
        <w:t xml:space="preserve">zahŕňajú poskytovanie služieb za poplatok. </w:t>
      </w:r>
    </w:p>
    <w:p w14:paraId="18EDC6B8"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Úspory v rámci prevádzkových výdavkov, ktoré vznikli počas realizácie projektu, 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14:paraId="74ED4FD1"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p>
    <w:p w14:paraId="4F1BEFFF"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Potenciálne čisté príjmy z projektu sa stanovia vopred na základe jednej z nasledujúcich metód vybraných RO pre sektor, subsektor alebo typ projektu:</w:t>
      </w:r>
    </w:p>
    <w:p w14:paraId="7DD2F934" w14:textId="77777777" w:rsidR="00B650E5" w:rsidRDefault="00B650E5">
      <w:pPr>
        <w:pStyle w:val="Odsekzoznamu"/>
        <w:numPr>
          <w:ilvl w:val="0"/>
          <w:numId w:val="5"/>
        </w:numPr>
        <w:spacing w:before="120" w:after="120"/>
        <w:ind w:left="851" w:hanging="425"/>
        <w:contextualSpacing w:val="0"/>
        <w:jc w:val="both"/>
      </w:pPr>
      <w:bookmarkStart w:id="511" w:name="kapitola_354_ods_4a"/>
      <w:bookmarkStart w:id="512" w:name="kapitola_354_ods_4a_c"/>
      <w:r>
        <w:rPr>
          <w:i/>
        </w:rPr>
        <w:lastRenderedPageBreak/>
        <w:t>uplatnenie paušálneho percenta čistého príjmu pre daný sektor alebo subsektor použiteľné na projekty vymedzené v prílohe všeobecného nariadenia alebo v niektorom z delegovaných aktov ďalej uvedených.</w:t>
      </w:r>
    </w:p>
    <w:p w14:paraId="21AF2B7D" w14:textId="77777777" w:rsidR="00B650E5" w:rsidRDefault="00B650E5">
      <w:pPr>
        <w:pStyle w:val="Odsekzoznamu"/>
        <w:spacing w:before="120" w:after="120"/>
        <w:ind w:left="851"/>
        <w:contextualSpacing w:val="0"/>
        <w:jc w:val="both"/>
      </w:pPr>
      <w:r>
        <w:t>Ak sa použije táto metóda, všetky čisté príjmy vytvorené v priebehu realizácie a po dokončení projektu sú považované za zohľadnené uplatnením paušálnej sadzby, a preto nie sú odpočítané následne od oprávnených výdavkov projektu.</w:t>
      </w:r>
    </w:p>
    <w:bookmarkEnd w:id="511"/>
    <w:p w14:paraId="58242DF4" w14:textId="77777777" w:rsidR="00B650E5" w:rsidRDefault="00B650E5">
      <w:pPr>
        <w:pStyle w:val="Odsekzoznamu"/>
        <w:numPr>
          <w:ilvl w:val="0"/>
          <w:numId w:val="5"/>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14:paraId="7F03D7C8" w14:textId="77777777" w:rsidR="00B650E5" w:rsidRDefault="00B650E5">
      <w:pPr>
        <w:pStyle w:val="Odsekzoznamu"/>
        <w:spacing w:before="120" w:after="120"/>
        <w:ind w:left="851"/>
        <w:contextualSpacing w:val="0"/>
        <w:jc w:val="both"/>
      </w:pPr>
      <w:r>
        <w:t>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čistých príjmov z projektu sa stanoví na základe článkov 15 až 19 delegovaného nariadenia Komisie (EÚ) č. 480/2014</w:t>
      </w:r>
      <w:r>
        <w:rPr>
          <w:rStyle w:val="Odkaznapoznmkupodiarou"/>
        </w:rPr>
        <w:footnoteReference w:id="143"/>
      </w:r>
      <w:r>
        <w:t>.</w:t>
      </w:r>
    </w:p>
    <w:p w14:paraId="517A144F" w14:textId="77777777" w:rsidR="00B650E5" w:rsidRDefault="00B650E5">
      <w:pPr>
        <w:pStyle w:val="Odsekzoznamu"/>
        <w:numPr>
          <w:ilvl w:val="0"/>
          <w:numId w:val="5"/>
        </w:numPr>
        <w:spacing w:before="120" w:after="120"/>
        <w:ind w:left="851" w:hanging="425"/>
        <w:contextualSpacing w:val="0"/>
        <w:jc w:val="both"/>
      </w:pPr>
      <w:r>
        <w:rPr>
          <w:i/>
        </w:rPr>
        <w:t xml:space="preserve">zníženie maximálnej miery spolufinancovania </w:t>
      </w:r>
    </w:p>
    <w:p w14:paraId="5369EFE4" w14:textId="77777777" w:rsidR="00B650E5" w:rsidRDefault="00B650E5">
      <w:pPr>
        <w:pStyle w:val="Odsekzoznamu"/>
        <w:spacing w:before="120" w:after="120"/>
        <w:ind w:left="851"/>
        <w:contextualSpacing w:val="0"/>
        <w:jc w:val="both"/>
      </w:pPr>
      <w:r>
        <w:t>Ako alternatíva k použitiu metódy a) sa maximálna miera spolufinancovania uvedená v článku 60 ods. 1 všeobecného nariadenia môže na žiadosť členského štátu znížiť v čase prijatia OP pre prioritu alebo opatrenie, v rámci ktorých by sa na všetky operácie podporované podľa tejto priority alebo opatrenia mohla uplatňovať jednotná paušálna sadzba. Zníženie nesmie byť nižšie ako suma vypočítaná násobením maximálnej miery spolufinancovania EÚ,  ktorá sa podľa pravidiel pre jednotlivé EŠIF uplatňuje pri príslušnej paušálnej sadzbe.</w:t>
      </w:r>
    </w:p>
    <w:p w14:paraId="2224EBD3" w14:textId="77777777" w:rsidR="00B650E5" w:rsidRDefault="00B650E5">
      <w:pPr>
        <w:spacing w:before="120" w:after="120"/>
        <w:ind w:left="851"/>
        <w:jc w:val="both"/>
      </w:pPr>
      <w:r>
        <w:t>Ak sa použije táto metóda, všetky čisté príjmy vytvorené v priebehu realizácie a po dokončení projektu sú považované za príjmy zohľadnené uplatnením zníženej miery spolufinancovania, a preto nie sú odpočítané následne od oprávnených výdavkov projektu.</w:t>
      </w:r>
    </w:p>
    <w:bookmarkEnd w:id="512"/>
    <w:p w14:paraId="7D77CA00"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 prípade, že nie je objektívne možné určiť príjmy vopred podľa jednej z metód ustanovených v </w:t>
      </w:r>
      <w:hyperlink w:anchor="kapitola_354_ods_4a_c" w:tooltip="ods. 4, písm. a) až c)" w:history="1">
        <w:r>
          <w:rPr>
            <w:rStyle w:val="Hypertextovprepojenie"/>
            <w:lang w:eastAsia="en-US"/>
          </w:rPr>
          <w:t xml:space="preserve">ods. </w:t>
        </w:r>
        <w:r>
          <w:rPr>
            <w:rStyle w:val="Hypertextovprepojenie"/>
          </w:rPr>
          <w:t>4, písm. a) až c)</w:t>
        </w:r>
      </w:hyperlink>
      <w:r>
        <w:rPr>
          <w:color w:val="000000"/>
          <w:lang w:eastAsia="en-US"/>
        </w:rPr>
        <w:t>, čisté príjmy vygenerované do troch rokov od ukončenia projektu alebo podľa lehoty na predloženie dokumentácie k ukončeniu OP stanovenej v pravidlách pre jednotlivé EŠIF, podľa toho, čo nastane skôr, sa odpočítajú od výdavkov vykázaných EK.</w:t>
      </w:r>
    </w:p>
    <w:p w14:paraId="778D65B9"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Vyššie uvedené ustanovenia sa nevzťahujú na:</w:t>
      </w:r>
    </w:p>
    <w:p w14:paraId="068450A3" w14:textId="77777777" w:rsidR="00B650E5" w:rsidRDefault="00B650E5">
      <w:pPr>
        <w:numPr>
          <w:ilvl w:val="0"/>
          <w:numId w:val="153"/>
        </w:numPr>
        <w:spacing w:before="120" w:after="120"/>
        <w:ind w:left="850" w:hanging="425"/>
        <w:jc w:val="both"/>
        <w:rPr>
          <w:color w:val="000000"/>
        </w:rPr>
      </w:pPr>
      <w:r>
        <w:rPr>
          <w:color w:val="000000"/>
        </w:rPr>
        <w:t>projekty, ktoré sú podporované výlučne z ESF;</w:t>
      </w:r>
    </w:p>
    <w:p w14:paraId="1D163C62" w14:textId="77777777" w:rsidR="00B650E5" w:rsidRDefault="00B650E5">
      <w:pPr>
        <w:numPr>
          <w:ilvl w:val="0"/>
          <w:numId w:val="153"/>
        </w:numPr>
        <w:spacing w:before="120" w:after="120"/>
        <w:ind w:left="850" w:hanging="425"/>
        <w:jc w:val="both"/>
        <w:rPr>
          <w:color w:val="000000"/>
        </w:rPr>
      </w:pPr>
      <w:r>
        <w:rPr>
          <w:color w:val="000000"/>
        </w:rPr>
        <w:t>projekty, pri ktorých celkové oprávnené výdavky pred ich znížením o čisté príjmy podľa vyššie uvedených ustanovení nepresahujú 1 000 000 EUR;</w:t>
      </w:r>
    </w:p>
    <w:p w14:paraId="791733CB" w14:textId="77777777" w:rsidR="00B650E5" w:rsidRDefault="00B650E5">
      <w:pPr>
        <w:numPr>
          <w:ilvl w:val="0"/>
          <w:numId w:val="153"/>
        </w:numPr>
        <w:spacing w:before="120" w:after="120"/>
        <w:ind w:left="850" w:hanging="425"/>
        <w:jc w:val="both"/>
        <w:rPr>
          <w:color w:val="000000"/>
        </w:rPr>
      </w:pPr>
      <w:r>
        <w:rPr>
          <w:color w:val="000000"/>
        </w:rPr>
        <w:t>návratnú pomoc, ktorá podlieha povinnosti úplného splatenia, a  ceny;</w:t>
      </w:r>
    </w:p>
    <w:p w14:paraId="0A2AFBCB" w14:textId="77777777" w:rsidR="00B650E5" w:rsidRDefault="00B650E5">
      <w:pPr>
        <w:numPr>
          <w:ilvl w:val="0"/>
          <w:numId w:val="153"/>
        </w:numPr>
        <w:spacing w:before="120" w:after="120"/>
        <w:ind w:left="850" w:hanging="425"/>
        <w:jc w:val="both"/>
        <w:rPr>
          <w:color w:val="000000"/>
        </w:rPr>
      </w:pPr>
      <w:r>
        <w:rPr>
          <w:color w:val="000000"/>
        </w:rPr>
        <w:t>technickú pomoc;</w:t>
      </w:r>
    </w:p>
    <w:p w14:paraId="2E0A56C4" w14:textId="77777777" w:rsidR="00B650E5" w:rsidRDefault="00B650E5">
      <w:pPr>
        <w:numPr>
          <w:ilvl w:val="0"/>
          <w:numId w:val="153"/>
        </w:numPr>
        <w:spacing w:before="120" w:after="120"/>
        <w:ind w:left="850" w:hanging="425"/>
        <w:jc w:val="both"/>
        <w:rPr>
          <w:color w:val="000000"/>
        </w:rPr>
      </w:pPr>
      <w:r>
        <w:rPr>
          <w:color w:val="000000"/>
        </w:rPr>
        <w:lastRenderedPageBreak/>
        <w:t>podporu na finančné nástroje alebo z finančných nástrojov;</w:t>
      </w:r>
    </w:p>
    <w:p w14:paraId="5DAF63A2" w14:textId="77777777" w:rsidR="00B650E5" w:rsidRDefault="00B650E5">
      <w:pPr>
        <w:numPr>
          <w:ilvl w:val="0"/>
          <w:numId w:val="153"/>
        </w:numPr>
        <w:spacing w:before="120" w:after="120"/>
        <w:ind w:left="850" w:hanging="425"/>
        <w:jc w:val="both"/>
        <w:rPr>
          <w:color w:val="000000"/>
        </w:rPr>
      </w:pPr>
      <w:r>
        <w:rPr>
          <w:color w:val="000000"/>
        </w:rPr>
        <w:t>projekty, pri ktorých má verejná podpora formu paušálnych súm alebo štandardnej stupnice jednotkových výdavkov;</w:t>
      </w:r>
    </w:p>
    <w:p w14:paraId="2C8E342A" w14:textId="77777777" w:rsidR="00B650E5" w:rsidRDefault="00B650E5">
      <w:pPr>
        <w:numPr>
          <w:ilvl w:val="0"/>
          <w:numId w:val="153"/>
        </w:numPr>
        <w:spacing w:before="120" w:after="120"/>
        <w:ind w:left="850" w:hanging="425"/>
        <w:jc w:val="both"/>
        <w:rPr>
          <w:color w:val="000000"/>
        </w:rPr>
      </w:pPr>
      <w:r>
        <w:rPr>
          <w:color w:val="000000"/>
        </w:rPr>
        <w:t>operácie realizované v rámci SAP.</w:t>
      </w:r>
    </w:p>
    <w:p w14:paraId="667401D4" w14:textId="77777777" w:rsidR="00B650E5" w:rsidRDefault="00B650E5">
      <w:pPr>
        <w:spacing w:before="120" w:after="120"/>
        <w:ind w:left="426"/>
        <w:jc w:val="both"/>
      </w:pPr>
      <w:r>
        <w:t>Bez ohľadu na písmeno b), ak členský štát uplatňuje zníženie maximálnej miery spolufinancovania, môže do príslušnej priority alebo opatrenia zahrnúť projekty, ktorých celkové oprávnené výdavky pred odpočítaním čistých príjmov nie sú vyššie ako 1 000 000 EUR.</w:t>
      </w:r>
    </w:p>
    <w:p w14:paraId="0B77024D" w14:textId="77777777" w:rsidR="00B650E5" w:rsidRDefault="00B650E5">
      <w:pPr>
        <w:numPr>
          <w:ilvl w:val="0"/>
          <w:numId w:val="151"/>
        </w:numPr>
        <w:autoSpaceDE w:val="0"/>
        <w:autoSpaceDN w:val="0"/>
        <w:adjustRightInd w:val="0"/>
        <w:spacing w:before="120" w:after="120"/>
        <w:ind w:left="425" w:hanging="425"/>
        <w:jc w:val="both"/>
        <w:rPr>
          <w:color w:val="000000"/>
          <w:lang w:eastAsia="en-US"/>
        </w:rPr>
      </w:pPr>
      <w:r>
        <w:rPr>
          <w:color w:val="000000"/>
          <w:lang w:eastAsia="en-US"/>
        </w:rPr>
        <w:t>Vyššie uvedené ustanovenia sa zároveň nevzťahujú na projekty, v prípade ktorých podpora v rámci OP predstavuje:</w:t>
      </w:r>
    </w:p>
    <w:p w14:paraId="6FA0071B" w14:textId="77777777" w:rsidR="00B650E5" w:rsidRDefault="00B650E5">
      <w:pPr>
        <w:numPr>
          <w:ilvl w:val="0"/>
          <w:numId w:val="154"/>
        </w:numPr>
        <w:spacing w:before="120" w:after="120"/>
        <w:ind w:left="850" w:hanging="425"/>
        <w:jc w:val="both"/>
        <w:rPr>
          <w:color w:val="000000"/>
        </w:rPr>
      </w:pPr>
      <w:r>
        <w:rPr>
          <w:color w:val="000000"/>
        </w:rPr>
        <w:t>pomoc de minimis;</w:t>
      </w:r>
    </w:p>
    <w:p w14:paraId="693D8D6B" w14:textId="77777777" w:rsidR="00B650E5" w:rsidRDefault="00B650E5">
      <w:pPr>
        <w:numPr>
          <w:ilvl w:val="0"/>
          <w:numId w:val="154"/>
        </w:numPr>
        <w:spacing w:before="120" w:after="120"/>
        <w:ind w:left="850" w:hanging="425"/>
        <w:jc w:val="both"/>
        <w:rPr>
          <w:color w:val="000000"/>
        </w:rPr>
      </w:pPr>
      <w:r>
        <w:rPr>
          <w:color w:val="000000"/>
        </w:rPr>
        <w:t>zlučiteľnú štátnu pomoc MSP, ak sa v súvislosti so štátnou pomocou uplatňuje intenzita pomoci alebo hranica finančnej pomoci;</w:t>
      </w:r>
    </w:p>
    <w:p w14:paraId="79673063" w14:textId="77777777" w:rsidR="00B650E5" w:rsidRDefault="00B650E5">
      <w:pPr>
        <w:numPr>
          <w:ilvl w:val="0"/>
          <w:numId w:val="154"/>
        </w:numPr>
        <w:spacing w:before="120" w:after="120"/>
        <w:ind w:left="850" w:hanging="425"/>
        <w:jc w:val="both"/>
        <w:rPr>
          <w:color w:val="000000"/>
        </w:rPr>
      </w:pPr>
      <w:r>
        <w:rPr>
          <w:color w:val="000000"/>
        </w:rPr>
        <w:t>zlučiteľnú štátnu pomoc, ak sa vykonalo individuálne overenie potrieb financovania v súlade s platnými pravidlami o štátnej pomoci.</w:t>
      </w:r>
    </w:p>
    <w:p w14:paraId="06B84319" w14:textId="77777777" w:rsidR="00B650E5" w:rsidRDefault="00B650E5">
      <w:pPr>
        <w:spacing w:before="120" w:after="120"/>
        <w:ind w:left="426"/>
        <w:jc w:val="both"/>
      </w:pPr>
      <w:r>
        <w:t>Bez ohľadu na vyššie uvedené RO môže uplatňovať ustanovenia týkajúce sa projektov generujúcich príjem aj na projekty, ktoré spadajú pod písmená a) až c), ak je tak ustanovené vo vnútroštátnych predpisoch.</w:t>
      </w:r>
    </w:p>
    <w:p w14:paraId="65F2D6BE" w14:textId="77777777" w:rsidR="00B650E5" w:rsidRDefault="00B650E5">
      <w:pPr>
        <w:pStyle w:val="SRK3"/>
      </w:pPr>
      <w:bookmarkStart w:id="513" w:name="_Toc453234082"/>
      <w:bookmarkStart w:id="514" w:name="_Toc501630129"/>
      <w:r>
        <w:t>3.5.5 Projekty, ktoré vytvárajú čisté príjmy v priebehu ich implementácie a na ktoré sa ustanovenia čl. 61 ods. 1 až 6  všeobecného nariadenia nevzťahujú</w:t>
      </w:r>
      <w:bookmarkEnd w:id="513"/>
      <w:bookmarkEnd w:id="514"/>
    </w:p>
    <w:p w14:paraId="30252DDC"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 oprávnené a neoprávnené časti výdavkov.</w:t>
      </w:r>
    </w:p>
    <w:p w14:paraId="1D5D2DE9" w14:textId="77777777" w:rsidR="00B650E5" w:rsidRDefault="00B650E5">
      <w:pPr>
        <w:spacing w:before="120" w:after="120"/>
        <w:ind w:left="426"/>
        <w:jc w:val="both"/>
      </w:pPr>
      <w:r>
        <w:t>Uvedené pravidlo sa nevzťahuje na:</w:t>
      </w:r>
    </w:p>
    <w:p w14:paraId="1AB70715" w14:textId="77777777" w:rsidR="00B650E5" w:rsidRDefault="00B650E5">
      <w:pPr>
        <w:numPr>
          <w:ilvl w:val="0"/>
          <w:numId w:val="156"/>
        </w:numPr>
        <w:spacing w:before="120" w:after="120"/>
        <w:ind w:left="850" w:hanging="425"/>
        <w:jc w:val="both"/>
        <w:rPr>
          <w:color w:val="000000"/>
        </w:rPr>
      </w:pPr>
      <w:r>
        <w:rPr>
          <w:color w:val="000000"/>
        </w:rPr>
        <w:t xml:space="preserve">technickú pomoc, </w:t>
      </w:r>
    </w:p>
    <w:p w14:paraId="7A977662" w14:textId="77777777" w:rsidR="00B650E5" w:rsidRDefault="00B650E5">
      <w:pPr>
        <w:numPr>
          <w:ilvl w:val="0"/>
          <w:numId w:val="156"/>
        </w:numPr>
        <w:spacing w:before="120" w:after="120"/>
        <w:ind w:left="850" w:hanging="425"/>
        <w:jc w:val="both"/>
        <w:rPr>
          <w:color w:val="000000"/>
        </w:rPr>
      </w:pPr>
      <w:r>
        <w:rPr>
          <w:color w:val="000000"/>
        </w:rPr>
        <w:t>finančné nástroje,</w:t>
      </w:r>
    </w:p>
    <w:p w14:paraId="1FA591ED" w14:textId="77777777" w:rsidR="00B650E5" w:rsidRDefault="00B650E5">
      <w:pPr>
        <w:numPr>
          <w:ilvl w:val="0"/>
          <w:numId w:val="156"/>
        </w:numPr>
        <w:spacing w:before="120" w:after="120"/>
        <w:ind w:left="850" w:hanging="425"/>
        <w:jc w:val="both"/>
        <w:rPr>
          <w:color w:val="000000"/>
        </w:rPr>
      </w:pPr>
      <w:r>
        <w:rPr>
          <w:color w:val="000000"/>
        </w:rPr>
        <w:t>návratnú pomoc podliehajúcu povinnosti úplného splatenia,</w:t>
      </w:r>
    </w:p>
    <w:p w14:paraId="2DDC028C" w14:textId="77777777" w:rsidR="00B650E5" w:rsidRDefault="00B650E5">
      <w:pPr>
        <w:numPr>
          <w:ilvl w:val="0"/>
          <w:numId w:val="156"/>
        </w:numPr>
        <w:spacing w:before="120" w:after="120"/>
        <w:ind w:left="850" w:hanging="425"/>
        <w:jc w:val="both"/>
        <w:rPr>
          <w:color w:val="000000"/>
        </w:rPr>
      </w:pPr>
      <w:r>
        <w:rPr>
          <w:color w:val="000000"/>
        </w:rPr>
        <w:t>ceny,</w:t>
      </w:r>
    </w:p>
    <w:p w14:paraId="6C5A7957" w14:textId="77777777" w:rsidR="00B650E5" w:rsidRDefault="00B650E5">
      <w:pPr>
        <w:numPr>
          <w:ilvl w:val="0"/>
          <w:numId w:val="156"/>
        </w:numPr>
        <w:spacing w:before="120" w:after="120"/>
        <w:ind w:left="850" w:hanging="425"/>
        <w:jc w:val="both"/>
        <w:rPr>
          <w:color w:val="000000"/>
        </w:rPr>
      </w:pPr>
      <w:r>
        <w:rPr>
          <w:color w:val="000000"/>
        </w:rPr>
        <w:t>projekty podliehajúce pravidlám štátnej pomoci,</w:t>
      </w:r>
    </w:p>
    <w:p w14:paraId="65EDFF8E" w14:textId="77777777" w:rsidR="00B650E5" w:rsidRDefault="00B650E5">
      <w:pPr>
        <w:numPr>
          <w:ilvl w:val="0"/>
          <w:numId w:val="156"/>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14:paraId="7671DBA6" w14:textId="77777777" w:rsidR="00B650E5" w:rsidRDefault="00B650E5">
      <w:pPr>
        <w:numPr>
          <w:ilvl w:val="0"/>
          <w:numId w:val="156"/>
        </w:numPr>
        <w:spacing w:before="120" w:after="120"/>
        <w:ind w:left="850" w:hanging="425"/>
        <w:jc w:val="both"/>
        <w:rPr>
          <w:color w:val="000000"/>
        </w:rPr>
      </w:pPr>
      <w:r>
        <w:rPr>
          <w:color w:val="000000"/>
        </w:rPr>
        <w:t>projekty vykonávané v rámci SAP za predpokladu, že čistý príjem bol zohľadnený  ex ante,</w:t>
      </w:r>
    </w:p>
    <w:p w14:paraId="0904732F" w14:textId="77777777" w:rsidR="00B650E5" w:rsidRDefault="00B650E5">
      <w:pPr>
        <w:numPr>
          <w:ilvl w:val="0"/>
          <w:numId w:val="156"/>
        </w:numPr>
        <w:spacing w:before="120" w:after="120"/>
        <w:ind w:left="850" w:hanging="425"/>
        <w:jc w:val="both"/>
        <w:rPr>
          <w:color w:val="000000"/>
        </w:rPr>
      </w:pPr>
      <w:r>
        <w:rPr>
          <w:color w:val="000000"/>
        </w:rPr>
        <w:t>projekty, ktorých celkové oprávnené výdavky neprekročia 50 000 EUR,</w:t>
      </w:r>
    </w:p>
    <w:p w14:paraId="0AC37991" w14:textId="77777777" w:rsidR="00B650E5" w:rsidRDefault="00B650E5">
      <w:pPr>
        <w:numPr>
          <w:ilvl w:val="0"/>
          <w:numId w:val="156"/>
        </w:numPr>
        <w:spacing w:before="120" w:after="120"/>
        <w:ind w:left="850" w:hanging="425"/>
        <w:jc w:val="both"/>
        <w:rPr>
          <w:color w:val="000000"/>
        </w:rPr>
      </w:pPr>
      <w:r>
        <w:rPr>
          <w:color w:val="000000"/>
        </w:rPr>
        <w:t>projekty, pre ktoré sú sumy alebo sadzby podpory vymedzené v prílohe II k nariadeniu o EPFRV.</w:t>
      </w:r>
    </w:p>
    <w:p w14:paraId="081B5897" w14:textId="77777777" w:rsidR="00B650E5" w:rsidRDefault="00B650E5">
      <w:pPr>
        <w:numPr>
          <w:ilvl w:val="0"/>
          <w:numId w:val="155"/>
        </w:numPr>
        <w:autoSpaceDE w:val="0"/>
        <w:autoSpaceDN w:val="0"/>
        <w:adjustRightInd w:val="0"/>
        <w:spacing w:before="120" w:after="120"/>
        <w:ind w:left="425" w:hanging="425"/>
        <w:jc w:val="both"/>
        <w:rPr>
          <w:color w:val="000000"/>
          <w:lang w:eastAsia="en-US"/>
        </w:rPr>
      </w:pPr>
      <w:r>
        <w:rPr>
          <w:color w:val="000000"/>
          <w:lang w:eastAsia="en-US"/>
        </w:rPr>
        <w:t>Platby, ktoré prijímateľ prijal a ktoré vyplývajú zo zmluvných sankcií v dôsledku porušenia zmluvy medzi prijímateľom a treťou stranou/tretími stranami alebo ktoré vznikli v dôsledku stiahnutia ponuky tretej strany vybranej podľa pravidiel VO (zábezpeka), sa nepovažujú za príjem a neodpočítavajú sa od oprávnených výdavkov projektu.</w:t>
      </w:r>
    </w:p>
    <w:p w14:paraId="1C225314" w14:textId="77777777" w:rsidR="00B650E5" w:rsidRDefault="00B650E5">
      <w:pPr>
        <w:pStyle w:val="SRK3"/>
      </w:pPr>
      <w:bookmarkStart w:id="515" w:name="_Toc453234083"/>
      <w:bookmarkStart w:id="516" w:name="_Toc501630130"/>
      <w:bookmarkStart w:id="517" w:name="_Toc378601501"/>
      <w:bookmarkStart w:id="518" w:name="kapitola_356"/>
      <w:r>
        <w:lastRenderedPageBreak/>
        <w:t>3.5.6 Programy EÚS</w:t>
      </w:r>
      <w:bookmarkEnd w:id="515"/>
      <w:bookmarkEnd w:id="516"/>
    </w:p>
    <w:bookmarkEnd w:id="517"/>
    <w:bookmarkEnd w:id="518"/>
    <w:p w14:paraId="6BD9DEE9"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Na programy EÚS sa rovnako vzťahujú pravidlá oprávnenosti upravené všeobecným nariadením, vrátane pravidiel týkajúcich sa vecných príspevkov, odpisov a zjednodušeného vykazovania výdavkov. Navyše, nariadenie o EÚS v čl. 19 obsahuje aj osobitné pravidlo o paušálnej sadzbe pre náklady na zamestnancov. Podľa neho, náklady na zamestnancov v rámci projektu možno vypočítať ako paušálnu sadzbu do výšky 20</w:t>
      </w:r>
      <w:r w:rsidR="00C93F30">
        <w:rPr>
          <w:color w:val="000000"/>
          <w:lang w:eastAsia="en-US"/>
        </w:rPr>
        <w:t xml:space="preserve"> </w:t>
      </w:r>
      <w:r>
        <w:rPr>
          <w:color w:val="000000"/>
          <w:lang w:eastAsia="en-US"/>
        </w:rPr>
        <w:t>% priamych nákladov na projekt po odpočítaní nákladov na zamestnancov.</w:t>
      </w:r>
    </w:p>
    <w:p w14:paraId="204976C6"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Bez toho, aby boli dotknuté pravidlá oprávnenosti ustanovené vo všeobecnom nariadení alebo v nariadení o EÚS, pravidlá oprávnenosti pre program EÚS ako celok stanoví MV.</w:t>
      </w:r>
    </w:p>
    <w:p w14:paraId="3D5E5396"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Pokiaľ ide o záležitosti, na ktoré sa nevzťahujú pravidlá oprávnenosti ustanovené vo všeobecnom nariadení, v nariadení o EÚS alebo ustanovené MV, uplatňujú sa vnútroštátne pravidlá krajiny, v ktorej výdavky vznikli.</w:t>
      </w:r>
    </w:p>
    <w:p w14:paraId="66B96A2C"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14:paraId="722AFB2A" w14:textId="77777777" w:rsidR="00B650E5" w:rsidRDefault="00B650E5">
      <w:pPr>
        <w:numPr>
          <w:ilvl w:val="0"/>
          <w:numId w:val="158"/>
        </w:numPr>
        <w:spacing w:before="120" w:after="120"/>
        <w:ind w:left="850" w:hanging="425"/>
        <w:jc w:val="both"/>
        <w:rPr>
          <w:color w:val="000000"/>
        </w:rPr>
      </w:pPr>
      <w:r>
        <w:rPr>
          <w:color w:val="000000"/>
        </w:rPr>
        <w:t xml:space="preserve">náklady na zamestnancov, </w:t>
      </w:r>
    </w:p>
    <w:p w14:paraId="75F26AA6" w14:textId="77777777" w:rsidR="00B650E5" w:rsidRDefault="00B650E5">
      <w:pPr>
        <w:numPr>
          <w:ilvl w:val="0"/>
          <w:numId w:val="158"/>
        </w:numPr>
        <w:spacing w:before="120" w:after="120"/>
        <w:ind w:left="850" w:hanging="425"/>
        <w:jc w:val="both"/>
        <w:rPr>
          <w:color w:val="000000"/>
        </w:rPr>
      </w:pPr>
      <w:r>
        <w:rPr>
          <w:color w:val="000000"/>
        </w:rPr>
        <w:t xml:space="preserve">kancelárske a administratívne výdavky, </w:t>
      </w:r>
    </w:p>
    <w:p w14:paraId="6FF24DD3" w14:textId="77777777" w:rsidR="00B650E5" w:rsidRDefault="00B650E5">
      <w:pPr>
        <w:numPr>
          <w:ilvl w:val="0"/>
          <w:numId w:val="158"/>
        </w:numPr>
        <w:spacing w:before="120" w:after="120"/>
        <w:ind w:left="850" w:hanging="425"/>
        <w:jc w:val="both"/>
        <w:rPr>
          <w:color w:val="000000"/>
        </w:rPr>
      </w:pPr>
      <w:r>
        <w:rPr>
          <w:color w:val="000000"/>
        </w:rPr>
        <w:t xml:space="preserve">cestovné náklad a náklady na ubytovanie, </w:t>
      </w:r>
    </w:p>
    <w:p w14:paraId="3DA08AAB" w14:textId="77777777" w:rsidR="00B650E5" w:rsidRDefault="00B650E5">
      <w:pPr>
        <w:numPr>
          <w:ilvl w:val="0"/>
          <w:numId w:val="158"/>
        </w:numPr>
        <w:spacing w:before="120" w:after="120"/>
        <w:ind w:left="850" w:hanging="425"/>
        <w:jc w:val="both"/>
        <w:rPr>
          <w:color w:val="000000"/>
        </w:rPr>
      </w:pPr>
      <w:r>
        <w:rPr>
          <w:color w:val="000000"/>
        </w:rPr>
        <w:t>náklady na externú expertízu a náklady na služby,</w:t>
      </w:r>
    </w:p>
    <w:p w14:paraId="52F49511" w14:textId="77777777" w:rsidR="00B650E5" w:rsidRDefault="00B650E5">
      <w:pPr>
        <w:numPr>
          <w:ilvl w:val="0"/>
          <w:numId w:val="158"/>
        </w:numPr>
        <w:spacing w:before="120" w:after="120"/>
        <w:ind w:left="850" w:hanging="425"/>
        <w:jc w:val="both"/>
        <w:rPr>
          <w:color w:val="000000"/>
        </w:rPr>
      </w:pPr>
      <w:r>
        <w:rPr>
          <w:color w:val="000000"/>
        </w:rPr>
        <w:t xml:space="preserve">výdavky na vybavenie.  </w:t>
      </w:r>
    </w:p>
    <w:p w14:paraId="0C0789F1" w14:textId="77777777" w:rsidR="00B650E5" w:rsidRDefault="00B650E5">
      <w:pPr>
        <w:pStyle w:val="Zoznamsodrkami"/>
        <w:numPr>
          <w:ilvl w:val="0"/>
          <w:numId w:val="0"/>
        </w:numPr>
        <w:spacing w:before="120" w:after="120"/>
        <w:ind w:left="426"/>
        <w:rPr>
          <w:sz w:val="24"/>
          <w:szCs w:val="22"/>
        </w:rPr>
      </w:pPr>
      <w:r>
        <w:rPr>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14:paraId="18439116"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Osobitné pravidlá pre programy EÚS sa uplatňujú bez toho, aby boli dotknuté pravidlá oprávnenosti pre všetky EŠIF uvedené v čl. 65 až 69 všeobecného nariadenia a osobitná paušálna sadzba na zamestnancov uvedená v čl. 19 nariadenia o EÚS.</w:t>
      </w:r>
    </w:p>
    <w:p w14:paraId="7321A4BF"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14:paraId="6CBA3695" w14:textId="77777777" w:rsidR="00B650E5" w:rsidRDefault="00B650E5">
      <w:pPr>
        <w:numPr>
          <w:ilvl w:val="0"/>
          <w:numId w:val="157"/>
        </w:numPr>
        <w:autoSpaceDE w:val="0"/>
        <w:autoSpaceDN w:val="0"/>
        <w:adjustRightInd w:val="0"/>
        <w:spacing w:before="120" w:after="120"/>
        <w:ind w:left="425" w:hanging="425"/>
        <w:jc w:val="both"/>
        <w:rPr>
          <w:color w:val="000000"/>
          <w:lang w:eastAsia="en-US"/>
        </w:rPr>
      </w:pPr>
      <w:r>
        <w:rPr>
          <w:color w:val="000000"/>
          <w:lang w:eastAsia="en-US"/>
        </w:rPr>
        <w:t>Ak sa pravidlá ustanovené v delegovanom akte vzťahujú na jednu alebo viaceré PO programu EÚS (</w:t>
      </w:r>
      <w:r w:rsidR="00C93F30">
        <w:rPr>
          <w:color w:val="000000"/>
          <w:lang w:eastAsia="en-US"/>
        </w:rPr>
        <w:t xml:space="preserve">t. j. </w:t>
      </w:r>
      <w:r>
        <w:rPr>
          <w:color w:val="000000"/>
          <w:lang w:eastAsia="en-US"/>
        </w:rPr>
        <w:t xml:space="preserve"> skupina výdavkov ako napr. režijné výdavky je oprávnená), členské štáty nemôžu aplikovať iba časť týchto pravidiel.</w:t>
      </w:r>
    </w:p>
    <w:p w14:paraId="3ECCF46E" w14:textId="77777777" w:rsidR="00B650E5" w:rsidRDefault="00B650E5">
      <w:pPr>
        <w:pStyle w:val="SRK3"/>
        <w:rPr>
          <w:i/>
        </w:rPr>
      </w:pPr>
      <w:bookmarkStart w:id="519" w:name="_Toc453234084"/>
      <w:bookmarkStart w:id="520" w:name="_Toc501630131"/>
      <w:r>
        <w:t>3.5.7 Hotovostné platby</w:t>
      </w:r>
      <w:bookmarkEnd w:id="519"/>
      <w:bookmarkEnd w:id="520"/>
      <w:r>
        <w:t xml:space="preserve"> </w:t>
      </w:r>
      <w:r>
        <w:rPr>
          <w:i/>
        </w:rPr>
        <w:t xml:space="preserve">           </w:t>
      </w:r>
    </w:p>
    <w:p w14:paraId="57C9F501"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Pr>
          <w:color w:val="000000"/>
          <w:vertAlign w:val="superscript"/>
          <w:lang w:eastAsia="en-US"/>
        </w:rPr>
        <w:footnoteReference w:id="144"/>
      </w:r>
      <w:r>
        <w:rPr>
          <w:color w:val="000000"/>
          <w:lang w:eastAsia="en-US"/>
        </w:rPr>
        <w:t>.</w:t>
      </w:r>
    </w:p>
    <w:p w14:paraId="79C9076B"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lastRenderedPageBreak/>
        <w:t xml:space="preserve">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 hotovosti v jednom mesiaci nepresiahne 1 500 EUR. </w:t>
      </w:r>
    </w:p>
    <w:p w14:paraId="302E8ED4" w14:textId="77777777" w:rsidR="00B650E5" w:rsidRDefault="00B650E5">
      <w:pPr>
        <w:numPr>
          <w:ilvl w:val="0"/>
          <w:numId w:val="159"/>
        </w:numPr>
        <w:autoSpaceDE w:val="0"/>
        <w:autoSpaceDN w:val="0"/>
        <w:adjustRightInd w:val="0"/>
        <w:spacing w:before="120" w:after="120"/>
        <w:ind w:left="425" w:hanging="425"/>
        <w:jc w:val="both"/>
        <w:rPr>
          <w:color w:val="000000"/>
          <w:lang w:eastAsia="en-US"/>
        </w:rPr>
      </w:pPr>
      <w:r>
        <w:rPr>
          <w:color w:val="000000"/>
          <w:lang w:eastAsia="en-US"/>
        </w:rPr>
        <w:t xml:space="preserve">Podľa § 4 zákona o obmedzení platieb v hotovosti pri právnických osobách a fyzických osobách - podnikateľoch sa zakazuje platba v hotovosti, ktorej hodnota prevyšuje 5 000 EUR. </w:t>
      </w:r>
    </w:p>
    <w:p w14:paraId="052A37B5" w14:textId="77777777" w:rsidR="00B650E5" w:rsidRDefault="00B650E5">
      <w:pPr>
        <w:pStyle w:val="SRK3"/>
      </w:pPr>
      <w:bookmarkStart w:id="521" w:name="_Toc453234085"/>
      <w:bookmarkStart w:id="522" w:name="_Toc501630132"/>
      <w:r>
        <w:t>3.5.8 Zjednodušené vykazovanie výdavkov</w:t>
      </w:r>
      <w:bookmarkEnd w:id="521"/>
      <w:bookmarkEnd w:id="522"/>
      <w:r>
        <w:t xml:space="preserve">  </w:t>
      </w:r>
    </w:p>
    <w:p w14:paraId="3FA7C251" w14:textId="77777777" w:rsidR="00B650E5" w:rsidRDefault="00B650E5">
      <w:pPr>
        <w:numPr>
          <w:ilvl w:val="0"/>
          <w:numId w:val="276"/>
        </w:numPr>
        <w:autoSpaceDE w:val="0"/>
        <w:autoSpaceDN w:val="0"/>
        <w:adjustRightInd w:val="0"/>
        <w:spacing w:before="120" w:after="120"/>
        <w:ind w:left="426" w:hanging="426"/>
        <w:jc w:val="both"/>
        <w:rPr>
          <w:color w:val="000000"/>
          <w:lang w:eastAsia="en-US"/>
        </w:rPr>
      </w:pPr>
      <w:r>
        <w:rPr>
          <w:color w:val="000000"/>
          <w:lang w:eastAsia="en-US"/>
        </w:rPr>
        <w:t xml:space="preserve">Zjednodušené vykazovanie výdavkov je umožnené čl. 67 odsek 1 všeobecného nariadenia, ktorý znie: </w:t>
      </w:r>
    </w:p>
    <w:p w14:paraId="21D673AC" w14:textId="77777777" w:rsidR="00B650E5" w:rsidRDefault="00B650E5">
      <w:pPr>
        <w:spacing w:before="120" w:after="120"/>
        <w:ind w:left="425"/>
      </w:pPr>
      <w:r>
        <w:t>„Granty</w:t>
      </w:r>
      <w:r>
        <w:rPr>
          <w:rStyle w:val="Odkaznapoznmkupodiarou"/>
        </w:rPr>
        <w:footnoteReference w:id="145"/>
      </w:r>
      <w:r>
        <w:t>“  môžu mať jednu z týchto foriem:</w:t>
      </w:r>
    </w:p>
    <w:p w14:paraId="3B204395" w14:textId="77777777" w:rsidR="00B650E5" w:rsidRDefault="00B650E5">
      <w:pPr>
        <w:numPr>
          <w:ilvl w:val="0"/>
          <w:numId w:val="160"/>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14:paraId="5FCD8A83" w14:textId="77777777" w:rsidR="00B650E5" w:rsidRDefault="00B650E5">
      <w:pPr>
        <w:numPr>
          <w:ilvl w:val="0"/>
          <w:numId w:val="160"/>
        </w:numPr>
        <w:spacing w:before="120" w:after="120"/>
        <w:ind w:left="850" w:hanging="425"/>
        <w:jc w:val="both"/>
        <w:rPr>
          <w:color w:val="000000"/>
        </w:rPr>
      </w:pPr>
      <w:r>
        <w:rPr>
          <w:color w:val="000000"/>
        </w:rPr>
        <w:t>štandardné stupnice jednotkových výdavkov;</w:t>
      </w:r>
    </w:p>
    <w:p w14:paraId="6B47A631" w14:textId="77777777" w:rsidR="00B650E5" w:rsidRDefault="00B650E5">
      <w:pPr>
        <w:numPr>
          <w:ilvl w:val="0"/>
          <w:numId w:val="160"/>
        </w:numPr>
        <w:spacing w:before="120" w:after="120"/>
        <w:ind w:left="850" w:hanging="425"/>
        <w:jc w:val="both"/>
        <w:rPr>
          <w:color w:val="000000"/>
        </w:rPr>
      </w:pPr>
      <w:r>
        <w:rPr>
          <w:color w:val="000000"/>
        </w:rPr>
        <w:t>paušálne sumy nepresahujúce 100 000 EUR vo forme verejného príspevku;</w:t>
      </w:r>
    </w:p>
    <w:p w14:paraId="36BFA781" w14:textId="77777777" w:rsidR="00B650E5" w:rsidRDefault="00B650E5">
      <w:pPr>
        <w:numPr>
          <w:ilvl w:val="0"/>
          <w:numId w:val="160"/>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14:paraId="7189C385" w14:textId="77777777" w:rsidR="00B650E5" w:rsidRDefault="00B650E5">
      <w:pPr>
        <w:spacing w:before="120" w:after="120"/>
        <w:ind w:left="425"/>
        <w:jc w:val="both"/>
      </w:pPr>
      <w:r>
        <w:t>Vyššie uvedené možnosti možno kombinovať iba vtedy, ak sa každá vzťahuje na rôzne kategórie výdavkov alebo ak sa použijú na rôzne projekty, ktoré tvoria súčasť operácie alebo za sebou nasledujúce fázy operácie.</w:t>
      </w:r>
    </w:p>
    <w:p w14:paraId="4D1EC658"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Ak sa operácia alebo projekt, ktorý tvorí súčasť operácie, vykonáva výhradne prostredníctvom obstarávania prác, tovarov alebo služieb, uplatňuje sa iba možnosť podľa písm. a). Ak sa obstarávanie v rámci operácie alebo projektu, ktorý tvorí časť operácie obmedzuje len na určité kategórie výdavkov, môžu sa uplatniť všetky vyššie uvedené možnosti.</w:t>
      </w:r>
    </w:p>
    <w:p w14:paraId="30ABEFB7"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 xml:space="preserve">Sumy/sadzby, s ktorými uvedené metódy zjednodušeného vykazovania výdavkov pracujú, je potrebné určiť na základe: </w:t>
      </w:r>
    </w:p>
    <w:p w14:paraId="4F181FD6" w14:textId="77777777" w:rsidR="00B650E5" w:rsidRDefault="00B650E5">
      <w:pPr>
        <w:numPr>
          <w:ilvl w:val="0"/>
          <w:numId w:val="161"/>
        </w:numPr>
        <w:spacing w:before="120" w:after="120"/>
        <w:ind w:left="850" w:hanging="425"/>
        <w:jc w:val="both"/>
        <w:rPr>
          <w:color w:val="000000"/>
        </w:rPr>
      </w:pPr>
      <w:r>
        <w:rPr>
          <w:color w:val="000000"/>
        </w:rPr>
        <w:t>spravodlivej, primeranej a overiteľnej metódy výpočtu založenej na štatistických údajoch alebo iných objektívnych informáciách, alebo overiteľných údajoch o jednotlivých prijímateľoch, alebo na základe uplatnenia ich zvyčajných postupov pre účtovanie výdavkov;</w:t>
      </w:r>
    </w:p>
    <w:p w14:paraId="6B8A4535"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14:paraId="328DF4BF" w14:textId="77777777" w:rsidR="00B650E5" w:rsidRDefault="00B650E5">
      <w:pPr>
        <w:numPr>
          <w:ilvl w:val="0"/>
          <w:numId w:val="161"/>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14:paraId="0AF30BD9" w14:textId="77777777" w:rsidR="00B650E5" w:rsidRDefault="00B650E5">
      <w:pPr>
        <w:numPr>
          <w:ilvl w:val="0"/>
          <w:numId w:val="161"/>
        </w:numPr>
        <w:spacing w:before="120" w:after="120"/>
        <w:ind w:left="850" w:hanging="425"/>
        <w:jc w:val="both"/>
        <w:rPr>
          <w:color w:val="000000"/>
        </w:rPr>
      </w:pPr>
      <w:r>
        <w:rPr>
          <w:color w:val="000000"/>
        </w:rPr>
        <w:t>sadzieb stanovených všeobecným nariadením alebo na základe pravidiel pre jednotlivé EŠIF.</w:t>
      </w:r>
    </w:p>
    <w:p w14:paraId="291A29BF"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poskytuje príspevok alebo jeho časť prijímateľovi formou zjednodušeného vykazovania výdavkov podľa osobitných predpisov</w:t>
      </w:r>
      <w:r>
        <w:rPr>
          <w:rStyle w:val="Odkaznapoznmkupodiarou"/>
          <w:color w:val="000000"/>
          <w:lang w:eastAsia="en-US"/>
        </w:rPr>
        <w:footnoteReference w:id="146"/>
      </w:r>
      <w:r w:rsidRPr="001B709E">
        <w:rPr>
          <w:color w:val="000000"/>
          <w:lang w:eastAsia="en-US"/>
        </w:rPr>
        <w:t xml:space="preserve"> podľa metodiky zjednodušeného vykazovania výdavkov vypracovanej </w:t>
      </w:r>
      <w:r>
        <w:rPr>
          <w:color w:val="000000"/>
          <w:lang w:eastAsia="en-US"/>
        </w:rPr>
        <w:t>RO</w:t>
      </w:r>
      <w:r w:rsidRPr="001B709E">
        <w:rPr>
          <w:color w:val="000000"/>
          <w:lang w:eastAsia="en-US"/>
        </w:rPr>
        <w:t>. Metodika zjednodušeného vykazovania výdavkov obsahuje najmä:</w:t>
      </w:r>
    </w:p>
    <w:p w14:paraId="6BC05AC7" w14:textId="77777777" w:rsidR="00B650E5" w:rsidRDefault="00B650E5" w:rsidP="001B709E">
      <w:pPr>
        <w:numPr>
          <w:ilvl w:val="0"/>
          <w:numId w:val="407"/>
        </w:numPr>
        <w:spacing w:before="120" w:after="120"/>
        <w:ind w:left="714" w:hanging="357"/>
        <w:jc w:val="both"/>
      </w:pPr>
      <w:bookmarkStart w:id="523" w:name="kapitola_358_ods_4a"/>
      <w:r w:rsidRPr="00AD420A">
        <w:lastRenderedPageBreak/>
        <w:t xml:space="preserve">podmienky uplatnenia zjednodušeného vykazovania výdavkov vrátane ustanovenia podmienok oprávnenosti výdavkov, </w:t>
      </w:r>
    </w:p>
    <w:bookmarkEnd w:id="523"/>
    <w:p w14:paraId="4D676EB1" w14:textId="77777777" w:rsidR="00B650E5" w:rsidRDefault="00B650E5" w:rsidP="001B709E">
      <w:pPr>
        <w:numPr>
          <w:ilvl w:val="0"/>
          <w:numId w:val="407"/>
        </w:numPr>
        <w:spacing w:before="120" w:after="120"/>
        <w:ind w:left="714" w:hanging="357"/>
        <w:jc w:val="both"/>
      </w:pPr>
      <w:r w:rsidRPr="00AD420A">
        <w:t>metodiku ustanovenia výšky oprávnených výdavkov</w:t>
      </w:r>
      <w:r w:rsidR="00664983">
        <w:rPr>
          <w:rStyle w:val="Odkaznapoznmkupodiarou"/>
          <w:color w:val="000000"/>
        </w:rPr>
        <w:footnoteReference w:id="147"/>
      </w:r>
      <w:r w:rsidRPr="00AD420A">
        <w:t xml:space="preserve"> a  </w:t>
      </w:r>
    </w:p>
    <w:p w14:paraId="140E5372" w14:textId="77777777" w:rsidR="00B650E5" w:rsidRDefault="00B650E5" w:rsidP="001B709E">
      <w:pPr>
        <w:numPr>
          <w:ilvl w:val="0"/>
          <w:numId w:val="407"/>
        </w:numPr>
        <w:spacing w:before="120" w:after="120"/>
        <w:ind w:left="714" w:hanging="357"/>
        <w:jc w:val="both"/>
      </w:pPr>
      <w:bookmarkStart w:id="524" w:name="kapitola_358_ods_4c"/>
      <w:r w:rsidRPr="00AD420A">
        <w:t xml:space="preserve">spôsob výkonu kontroly. </w:t>
      </w:r>
    </w:p>
    <w:bookmarkEnd w:id="524"/>
    <w:p w14:paraId="04A3F969"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uvedie podmienky uplatnenia zjednodušeného vykazovania výdavkov podľa </w:t>
      </w:r>
      <w:hyperlink w:anchor="kapitola_358_ods_4a" w:tooltip="ods. 4 písm. a)"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a)</w:t>
        </w:r>
      </w:hyperlink>
      <w:r w:rsidRPr="001B709E">
        <w:rPr>
          <w:color w:val="000000"/>
          <w:lang w:eastAsia="en-US"/>
        </w:rPr>
        <w:t xml:space="preserve"> a spôsob výkonu kontroly podľa </w:t>
      </w:r>
      <w:hyperlink w:anchor="kapitola_358_ods_4c" w:tooltip="ods. 4 písm. c)" w:history="1">
        <w:r w:rsidRPr="001B709E">
          <w:rPr>
            <w:rStyle w:val="Hypertextovprepojenie"/>
            <w:lang w:eastAsia="en-US"/>
          </w:rPr>
          <w:t xml:space="preserve">ods. </w:t>
        </w:r>
        <w:r w:rsidRPr="00EA316A">
          <w:rPr>
            <w:rStyle w:val="Hypertextovprepojenie"/>
            <w:lang w:eastAsia="en-US"/>
          </w:rPr>
          <w:t xml:space="preserve">4 </w:t>
        </w:r>
        <w:r w:rsidRPr="001B709E">
          <w:rPr>
            <w:rStyle w:val="Hypertextovprepojenie"/>
            <w:lang w:eastAsia="en-US"/>
          </w:rPr>
          <w:t>písm. c)</w:t>
        </w:r>
      </w:hyperlink>
      <w:r w:rsidRPr="001B709E">
        <w:rPr>
          <w:color w:val="000000"/>
          <w:lang w:eastAsia="en-US"/>
        </w:rPr>
        <w:t xml:space="preserve"> vo výzve alebo vyzvaní.</w:t>
      </w:r>
    </w:p>
    <w:p w14:paraId="21A3DF14"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RO</w:t>
      </w:r>
      <w:r w:rsidRPr="001B709E">
        <w:rPr>
          <w:color w:val="000000"/>
          <w:lang w:eastAsia="en-US"/>
        </w:rPr>
        <w:t xml:space="preserve"> pri výkone kontroly splnenia podmienok oprávnenosti výdavkov overuje najmä dosiahnutie výstupov alebo uskutočnenie procesov, pričom uvedeným konaním nie je dotknuté právo </w:t>
      </w:r>
      <w:r>
        <w:rPr>
          <w:color w:val="000000"/>
          <w:lang w:eastAsia="en-US"/>
        </w:rPr>
        <w:t>RO</w:t>
      </w:r>
      <w:r w:rsidRPr="001B709E">
        <w:rPr>
          <w:color w:val="000000"/>
          <w:lang w:eastAsia="en-US"/>
        </w:rPr>
        <w:t xml:space="preserve"> v</w:t>
      </w:r>
      <w:r w:rsidR="008520E6">
        <w:rPr>
          <w:color w:val="000000"/>
          <w:lang w:eastAsia="en-US"/>
        </w:rPr>
        <w:t> </w:t>
      </w:r>
      <w:r w:rsidRPr="001B709E">
        <w:rPr>
          <w:color w:val="000000"/>
          <w:lang w:eastAsia="en-US"/>
        </w:rPr>
        <w:t>odôvodnených prípadoch</w:t>
      </w:r>
      <w:r>
        <w:rPr>
          <w:rStyle w:val="Odkaznapoznmkupodiarou"/>
          <w:color w:val="000000"/>
          <w:lang w:eastAsia="en-US"/>
        </w:rPr>
        <w:footnoteReference w:id="148"/>
      </w:r>
      <w:r>
        <w:rPr>
          <w:color w:val="000000"/>
          <w:lang w:eastAsia="en-US"/>
        </w:rPr>
        <w:t xml:space="preserve"> </w:t>
      </w:r>
      <w:r w:rsidRPr="001B709E">
        <w:rPr>
          <w:color w:val="000000"/>
          <w:lang w:eastAsia="en-US"/>
        </w:rPr>
        <w:t xml:space="preserve">overiť ďalšie skutočnosti súvisiace s projektom. </w:t>
      </w:r>
      <w:r>
        <w:rPr>
          <w:color w:val="000000"/>
          <w:lang w:eastAsia="en-US"/>
        </w:rPr>
        <w:t>RO</w:t>
      </w:r>
      <w:r w:rsidRPr="001B709E">
        <w:rPr>
          <w:color w:val="000000"/>
          <w:lang w:eastAsia="en-US"/>
        </w:rPr>
        <w:t xml:space="preserve"> neoveruje výdavky skutočne vynaložené prijímateľom. </w:t>
      </w:r>
    </w:p>
    <w:p w14:paraId="26B1C301"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Kontrola podľa predchádzajúcich odsekov sa vykonáva postupom podľa osobitného predpisu.</w:t>
      </w:r>
      <w:r>
        <w:rPr>
          <w:rStyle w:val="Odkaznapoznmkupodiarou"/>
          <w:color w:val="000000"/>
          <w:lang w:eastAsia="en-US"/>
        </w:rPr>
        <w:footnoteReference w:id="149"/>
      </w:r>
      <w:r w:rsidRPr="001B709E">
        <w:rPr>
          <w:color w:val="000000"/>
          <w:lang w:eastAsia="en-US"/>
        </w:rPr>
        <w:t xml:space="preserve"> </w:t>
      </w:r>
    </w:p>
    <w:p w14:paraId="0C92D4CF" w14:textId="77777777" w:rsidR="00B650E5" w:rsidRPr="001B709E" w:rsidRDefault="00B650E5" w:rsidP="001B709E">
      <w:pPr>
        <w:numPr>
          <w:ilvl w:val="0"/>
          <w:numId w:val="276"/>
        </w:numPr>
        <w:autoSpaceDE w:val="0"/>
        <w:autoSpaceDN w:val="0"/>
        <w:adjustRightInd w:val="0"/>
        <w:spacing w:before="120" w:after="120"/>
        <w:ind w:left="425" w:hanging="425"/>
        <w:jc w:val="both"/>
        <w:rPr>
          <w:color w:val="000000"/>
          <w:lang w:eastAsia="en-US"/>
        </w:rPr>
      </w:pPr>
      <w:r w:rsidRPr="001B709E">
        <w:rPr>
          <w:color w:val="000000"/>
          <w:lang w:eastAsia="en-US"/>
        </w:rPr>
        <w:t>Predchádzajúcimi odsekmi nie sú dotknuté povinnosti prijímateľa vyplývajúce z osobitných predpisov.</w:t>
      </w:r>
      <w:r>
        <w:rPr>
          <w:rStyle w:val="Odkaznapoznmkupodiarou"/>
          <w:color w:val="000000"/>
          <w:lang w:eastAsia="en-US"/>
        </w:rPr>
        <w:footnoteReference w:id="150"/>
      </w:r>
    </w:p>
    <w:p w14:paraId="77FABBB3"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V súlade s čl. 68 všeobecného nariadenia, ak realizácia projektu vedie k nepriamym výdavkom, výšku týchto výdavkov možno vypočítať ako paušálnu sadzbu jedným z nasledujúcich spôsobov:</w:t>
      </w:r>
    </w:p>
    <w:p w14:paraId="68FFAC33" w14:textId="77777777" w:rsidR="00B650E5" w:rsidRDefault="00B650E5">
      <w:pPr>
        <w:numPr>
          <w:ilvl w:val="0"/>
          <w:numId w:val="162"/>
        </w:numPr>
        <w:spacing w:before="120" w:after="120"/>
        <w:ind w:left="850" w:hanging="425"/>
        <w:jc w:val="both"/>
        <w:rPr>
          <w:color w:val="000000"/>
        </w:rPr>
      </w:pPr>
      <w:r>
        <w:rPr>
          <w:color w:val="000000"/>
        </w:rPr>
        <w:t>ako paušálnu sadzbu až do výšky 25</w:t>
      </w:r>
      <w:r w:rsidR="00C93F30">
        <w:rPr>
          <w:color w:val="000000"/>
        </w:rPr>
        <w:t xml:space="preserve"> </w:t>
      </w:r>
      <w:r>
        <w:rPr>
          <w:color w:val="000000"/>
        </w:rPr>
        <w:t>% oprávnených priamych výdavkov pod podmienkou, že táto sadzba sa vypočíta pomocou spravodlivej, nestrannej a overiteľnej metódy výpočtu alebo pomocou metódy uplatňovanej v prípade grantových schém financovaných výlučne členským štátom pri podobnom type projektu a prijímateľa;</w:t>
      </w:r>
    </w:p>
    <w:p w14:paraId="337E0934" w14:textId="77777777" w:rsidR="00B650E5" w:rsidRDefault="00B650E5">
      <w:pPr>
        <w:numPr>
          <w:ilvl w:val="0"/>
          <w:numId w:val="162"/>
        </w:numPr>
        <w:spacing w:before="120" w:after="120"/>
        <w:ind w:left="850" w:hanging="425"/>
        <w:jc w:val="both"/>
        <w:rPr>
          <w:color w:val="000000"/>
        </w:rPr>
      </w:pPr>
      <w:r>
        <w:rPr>
          <w:color w:val="000000"/>
        </w:rPr>
        <w:t>ako paušálnu sadzbu až do výšky 15</w:t>
      </w:r>
      <w:r w:rsidR="00C93F30">
        <w:rPr>
          <w:color w:val="000000"/>
        </w:rPr>
        <w:t xml:space="preserve"> </w:t>
      </w:r>
      <w:r>
        <w:rPr>
          <w:color w:val="000000"/>
        </w:rPr>
        <w:t>% oprávnených priamych výdavkov na zamestnancov bez požiadavky, aby členský štát vykonal akýkoľvek výpočet na stanovenie uplatniteľnej sadzby;</w:t>
      </w:r>
    </w:p>
    <w:p w14:paraId="0533E038" w14:textId="77777777" w:rsidR="00B650E5" w:rsidRDefault="00B650E5">
      <w:pPr>
        <w:numPr>
          <w:ilvl w:val="0"/>
          <w:numId w:val="162"/>
        </w:numPr>
        <w:spacing w:before="120" w:after="120"/>
        <w:ind w:left="850" w:hanging="425"/>
        <w:jc w:val="both"/>
        <w:rPr>
          <w:color w:val="000000"/>
        </w:rPr>
      </w:pPr>
      <w:r>
        <w:rPr>
          <w:color w:val="000000"/>
        </w:rPr>
        <w:t>ako paušálnu sadzbu uplatňovanú na oprávnené priame výdavky pomocou existujúcich metód a príslušných sadzieb uplatňovaných v prípade politík EÚ pri podobnom type projektu a prijímateľa (</w:t>
      </w:r>
      <w:r>
        <w:t>článok 20 a 21 delegovaného nariadenia Komisie č. 480/2014)</w:t>
      </w:r>
      <w:r>
        <w:rPr>
          <w:color w:val="000000"/>
        </w:rPr>
        <w:t>.</w:t>
      </w:r>
    </w:p>
    <w:p w14:paraId="322D6D08"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r>
        <w:rPr>
          <w:color w:val="000000"/>
          <w:lang w:eastAsia="en-US"/>
        </w:rPr>
        <w:t>Možnosť uplatnenia zjednodušeného vykazovania oprávnených výdavkov sa vzťahuje na všetky EŠIF.</w:t>
      </w:r>
    </w:p>
    <w:p w14:paraId="13BC9796" w14:textId="77777777" w:rsidR="00B650E5" w:rsidRDefault="00B650E5">
      <w:pPr>
        <w:numPr>
          <w:ilvl w:val="0"/>
          <w:numId w:val="276"/>
        </w:numPr>
        <w:autoSpaceDE w:val="0"/>
        <w:autoSpaceDN w:val="0"/>
        <w:adjustRightInd w:val="0"/>
        <w:spacing w:before="120" w:after="120"/>
        <w:ind w:left="425" w:hanging="425"/>
        <w:jc w:val="both"/>
        <w:rPr>
          <w:color w:val="000000"/>
          <w:lang w:eastAsia="en-US"/>
        </w:rPr>
      </w:pPr>
      <w:bookmarkStart w:id="525" w:name="kapitola_358_ods_7"/>
      <w:r>
        <w:t>V rámci OP financovaných z fondov môže RO stanoviť (vrátane pravidiel a podmienok uplatňovania), že prijímateľ predkladá spolu so ŽoP len sumarizačné hárky</w:t>
      </w:r>
      <w:r>
        <w:rPr>
          <w:rStyle w:val="Odkaznapoznmkupodiarou"/>
        </w:rPr>
        <w:footnoteReference w:id="151"/>
      </w:r>
      <w:r>
        <w:t xml:space="preserve"> stanovené RO za nasledovné druhy výdavkov:</w:t>
      </w:r>
    </w:p>
    <w:bookmarkEnd w:id="525"/>
    <w:p w14:paraId="45101A80" w14:textId="77777777" w:rsidR="00B650E5" w:rsidRDefault="00B650E5">
      <w:pPr>
        <w:numPr>
          <w:ilvl w:val="0"/>
          <w:numId w:val="347"/>
        </w:numPr>
        <w:tabs>
          <w:tab w:val="clear" w:pos="720"/>
        </w:tabs>
        <w:autoSpaceDE w:val="0"/>
        <w:autoSpaceDN w:val="0"/>
        <w:adjustRightInd w:val="0"/>
        <w:spacing w:before="120" w:after="120"/>
        <w:ind w:left="851" w:hanging="425"/>
        <w:jc w:val="both"/>
      </w:pPr>
      <w:r>
        <w:t>oblasť pracovno-právnych vzťahov (mzda (plat) vrátane odvodov za zamestnávateľa, odmeny za prácu, náhrady mzdy pre frekventantov);</w:t>
      </w:r>
    </w:p>
    <w:p w14:paraId="15D58582" w14:textId="77777777" w:rsidR="00B650E5" w:rsidRDefault="00B650E5">
      <w:pPr>
        <w:numPr>
          <w:ilvl w:val="0"/>
          <w:numId w:val="347"/>
        </w:numPr>
        <w:tabs>
          <w:tab w:val="clear" w:pos="720"/>
        </w:tabs>
        <w:autoSpaceDE w:val="0"/>
        <w:autoSpaceDN w:val="0"/>
        <w:adjustRightInd w:val="0"/>
        <w:spacing w:before="120" w:after="120"/>
        <w:ind w:left="851" w:hanging="425"/>
        <w:jc w:val="both"/>
      </w:pPr>
      <w:r>
        <w:t>doktorandské štipendiá;</w:t>
      </w:r>
    </w:p>
    <w:p w14:paraId="3B6F7A02" w14:textId="77777777" w:rsidR="00B650E5" w:rsidRDefault="00B650E5">
      <w:pPr>
        <w:numPr>
          <w:ilvl w:val="0"/>
          <w:numId w:val="347"/>
        </w:numPr>
        <w:tabs>
          <w:tab w:val="clear" w:pos="720"/>
        </w:tabs>
        <w:autoSpaceDE w:val="0"/>
        <w:autoSpaceDN w:val="0"/>
        <w:adjustRightInd w:val="0"/>
        <w:spacing w:before="120" w:after="120"/>
        <w:ind w:left="851" w:hanging="425"/>
        <w:jc w:val="both"/>
      </w:pPr>
      <w:r>
        <w:t>cestovné náhrady odborného, riadiaceho a administratívneho personálu (nie na základe dodávateľsko-odberateľských vzťahov);</w:t>
      </w:r>
    </w:p>
    <w:p w14:paraId="3EA877E4" w14:textId="77777777" w:rsidR="00B650E5" w:rsidRDefault="00B650E5">
      <w:pPr>
        <w:numPr>
          <w:ilvl w:val="0"/>
          <w:numId w:val="347"/>
        </w:numPr>
        <w:tabs>
          <w:tab w:val="clear" w:pos="720"/>
        </w:tabs>
        <w:autoSpaceDE w:val="0"/>
        <w:autoSpaceDN w:val="0"/>
        <w:adjustRightInd w:val="0"/>
        <w:spacing w:before="120" w:after="120"/>
        <w:ind w:left="851" w:hanging="425"/>
        <w:jc w:val="both"/>
      </w:pPr>
      <w:r>
        <w:lastRenderedPageBreak/>
        <w:t>cestovné náhrady pre oprávnenú cieľovú skupinu (nie na základe dodávateľsko-odberateľských vzťahov);</w:t>
      </w:r>
    </w:p>
    <w:p w14:paraId="600C4583" w14:textId="77777777" w:rsidR="00B650E5" w:rsidRDefault="00B650E5">
      <w:pPr>
        <w:numPr>
          <w:ilvl w:val="0"/>
          <w:numId w:val="347"/>
        </w:numPr>
        <w:tabs>
          <w:tab w:val="clear" w:pos="720"/>
        </w:tabs>
        <w:autoSpaceDE w:val="0"/>
        <w:autoSpaceDN w:val="0"/>
        <w:adjustRightInd w:val="0"/>
        <w:spacing w:before="120" w:after="120"/>
        <w:ind w:left="851" w:hanging="425"/>
        <w:jc w:val="both"/>
      </w:pPr>
      <w:r>
        <w:t>pohonné hmoty, ak nie sú obsiahnuté v cestovných náhradách (aplikuje sa pre služobné motorové vozidlá).</w:t>
      </w:r>
    </w:p>
    <w:p w14:paraId="51D38AB4"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pPr>
      <w:r>
        <w:t>V rámci OP financovaných z fondov môže RO stanoviť (vrátane pravidiel a podmienok uplatňovania), že prijímateľ predkladá spolu so   ŽoP len sumarizačné hárky</w:t>
      </w:r>
      <w:r>
        <w:rPr>
          <w:rStyle w:val="Odkaznapoznmkupodiarou"/>
        </w:rPr>
        <w:footnoteReference w:id="152"/>
      </w:r>
      <w:r>
        <w:t xml:space="preserve"> stanovené RO za</w:t>
      </w:r>
      <w:r w:rsidR="008520E6">
        <w:t> </w:t>
      </w:r>
      <w:r>
        <w:t>špecifikované druhy oprávnených výdavkov projektu (ide o iné druhy výdavkov ako sú uvedené v </w:t>
      </w:r>
      <w:hyperlink w:anchor="kapitola_358_ods_7" w:tooltip="ods. 7" w:history="1">
        <w:r>
          <w:rPr>
            <w:rStyle w:val="Hypertextovprepojenie"/>
          </w:rPr>
          <w:t xml:space="preserve">ods. </w:t>
        </w:r>
        <w:r w:rsidR="00443541">
          <w:rPr>
            <w:rStyle w:val="Hypertextovprepojenie"/>
          </w:rPr>
          <w:t>11</w:t>
        </w:r>
      </w:hyperlink>
      <w:r>
        <w:t>), ktorých cena (buď jednotková alebo kumulatívna za všetky výdavky na</w:t>
      </w:r>
      <w:r w:rsidR="008520E6">
        <w:t> </w:t>
      </w:r>
      <w:r>
        <w:t xml:space="preserve">zodpovedajúcom účtovnom doklade) nie je vyššia ako 500 EUR. </w:t>
      </w:r>
    </w:p>
    <w:p w14:paraId="3B7D0C9C" w14:textId="77777777" w:rsidR="00B650E5" w:rsidRDefault="00B650E5">
      <w:pPr>
        <w:pStyle w:val="Odsekzoznamu"/>
        <w:numPr>
          <w:ilvl w:val="0"/>
          <w:numId w:val="276"/>
        </w:numPr>
        <w:autoSpaceDE w:val="0"/>
        <w:autoSpaceDN w:val="0"/>
        <w:adjustRightInd w:val="0"/>
        <w:spacing w:before="120" w:after="120"/>
        <w:ind w:left="426" w:hanging="426"/>
        <w:contextualSpacing w:val="0"/>
        <w:jc w:val="both"/>
      </w:pPr>
      <w:r>
        <w:t>Pri aplikovaní vykazovania určitých druhov výdavkov prostredníctvom sumarizačných hárkov RO sú aj naďalej zodpovedné za dodržiavanie podmienok ustanovených v čl. 72 a čl. 125 ods. 4 všeobecného nariadenia.</w:t>
      </w:r>
    </w:p>
    <w:p w14:paraId="475981C1" w14:textId="77777777" w:rsidR="00B650E5" w:rsidRDefault="00B650E5">
      <w:pPr>
        <w:pStyle w:val="SRK3"/>
      </w:pPr>
      <w:bookmarkStart w:id="526" w:name="_Toc453234086"/>
      <w:bookmarkStart w:id="527" w:name="_Toc501630133"/>
      <w:r>
        <w:t>3.5.9 Dodatočné pravidlá zjednodušeného vykazovania výdavkov platné pre ESF a pre cieľ EÚS</w:t>
      </w:r>
      <w:bookmarkEnd w:id="526"/>
      <w:bookmarkEnd w:id="527"/>
      <w:r>
        <w:t xml:space="preserve">  </w:t>
      </w:r>
    </w:p>
    <w:p w14:paraId="4FD3B516"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bookmarkStart w:id="528" w:name="_Toc378947533"/>
      <w:r>
        <w:rPr>
          <w:color w:val="000000"/>
          <w:lang w:eastAsia="en-US"/>
        </w:rPr>
        <w:t>V zmysle čl. 14 nariadenia o ESF, okrem metód uvedených v čl. 67 všeobecného nariadenia, EK môže uhradiť výdavky zaplatené členskými štátmi na základe štandardnej stupnice jednotkových výdavkov a paušálnych súm vymedzených EK. Sumy vypočítané na tomto základe sa pokladajú za verejnú podporu vyplatenú prijímateľom a za oprávnené výdavky.</w:t>
      </w:r>
    </w:p>
    <w:p w14:paraId="07D6DD05"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14:paraId="58E9BBFE"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Finančný audit je zameraný výlučne na overenie splnenia podmienok pre úhradu výdavkov EK na základe štandardnej stupnice jednotkových výdavkov a paušálnych súm.</w:t>
      </w:r>
    </w:p>
    <w:p w14:paraId="19DDDB70"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14:paraId="6F381B32"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V súlade s čl. 67 ods. 1 písm. d) a ods. 5 písm. d) všeobecného nariadenia sa môže použiť paušálna suma do výšky 40</w:t>
      </w:r>
      <w:r w:rsidR="00C93F30">
        <w:rPr>
          <w:color w:val="000000"/>
          <w:lang w:eastAsia="en-US"/>
        </w:rPr>
        <w:t xml:space="preserve"> </w:t>
      </w:r>
      <w:r>
        <w:rPr>
          <w:color w:val="000000"/>
          <w:lang w:eastAsia="en-US"/>
        </w:rPr>
        <w:t>% priamych nákladov na zamestnancov, aby sa pokryli zostávajúce oprávnené výdavky na projekt, a to bez požiadavky, aby RO vykonal akýkoľvek výpočet na stanovenie uplatniteľnej sadzby.</w:t>
      </w:r>
    </w:p>
    <w:p w14:paraId="56784041"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t xml:space="preserve">Ak verejná podpora na granty a návratnú pomoc nepresahuje 100 000 EUR, sumy uvedené v článku 67 ods. 1 písm. b), c) a d) všeobecného nariadenia možno okrem využitia metód stanovených v článku 67 ods. 5 všeobecného nariadenia stanoviť aj na základe každého konkrétneho prípadu s odvolaním sa na návrh rozpočtu schválený ex ante RO. Bez toho, aby bol dotknutý článok 67 ods. 4 všeobecného nariadenia, granty, v prípade ktorých verejná podpora nepresahuje 50 000 EUR, sú vo forme paušálnych súm, štandardných stupníc jednotkových výdavkov alebo paušálnych sadzieb s výnimkou projektov, ktoré sú podporované v rámci schémy štátnej pomoci.  Ak sa využíva paušálne financovanie, kategórie výdavkov, ktoré sa používajú na výpočet sadzby, sa môžu uhrádzať v súlade s článkom 67 ods. 1 písm. a) všeobecného nariadenia, </w:t>
      </w:r>
      <w:r w:rsidR="00C93F30">
        <w:rPr>
          <w:color w:val="000000"/>
          <w:lang w:eastAsia="en-US"/>
        </w:rPr>
        <w:t xml:space="preserve">t. j. </w:t>
      </w:r>
      <w:r>
        <w:rPr>
          <w:color w:val="000000"/>
          <w:lang w:eastAsia="en-US"/>
        </w:rPr>
        <w:t xml:space="preserve"> na základe skutočne vynaložených a zaplatených výdavkov vrátane vecných príspevkov a odpisov.</w:t>
      </w:r>
    </w:p>
    <w:p w14:paraId="5E45D773" w14:textId="77777777" w:rsidR="00B650E5" w:rsidRDefault="00B650E5">
      <w:pPr>
        <w:numPr>
          <w:ilvl w:val="0"/>
          <w:numId w:val="163"/>
        </w:numPr>
        <w:autoSpaceDE w:val="0"/>
        <w:autoSpaceDN w:val="0"/>
        <w:adjustRightInd w:val="0"/>
        <w:spacing w:before="120" w:after="120"/>
        <w:ind w:left="425" w:hanging="425"/>
        <w:jc w:val="both"/>
        <w:rPr>
          <w:color w:val="000000"/>
          <w:lang w:eastAsia="en-US"/>
        </w:rPr>
      </w:pPr>
      <w:r>
        <w:rPr>
          <w:color w:val="000000"/>
          <w:lang w:eastAsia="en-US"/>
        </w:rPr>
        <w:lastRenderedPageBreak/>
        <w:t>V zmysle čl. 19 nariadenia o EÚS výdavky na zamestnancov v rámci projektu možno vypočítať paušálnou sadzbou až do výšky 20</w:t>
      </w:r>
      <w:r w:rsidR="00C93F30">
        <w:rPr>
          <w:color w:val="000000"/>
          <w:lang w:eastAsia="en-US"/>
        </w:rPr>
        <w:t xml:space="preserve"> </w:t>
      </w:r>
      <w:r>
        <w:rPr>
          <w:color w:val="000000"/>
          <w:lang w:eastAsia="en-US"/>
        </w:rPr>
        <w:t>% priamych nákladov na projekt po odpočítaní nákladov na zamestnancov.</w:t>
      </w:r>
    </w:p>
    <w:p w14:paraId="38674ED0" w14:textId="77777777" w:rsidR="00B650E5" w:rsidRPr="009078F6" w:rsidRDefault="00B650E5" w:rsidP="00DE5D89">
      <w:pPr>
        <w:pStyle w:val="SRK3"/>
      </w:pPr>
      <w:bookmarkStart w:id="529" w:name="_Toc453234087"/>
      <w:bookmarkStart w:id="530" w:name="_Toc501630134"/>
      <w:bookmarkStart w:id="531" w:name="kapitola_3510"/>
      <w:r>
        <w:t xml:space="preserve">3.5.10 </w:t>
      </w:r>
      <w:r w:rsidRPr="009078F6">
        <w:t>Pravidlá oprávnenosti v súvislosti s preddavkovými platbami</w:t>
      </w:r>
      <w:bookmarkEnd w:id="529"/>
      <w:bookmarkEnd w:id="530"/>
      <w:r w:rsidRPr="009078F6">
        <w:t xml:space="preserve">  </w:t>
      </w:r>
    </w:p>
    <w:bookmarkEnd w:id="531"/>
    <w:p w14:paraId="6E475AF3"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 xml:space="preserve">úhrada finančných prostriedkov zo strany prijímateľa v prospech dodávateľa vopred, </w:t>
      </w:r>
      <w:r w:rsidR="00C93F30">
        <w:rPr>
          <w:rFonts w:cs="Arial"/>
          <w:szCs w:val="20"/>
        </w:rPr>
        <w:t xml:space="preserve">t. j. </w:t>
      </w:r>
      <w:r w:rsidRPr="00DE5D89">
        <w:rPr>
          <w:rFonts w:cs="Arial"/>
          <w:szCs w:val="20"/>
        </w:rPr>
        <w:t xml:space="preserve"> pred dodaním dohodnutých tovarov/ poskytnutím služieb 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xml:space="preserve">. Preddavková platba sa vzťahuje na obchodné vzťahy medzi prijímateľom a dodávateľom, pričom samotný systém platieb na úrovni RO – prijímateľ, </w:t>
      </w:r>
      <w:r w:rsidR="00C93F30">
        <w:rPr>
          <w:rFonts w:cs="Arial"/>
          <w:szCs w:val="20"/>
        </w:rPr>
        <w:t xml:space="preserve">t. j. </w:t>
      </w:r>
      <w:r>
        <w:rPr>
          <w:rFonts w:cs="Arial"/>
          <w:szCs w:val="20"/>
        </w:rPr>
        <w:t xml:space="preserve"> predfinancovanie, zálohové platby, refundácia týmto nie je dotknutý </w:t>
      </w:r>
      <w:r w:rsidRPr="009078F6">
        <w:rPr>
          <w:rFonts w:cs="Arial"/>
          <w:szCs w:val="20"/>
        </w:rPr>
        <w:t>a  preddavkové platby je možné využiť v rámci každého systému financovania. P</w:t>
      </w:r>
      <w:r>
        <w:rPr>
          <w:rFonts w:cs="Arial"/>
          <w:szCs w:val="20"/>
        </w:rPr>
        <w:t>reddavkovou platbou sa nefinancujú podporné aktivity projektu.</w:t>
      </w:r>
    </w:p>
    <w:p w14:paraId="427910DE" w14:textId="77777777" w:rsidR="00B650E5" w:rsidRDefault="00B650E5" w:rsidP="00DE5D89">
      <w:pPr>
        <w:numPr>
          <w:ilvl w:val="0"/>
          <w:numId w:val="380"/>
        </w:numPr>
        <w:tabs>
          <w:tab w:val="clear" w:pos="360"/>
        </w:tabs>
        <w:spacing w:before="120" w:after="120"/>
        <w:ind w:left="426" w:hanging="426"/>
        <w:jc w:val="both"/>
        <w:rPr>
          <w:rFonts w:cs="Arial"/>
          <w:szCs w:val="20"/>
        </w:rPr>
      </w:pPr>
      <w:r>
        <w:rPr>
          <w:rFonts w:cs="Arial"/>
          <w:szCs w:val="20"/>
        </w:rPr>
        <w:t>Vo vzťahu k posúdeniu oprávnenosti výdavkov, ktoré vznikli na základe preddavkových platieb je potrebné dodržať nasledujúce pravidlá:</w:t>
      </w:r>
    </w:p>
    <w:p w14:paraId="3988E067"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Úhrada preddavkovej platby, </w:t>
      </w:r>
      <w:r w:rsidR="00C93F30">
        <w:rPr>
          <w:rFonts w:cs="Arial"/>
          <w:szCs w:val="20"/>
        </w:rPr>
        <w:t xml:space="preserve">t. j. </w:t>
      </w:r>
      <w:r w:rsidRPr="00DE5D89">
        <w:rPr>
          <w:rFonts w:cs="Arial"/>
          <w:szCs w:val="20"/>
        </w:rPr>
        <w:t>reálny úbytok finančných prostriedkov na strane prijímateľa musí byť realizovaná v období oprávnenosti výdavkov a v súlade s oprávneným obdobím pre výdavky stanovené vo výzve/vyzvaní a v </w:t>
      </w:r>
      <w:r>
        <w:rPr>
          <w:rFonts w:cs="Arial"/>
          <w:szCs w:val="20"/>
        </w:rPr>
        <w:t>zmluve</w:t>
      </w:r>
      <w:r w:rsidRPr="00DE5D89">
        <w:rPr>
          <w:rFonts w:cs="Arial"/>
          <w:szCs w:val="20"/>
        </w:rPr>
        <w:t xml:space="preserve"> o NFP;</w:t>
      </w:r>
    </w:p>
    <w:p w14:paraId="53159B65"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Využitie preddavkových platieb musí byť v súlade s podmienkami verejného obstarávania a rovnako musí byť v súlade s podmienkami zmluvy uzavretej medzi prijímateľom a dodávateľom a bežnou obchodnou praxou</w:t>
      </w:r>
      <w:r>
        <w:rPr>
          <w:rStyle w:val="Odkaznapoznmkupodiarou"/>
          <w:rFonts w:cs="Arial"/>
          <w:szCs w:val="20"/>
        </w:rPr>
        <w:footnoteReference w:id="153"/>
      </w:r>
      <w:r w:rsidRPr="00DE5D89">
        <w:rPr>
          <w:rFonts w:cs="Arial"/>
          <w:szCs w:val="20"/>
        </w:rPr>
        <w:t xml:space="preserve">. Možnosť poskytovania preddavkových platieb preto musí byť súčasťou pôvodnej zmluvy uzavretej medzi prijímateľom a dodávateľom, ktorá bola výsledkom verejného obstarávania, </w:t>
      </w:r>
      <w:r w:rsidR="00C93F30">
        <w:rPr>
          <w:rFonts w:cs="Arial"/>
          <w:szCs w:val="20"/>
        </w:rPr>
        <w:t>keďže</w:t>
      </w:r>
      <w:r w:rsidRPr="00DE5D89">
        <w:rPr>
          <w:rFonts w:cs="Arial"/>
          <w:szCs w:val="20"/>
        </w:rPr>
        <w:t xml:space="preserve"> poskytovanie preddavkových platieb v prípade dodatku k pôvodnej zmluve by predstavovalo zmenu ekonomickej rovnováhy a preto je takýto dodatok neprípustný</w:t>
      </w:r>
      <w:r>
        <w:rPr>
          <w:rFonts w:cs="Arial"/>
          <w:szCs w:val="20"/>
        </w:rPr>
        <w:t>;</w:t>
      </w:r>
    </w:p>
    <w:p w14:paraId="7EF75292"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14:paraId="7127A5EB"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Predmet plnenia (teda tovary, služby, stavebné práce), ktorý bol uhradený na základe preddavkovej platby musí byť skutočne doda</w:t>
      </w:r>
      <w:r w:rsidRPr="009078F6">
        <w:rPr>
          <w:rFonts w:cs="Arial"/>
          <w:szCs w:val="20"/>
        </w:rPr>
        <w:t>ný v čase realizácie projektu, najneskôr do 12 mesiacov od poskytnutia preddavkovej platby dodávateľovi</w:t>
      </w:r>
      <w:r w:rsidRPr="009078F6">
        <w:rPr>
          <w:rStyle w:val="Odkaznapoznmkupodiarou"/>
          <w:rFonts w:cs="Arial"/>
          <w:szCs w:val="20"/>
        </w:rPr>
        <w:footnoteReference w:id="154"/>
      </w:r>
      <w:r w:rsidRPr="00DE5D89">
        <w:rPr>
          <w:rFonts w:cs="Arial"/>
          <w:szCs w:val="20"/>
        </w:rPr>
        <w:t>;</w:t>
      </w:r>
    </w:p>
    <w:p w14:paraId="19152461"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 xml:space="preserve">Prijímateľ predkladá </w:t>
      </w:r>
      <w:r w:rsidRPr="009078F6">
        <w:rPr>
          <w:rFonts w:cs="Arial"/>
          <w:szCs w:val="20"/>
        </w:rPr>
        <w:t xml:space="preserve">riadiacemu orgánu </w:t>
      </w:r>
      <w:r w:rsidRPr="00DE5D89">
        <w:rPr>
          <w:rFonts w:cs="Arial"/>
          <w:szCs w:val="20"/>
        </w:rPr>
        <w:t>zúčtovanie preddav</w:t>
      </w:r>
      <w:r w:rsidRPr="009078F6">
        <w:rPr>
          <w:rFonts w:cs="Arial"/>
          <w:szCs w:val="20"/>
        </w:rPr>
        <w:t>kovej platby na formulári, ktorého vzor</w:t>
      </w:r>
      <w:r w:rsidRPr="009078F6">
        <w:rPr>
          <w:rStyle w:val="Odkaznapoznmkupodiarou"/>
          <w:rFonts w:cs="Arial"/>
          <w:szCs w:val="20"/>
        </w:rPr>
        <w:footnoteReference w:id="155"/>
      </w:r>
      <w:r w:rsidRPr="009078F6">
        <w:rPr>
          <w:rFonts w:cs="Arial"/>
          <w:szCs w:val="20"/>
        </w:rPr>
        <w:t xml:space="preserve"> vydáva CKO</w:t>
      </w:r>
      <w:r w:rsidRPr="00DE5D89">
        <w:rPr>
          <w:rFonts w:cs="Arial"/>
          <w:szCs w:val="20"/>
        </w:rPr>
        <w:t>, spolu s ďalšími relevantnými povinnými prílohami;</w:t>
      </w:r>
    </w:p>
    <w:p w14:paraId="5B216864"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Overenie dodania predmetu plnenia zabezpečí RO v rámci výkonu kontroly projektu v súlade s kapitolou 3.3.6.1.2 Predmet kontroly projektu a kapitolou 3.3.6.2.1</w:t>
      </w:r>
      <w:r>
        <w:rPr>
          <w:rFonts w:cs="Arial"/>
          <w:szCs w:val="20"/>
        </w:rPr>
        <w:t xml:space="preserve"> </w:t>
      </w:r>
      <w:r w:rsidRPr="00DE5D89">
        <w:rPr>
          <w:rFonts w:cs="Arial"/>
          <w:szCs w:val="20"/>
        </w:rPr>
        <w:t>Osobitné predmety kontroly, odsek 4</w:t>
      </w:r>
      <w:r>
        <w:rPr>
          <w:rFonts w:cs="Arial"/>
          <w:szCs w:val="20"/>
        </w:rPr>
        <w:t>;</w:t>
      </w:r>
    </w:p>
    <w:p w14:paraId="2BAEA549"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NFP;</w:t>
      </w:r>
    </w:p>
    <w:p w14:paraId="6607BD01" w14:textId="77777777" w:rsidR="00B650E5" w:rsidRPr="00DE5D89" w:rsidRDefault="00B650E5" w:rsidP="00DE5D89">
      <w:pPr>
        <w:pStyle w:val="Odsekzoznamu"/>
        <w:numPr>
          <w:ilvl w:val="0"/>
          <w:numId w:val="381"/>
        </w:numPr>
        <w:spacing w:before="120" w:after="120"/>
        <w:ind w:left="851" w:hanging="425"/>
        <w:contextualSpacing w:val="0"/>
        <w:jc w:val="both"/>
        <w:rPr>
          <w:rFonts w:cs="Arial"/>
          <w:szCs w:val="20"/>
        </w:rPr>
      </w:pPr>
      <w:r w:rsidRPr="00DE5D89">
        <w:rPr>
          <w:rFonts w:cs="Arial"/>
          <w:szCs w:val="20"/>
        </w:rPr>
        <w:lastRenderedPageBreak/>
        <w:t xml:space="preserve">RO </w:t>
      </w:r>
      <w:r>
        <w:rPr>
          <w:rFonts w:cs="Arial"/>
          <w:szCs w:val="20"/>
        </w:rPr>
        <w:t xml:space="preserve">v prípade povolenia možnosti využitia preddavkových platieb na úrovni OP </w:t>
      </w:r>
      <w:r w:rsidRPr="00DE5D89">
        <w:rPr>
          <w:rFonts w:cs="Arial"/>
          <w:szCs w:val="20"/>
        </w:rPr>
        <w:t xml:space="preserve">definuje </w:t>
      </w:r>
      <w:r>
        <w:rPr>
          <w:rFonts w:cs="Arial"/>
          <w:szCs w:val="20"/>
        </w:rPr>
        <w:t xml:space="preserve">aj </w:t>
      </w:r>
      <w:r w:rsidRPr="008E54B4">
        <w:rPr>
          <w:rFonts w:cs="Arial"/>
          <w:szCs w:val="20"/>
        </w:rPr>
        <w:t>maximálny limit pre výšku preddavkovej platby, ktorý môže byť rozdielny v závislosti od predmetu plnenia a ďalších špecifík v rámci jednotlivých OP</w:t>
      </w:r>
      <w:r>
        <w:rPr>
          <w:rFonts w:cs="Arial"/>
          <w:szCs w:val="20"/>
        </w:rPr>
        <w:t>, a prípadné ďalšie pravidlá</w:t>
      </w:r>
      <w:r w:rsidRPr="00DE5D89">
        <w:rPr>
          <w:rFonts w:cs="Arial"/>
          <w:szCs w:val="20"/>
        </w:rPr>
        <w:t xml:space="preserve"> pre overenie plnenia v rámci využitia preddavkových platieb, pri dodržaní podmienok stanovených Systémom riadenia</w:t>
      </w:r>
      <w:r>
        <w:rPr>
          <w:rFonts w:cs="Arial"/>
          <w:szCs w:val="20"/>
        </w:rPr>
        <w:t xml:space="preserve"> EŠIF</w:t>
      </w:r>
      <w:r w:rsidRPr="00DE5D89">
        <w:rPr>
          <w:rFonts w:cs="Arial"/>
          <w:szCs w:val="20"/>
        </w:rPr>
        <w:t>.</w:t>
      </w:r>
    </w:p>
    <w:p w14:paraId="51EAC73F" w14:textId="77777777" w:rsidR="00B650E5" w:rsidRPr="00DE5D89"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r w:rsidRPr="009078F6">
        <w:rPr>
          <w:rFonts w:cs="Arial"/>
          <w:szCs w:val="20"/>
        </w:rPr>
        <w:t xml:space="preserve"> </w:t>
      </w:r>
      <w:r w:rsidRPr="00DE5D89">
        <w:rPr>
          <w:rFonts w:cs="Arial"/>
          <w:szCs w:val="20"/>
        </w:rPr>
        <w:t xml:space="preserve">Vysporiadanie identifikovaných nezrovnalostí </w:t>
      </w:r>
      <w:r w:rsidR="009C717E">
        <w:rPr>
          <w:rFonts w:cs="Arial"/>
          <w:szCs w:val="20"/>
        </w:rPr>
        <w:t xml:space="preserve">a vratiek </w:t>
      </w:r>
      <w:r w:rsidRPr="00DE5D89">
        <w:rPr>
          <w:rFonts w:cs="Arial"/>
          <w:szCs w:val="20"/>
        </w:rPr>
        <w:t xml:space="preserve">z preddavkových platieb nie je týmto </w:t>
      </w:r>
      <w:r w:rsidRPr="009078F6">
        <w:rPr>
          <w:rFonts w:cs="Arial"/>
          <w:szCs w:val="20"/>
        </w:rPr>
        <w:t>odsekom</w:t>
      </w:r>
      <w:r w:rsidRPr="00DE5D89">
        <w:rPr>
          <w:rFonts w:cs="Arial"/>
          <w:szCs w:val="20"/>
        </w:rPr>
        <w:t xml:space="preserve"> dotknuté.</w:t>
      </w:r>
    </w:p>
    <w:p w14:paraId="36EAADB4" w14:textId="77777777" w:rsidR="00B650E5" w:rsidRPr="009078F6"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 xml:space="preserve">Prípadný nedoplatok vzniknutý </w:t>
      </w:r>
      <w:r w:rsidRPr="00DE5D89">
        <w:rPr>
          <w:rFonts w:cs="Arial"/>
          <w:szCs w:val="20"/>
        </w:rPr>
        <w:t>zo zúčtovania</w:t>
      </w:r>
      <w:r w:rsidRPr="009078F6">
        <w:rPr>
          <w:rFonts w:cs="Arial"/>
          <w:szCs w:val="20"/>
        </w:rPr>
        <w:t xml:space="preserve"> preddavkovej platby posudzuje RO z hľadiska splnenia podmienok oprávnenosti výdavkov a na základe daného posúdenia rozhodne o jeho oprávnenosti alebo neoprávnenosti. </w:t>
      </w:r>
    </w:p>
    <w:p w14:paraId="6416A8DB" w14:textId="77777777" w:rsidR="00B650E5" w:rsidRPr="009078F6" w:rsidRDefault="00B650E5" w:rsidP="00DE5D89">
      <w:pPr>
        <w:numPr>
          <w:ilvl w:val="0"/>
          <w:numId w:val="380"/>
        </w:numPr>
        <w:tabs>
          <w:tab w:val="clear" w:pos="360"/>
          <w:tab w:val="num" w:pos="426"/>
        </w:tabs>
        <w:spacing w:before="120" w:after="120"/>
        <w:ind w:left="426" w:hanging="426"/>
        <w:jc w:val="both"/>
        <w:rPr>
          <w:rFonts w:cs="Arial"/>
          <w:szCs w:val="20"/>
        </w:rPr>
      </w:pPr>
      <w:r w:rsidRPr="009078F6">
        <w:rPr>
          <w:rFonts w:cs="Arial"/>
          <w:szCs w:val="20"/>
        </w:rPr>
        <w:t>V súvislosti so zahrnutím výdavkov vzniknutých na základe preddavkovej platby do súhrnnej žiadosti o platbu zasielanej na CO, sú RO a PJ povinní postupovať v súlade s usmernením certifikačného orgánu (ak CO usmernenie k postupu podľa tohto odseku poskytne).</w:t>
      </w:r>
    </w:p>
    <w:p w14:paraId="5458CAED" w14:textId="77777777" w:rsidR="00B650E5" w:rsidRDefault="00B650E5">
      <w:pPr>
        <w:pStyle w:val="SRK2"/>
        <w:rPr>
          <w:rStyle w:val="Nadpis1Char"/>
          <w:sz w:val="36"/>
          <w:szCs w:val="26"/>
        </w:rPr>
      </w:pPr>
      <w:bookmarkStart w:id="532" w:name="_Toc453234088"/>
      <w:bookmarkStart w:id="533" w:name="_Toc501630135"/>
      <w:bookmarkStart w:id="534" w:name="kapitola_36"/>
      <w:r>
        <w:rPr>
          <w:rStyle w:val="Nadpis1Char"/>
          <w:sz w:val="36"/>
          <w:szCs w:val="26"/>
        </w:rPr>
        <w:t>3.6 Štátna pomoc</w:t>
      </w:r>
      <w:bookmarkEnd w:id="528"/>
      <w:bookmarkEnd w:id="532"/>
      <w:bookmarkEnd w:id="533"/>
    </w:p>
    <w:p w14:paraId="6D6DB91E"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bookmarkStart w:id="535" w:name="_Toc378947534"/>
      <w:bookmarkEnd w:id="534"/>
      <w:r>
        <w:rPr>
          <w:u w:val="single"/>
        </w:rPr>
        <w:t>Relevantná úprava v legislatíve EÚ:</w:t>
      </w:r>
    </w:p>
    <w:p w14:paraId="256397A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čl. 106 až 109 Zmluvy o fungovaní EÚ</w:t>
      </w:r>
    </w:p>
    <w:p w14:paraId="78BCCC5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7DF7D8B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i/>
        </w:rPr>
      </w:pPr>
      <w:r>
        <w:rPr>
          <w:i/>
        </w:rPr>
        <w:t xml:space="preserve">zákon o  štátnej pomoci </w:t>
      </w:r>
    </w:p>
    <w:p w14:paraId="28416D19" w14:textId="77777777" w:rsidR="00B650E5" w:rsidRDefault="00B650E5">
      <w:pPr>
        <w:pStyle w:val="Odsekzoznamu"/>
        <w:numPr>
          <w:ilvl w:val="0"/>
          <w:numId w:val="269"/>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14:paraId="71032DB9" w14:textId="77777777" w:rsidR="00B650E5" w:rsidRDefault="00B650E5">
      <w:pPr>
        <w:pStyle w:val="Odsekzoznamu"/>
        <w:numPr>
          <w:ilvl w:val="0"/>
          <w:numId w:val="269"/>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14:paraId="21FE03A7" w14:textId="77777777" w:rsidR="00B650E5" w:rsidRDefault="00B650E5">
      <w:pPr>
        <w:pStyle w:val="SRK3"/>
      </w:pPr>
      <w:bookmarkStart w:id="536" w:name="_Toc453234089"/>
      <w:bookmarkStart w:id="537" w:name="_Toc501630136"/>
      <w:r>
        <w:t>3.6.1 Koncept štátnej pomoci</w:t>
      </w:r>
      <w:bookmarkEnd w:id="536"/>
      <w:bookmarkEnd w:id="537"/>
      <w:r>
        <w:t xml:space="preserve"> </w:t>
      </w:r>
    </w:p>
    <w:p w14:paraId="28DED172" w14:textId="77777777" w:rsidR="00B650E5" w:rsidRDefault="00B650E5">
      <w:pPr>
        <w:pStyle w:val="Odsekzoznamu"/>
        <w:numPr>
          <w:ilvl w:val="0"/>
          <w:numId w:val="271"/>
        </w:numPr>
        <w:spacing w:before="120" w:after="120"/>
        <w:ind w:left="425" w:hanging="425"/>
        <w:contextualSpacing w:val="0"/>
        <w:jc w:val="both"/>
      </w:pPr>
      <w:r>
        <w:t xml:space="preserve">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 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w:t>
      </w:r>
      <w:r w:rsidR="00C93F30">
        <w:t xml:space="preserve">t. j. </w:t>
      </w:r>
      <w:r>
        <w:t xml:space="preserve"> vzhľadom na hospodársky </w:t>
      </w:r>
      <w:r>
        <w:lastRenderedPageBreak/>
        <w:t>a politický vývoj sa môže zaradenie danej služby alebo tovaru časom meniť. Činnosť, ktorá dnes nepredstavuje hospodársku činnosť, sa ňou v budúcnosti môže stať a naopak.</w:t>
      </w:r>
    </w:p>
    <w:p w14:paraId="0715C99A" w14:textId="77777777" w:rsidR="00B650E5" w:rsidRDefault="00B650E5">
      <w:pPr>
        <w:pStyle w:val="Odsekzoznamu"/>
        <w:numPr>
          <w:ilvl w:val="0"/>
          <w:numId w:val="271"/>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14:paraId="69E3BB7C" w14:textId="77777777" w:rsidR="00B650E5" w:rsidRDefault="00B650E5">
      <w:pPr>
        <w:pStyle w:val="Odsekzoznamu"/>
        <w:numPr>
          <w:ilvl w:val="0"/>
          <w:numId w:val="271"/>
        </w:numPr>
        <w:spacing w:before="120" w:after="120"/>
        <w:ind w:left="425" w:hanging="425"/>
        <w:contextualSpacing w:val="0"/>
        <w:jc w:val="both"/>
      </w:pPr>
      <w:r>
        <w:t xml:space="preserve">Pre niektoré činnosti nemôže existovať trh, </w:t>
      </w:r>
      <w:r w:rsidR="00C93F30">
        <w:t>keďže</w:t>
      </w:r>
      <w:r>
        <w:t xml:space="preserve"> patria do výlučnej sféry verejnej moci (výkon verejných právomocí), napr.:</w:t>
      </w:r>
    </w:p>
    <w:p w14:paraId="609C7A22" w14:textId="77777777" w:rsidR="00B650E5" w:rsidRDefault="00B650E5">
      <w:pPr>
        <w:pStyle w:val="Odsekzoznamu"/>
        <w:numPr>
          <w:ilvl w:val="0"/>
          <w:numId w:val="348"/>
        </w:numPr>
        <w:spacing w:before="120" w:after="120"/>
        <w:ind w:left="851" w:hanging="425"/>
        <w:contextualSpacing w:val="0"/>
        <w:jc w:val="both"/>
      </w:pPr>
      <w:r>
        <w:t>činnosti spojené s armádou a políciou,</w:t>
      </w:r>
    </w:p>
    <w:p w14:paraId="6E064E61" w14:textId="77777777" w:rsidR="00B650E5" w:rsidRDefault="00B650E5">
      <w:pPr>
        <w:pStyle w:val="Odsekzoznamu"/>
        <w:numPr>
          <w:ilvl w:val="0"/>
          <w:numId w:val="348"/>
        </w:numPr>
        <w:spacing w:before="120" w:after="120"/>
        <w:ind w:left="851" w:hanging="425"/>
        <w:contextualSpacing w:val="0"/>
        <w:jc w:val="both"/>
      </w:pPr>
      <w:r>
        <w:t>udržiavanie a zlepšovanie bezpečnosti letovej prevádzky, bezpečnostná ochrana,</w:t>
      </w:r>
    </w:p>
    <w:p w14:paraId="02F9CBE3" w14:textId="77777777" w:rsidR="00B650E5" w:rsidRDefault="00B650E5">
      <w:pPr>
        <w:pStyle w:val="Odsekzoznamu"/>
        <w:numPr>
          <w:ilvl w:val="0"/>
          <w:numId w:val="348"/>
        </w:numPr>
        <w:spacing w:before="120" w:after="120"/>
        <w:ind w:left="851" w:hanging="425"/>
        <w:contextualSpacing w:val="0"/>
        <w:jc w:val="both"/>
      </w:pPr>
      <w:r>
        <w:t>kontrola znečisťovania je poslaním všeobecného záujmu, ktoré spadá pod základné funkcie štátu týkajúce sa ochrany životného prostredia.</w:t>
      </w:r>
    </w:p>
    <w:p w14:paraId="440F85A0" w14:textId="77777777" w:rsidR="00B650E5" w:rsidRDefault="00B650E5">
      <w:pPr>
        <w:pStyle w:val="Odsekzoznamu"/>
        <w:numPr>
          <w:ilvl w:val="0"/>
          <w:numId w:val="271"/>
        </w:numPr>
        <w:spacing w:before="120" w:after="120"/>
        <w:ind w:left="425" w:hanging="425"/>
        <w:contextualSpacing w:val="0"/>
        <w:jc w:val="both"/>
      </w:pPr>
      <w:r>
        <w:t>Z judikatúry ESD</w:t>
      </w:r>
      <w:r>
        <w:rPr>
          <w:vertAlign w:val="superscript"/>
        </w:rPr>
        <w:footnoteReference w:id="156"/>
      </w:r>
      <w:r>
        <w:t xml:space="preserve"> je ďalej možné vyšpecifikovať okruh činností výlučne sociálneho charakteru, ktoré nie sú považované za hospodárske činnosti, napr.:</w:t>
      </w:r>
    </w:p>
    <w:p w14:paraId="228633E1" w14:textId="77777777" w:rsidR="00B650E5" w:rsidRDefault="00B650E5">
      <w:pPr>
        <w:pStyle w:val="Odsekzoznamu"/>
        <w:numPr>
          <w:ilvl w:val="0"/>
          <w:numId w:val="349"/>
        </w:numPr>
        <w:spacing w:before="120" w:after="120"/>
        <w:ind w:left="851" w:hanging="425"/>
        <w:contextualSpacing w:val="0"/>
        <w:jc w:val="both"/>
      </w:pPr>
      <w:r>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14:paraId="118106AC" w14:textId="77777777" w:rsidR="00B650E5" w:rsidRDefault="00B650E5">
      <w:pPr>
        <w:pStyle w:val="Odsekzoznamu"/>
        <w:numPr>
          <w:ilvl w:val="0"/>
          <w:numId w:val="349"/>
        </w:numPr>
        <w:spacing w:before="120" w:after="120"/>
        <w:ind w:left="851" w:hanging="425"/>
        <w:contextualSpacing w:val="0"/>
        <w:jc w:val="both"/>
      </w:pPr>
      <w:r>
        <w:t>verejné vzdelávanie organizované v rámci vnútroštátneho systému vzdelávania, ktoré financuje a nad ktorým vykonáva dohľad štát.</w:t>
      </w:r>
    </w:p>
    <w:p w14:paraId="1DE9B659" w14:textId="77777777" w:rsidR="00B650E5" w:rsidRDefault="00B650E5">
      <w:pPr>
        <w:pStyle w:val="Odsekzoznamu"/>
        <w:numPr>
          <w:ilvl w:val="0"/>
          <w:numId w:val="271"/>
        </w:numPr>
        <w:spacing w:before="120" w:after="120"/>
        <w:ind w:left="425" w:hanging="425"/>
        <w:contextualSpacing w:val="0"/>
        <w:jc w:val="both"/>
      </w:pPr>
      <w:r>
        <w:t>Z hľadiska posudzovania hospodárskej činnosti v prípade financovania infraštruktúry je potrebné brať ohľad  na rozsudky ESD T-443/08 a T-455/08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Pr>
          <w:vertAlign w:val="superscript"/>
        </w:rPr>
        <w:footnoteReference w:id="157"/>
      </w:r>
      <w:r>
        <w:t xml:space="preserve">. </w:t>
      </w:r>
    </w:p>
    <w:p w14:paraId="2A054136" w14:textId="77777777" w:rsidR="00B650E5" w:rsidRDefault="00B650E5">
      <w:pPr>
        <w:pStyle w:val="Odsekzoznamu"/>
        <w:numPr>
          <w:ilvl w:val="0"/>
          <w:numId w:val="271"/>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14:paraId="26A37608" w14:textId="77777777" w:rsidR="00B650E5" w:rsidRDefault="00B650E5">
      <w:pPr>
        <w:pStyle w:val="Odsekzoznamu"/>
        <w:numPr>
          <w:ilvl w:val="0"/>
          <w:numId w:val="270"/>
        </w:numPr>
        <w:spacing w:before="120" w:after="120"/>
        <w:ind w:left="851" w:hanging="425"/>
        <w:contextualSpacing w:val="0"/>
        <w:jc w:val="both"/>
      </w:pPr>
      <w:r>
        <w:t>prevod verejných zdrojov a pripísateľnosť štátu</w:t>
      </w:r>
    </w:p>
    <w:p w14:paraId="67F3DA55" w14:textId="77777777" w:rsidR="00B650E5" w:rsidRDefault="00B650E5">
      <w:pPr>
        <w:spacing w:before="120" w:after="120"/>
        <w:ind w:left="851"/>
        <w:jc w:val="both"/>
      </w:pPr>
      <w:r>
        <w:t xml:space="preserve">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w:t>
      </w:r>
      <w:r w:rsidR="00C93F30">
        <w:t>keďže</w:t>
      </w:r>
      <w:r>
        <w:t xml:space="preserve">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Pr>
          <w:rStyle w:val="Odkaznapoznmkupodiarou"/>
        </w:rPr>
        <w:footnoteReference w:id="158"/>
      </w:r>
      <w:r>
        <w:t>. Nie je podstatné, či je inštitúcia verejného sektora autonómna. Prostriedky verejných podnikov</w:t>
      </w:r>
      <w:r>
        <w:rPr>
          <w:rStyle w:val="Odkaznapoznmkupodiarou"/>
        </w:rPr>
        <w:footnoteReference w:id="159"/>
      </w:r>
      <w:r>
        <w:t xml:space="preserve"> </w:t>
      </w:r>
      <w:r>
        <w:lastRenderedPageBreak/>
        <w:t>takisto predstavujú verejné zdroje podľa článku 107 ods. 1 Zmluvy o fungovaní EÚ, pretože štát môže usmerňovať ich použitie.</w:t>
      </w:r>
    </w:p>
    <w:p w14:paraId="110BEF62" w14:textId="77777777" w:rsidR="00B650E5" w:rsidRDefault="00B650E5">
      <w:pPr>
        <w:spacing w:before="120" w:after="120"/>
        <w:ind w:left="851"/>
        <w:jc w:val="both"/>
      </w:pPr>
      <w:r>
        <w:t>Pomoc nemusí nutne poskytnúť samotný štát</w:t>
      </w:r>
      <w:r>
        <w:rPr>
          <w:rStyle w:val="Odkaznapoznmkupodiarou"/>
        </w:rPr>
        <w:footnoteReference w:id="160"/>
      </w:r>
      <w:r>
        <w:t xml:space="preserve"> (napr. vyšší územný celok, obec, štátna organizácia). Môže ju poskytnúť aj iný verejný alebo súkromný subjekt, ktorý riadi alebo spravuje štát. V prípade, že prevod vykonáva verejný podnik, je potrebné preukázať, tzv. „pripísateľnosť“ štátu (ide o zdroje, ktoré sú priamo alebo nepriamo pod kontrolou štátu alebo sú k dispozícii štátu bez ohľadu na to, či sú trvale alebo dočasne k dispozícii). „Pripísateľnosť“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Pripísateľnosť opatrenia pomoci, ktoré prijal verejný podnik, štátu, možno preto vyvodiť zo súboru ukazovateľov vyplývajúcich z okolností prípadu a z kontextu, v ktorom sa dané opatrenie prijalo.</w:t>
      </w:r>
    </w:p>
    <w:p w14:paraId="11EB49C9" w14:textId="77777777" w:rsidR="00B650E5" w:rsidRDefault="00B650E5">
      <w:pPr>
        <w:pStyle w:val="Odsekzoznamu"/>
        <w:numPr>
          <w:ilvl w:val="0"/>
          <w:numId w:val="270"/>
        </w:numPr>
        <w:spacing w:before="120" w:after="120"/>
        <w:ind w:left="851" w:hanging="425"/>
        <w:contextualSpacing w:val="0"/>
        <w:jc w:val="both"/>
      </w:pPr>
      <w:r>
        <w:t xml:space="preserve">ekonomické zvýhodnenie príjemcu pomoci </w:t>
      </w:r>
    </w:p>
    <w:p w14:paraId="0A7A6CEE" w14:textId="77777777" w:rsidR="00B650E5" w:rsidRDefault="00B650E5">
      <w:pPr>
        <w:spacing w:before="120" w:after="120"/>
        <w:ind w:left="851"/>
        <w:jc w:val="both"/>
      </w:pPr>
      <w:r>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14:paraId="15B18FD3" w14:textId="77777777" w:rsidR="00B650E5" w:rsidRPr="000E286B" w:rsidRDefault="00B650E5">
      <w:pPr>
        <w:autoSpaceDE w:val="0"/>
        <w:autoSpaceDN w:val="0"/>
        <w:adjustRightInd w:val="0"/>
        <w:spacing w:before="120" w:after="120"/>
        <w:ind w:left="851"/>
        <w:jc w:val="both"/>
      </w:pPr>
      <w:r w:rsidRPr="000E286B">
        <w:t>Pri určovaní toho, či opatrenie poskytuje podniku hospodársku výhodu, nie je podstatná ani presná forma opatrenia. Z hľadiska pojmu štátna pomoc je relevantné nielen poskytnutie pozitívnych hospodárskych výhod, ale výhodu môže predstavovať aj oslobodenie od 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14:paraId="57E74F51" w14:textId="77777777" w:rsidR="00B650E5" w:rsidRPr="000E286B" w:rsidRDefault="00B650E5">
      <w:pPr>
        <w:autoSpaceDE w:val="0"/>
        <w:autoSpaceDN w:val="0"/>
        <w:adjustRightInd w:val="0"/>
        <w:spacing w:before="120" w:after="120"/>
        <w:ind w:left="851"/>
        <w:jc w:val="both"/>
      </w:pPr>
      <w:r w:rsidRPr="000E286B">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14:paraId="5FDAC312" w14:textId="77777777" w:rsidR="00B650E5" w:rsidRPr="000E286B" w:rsidRDefault="00B650E5">
      <w:pPr>
        <w:autoSpaceDE w:val="0"/>
        <w:autoSpaceDN w:val="0"/>
        <w:adjustRightInd w:val="0"/>
        <w:spacing w:before="120" w:after="120"/>
        <w:ind w:left="851"/>
        <w:jc w:val="both"/>
      </w:pPr>
      <w:r w:rsidRPr="000E286B">
        <w:t>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de facto alebo de iure podmienená nákupom tovaru alebo služieb, ktoré vyrábajú alebo poskytujú len určité podniky.</w:t>
      </w:r>
    </w:p>
    <w:p w14:paraId="667A71EA" w14:textId="77777777" w:rsidR="00B650E5" w:rsidRDefault="00B650E5">
      <w:pPr>
        <w:autoSpaceDE w:val="0"/>
        <w:autoSpaceDN w:val="0"/>
        <w:adjustRightInd w:val="0"/>
        <w:spacing w:before="120" w:after="120"/>
        <w:ind w:left="851"/>
        <w:jc w:val="both"/>
        <w:rPr>
          <w:rFonts w:ascii="TimesNewRoman" w:hAnsi="TimesNewRoman" w:cs="TimesNewRoman"/>
        </w:rPr>
      </w:pPr>
    </w:p>
    <w:p w14:paraId="0270F8D3" w14:textId="77777777" w:rsidR="00B650E5" w:rsidRDefault="00B650E5">
      <w:pPr>
        <w:spacing w:before="120" w:after="120"/>
        <w:ind w:left="851"/>
        <w:jc w:val="both"/>
        <w:rPr>
          <w:i/>
        </w:rPr>
      </w:pPr>
      <w:r>
        <w:rPr>
          <w:i/>
        </w:rPr>
        <w:t>TEST SUBJEKTU V TRHOVOM HOSPODÁRSTVE</w:t>
      </w:r>
    </w:p>
    <w:p w14:paraId="43066FD3" w14:textId="77777777" w:rsidR="00B650E5" w:rsidRPr="000E286B" w:rsidRDefault="00B650E5">
      <w:pPr>
        <w:autoSpaceDE w:val="0"/>
        <w:autoSpaceDN w:val="0"/>
        <w:adjustRightInd w:val="0"/>
        <w:spacing w:before="120" w:after="120"/>
        <w:ind w:left="851"/>
        <w:jc w:val="both"/>
      </w:pPr>
      <w:r w:rsidRPr="000E286B">
        <w:lastRenderedPageBreak/>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sidRPr="000E286B">
        <w:rPr>
          <w:i/>
          <w:iCs/>
        </w:rPr>
        <w:t>zásadu investora v trhovom</w:t>
      </w:r>
      <w:r w:rsidRPr="000E286B">
        <w:t xml:space="preserve"> </w:t>
      </w:r>
      <w:r w:rsidRPr="000E286B">
        <w:rPr>
          <w:i/>
          <w:iCs/>
        </w:rPr>
        <w:t>hospodárstve</w:t>
      </w:r>
      <w:r w:rsidRPr="000E286B">
        <w:t>“, prostredníctvom ktorej sa identifikuje prítomnosť štátnej pomoci v prípadoch verejnej investície (najmä pri 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podmienok predmetnú investíciu. Judikatúra ESD podobne zaviedla aj „</w:t>
      </w:r>
      <w:r w:rsidRPr="000E286B">
        <w:rPr>
          <w:i/>
          <w:iCs/>
        </w:rPr>
        <w:t>kritérium súkromného</w:t>
      </w:r>
      <w:r w:rsidRPr="000E286B">
        <w:t xml:space="preserve"> </w:t>
      </w:r>
      <w:r w:rsidRPr="000E286B">
        <w:rPr>
          <w:i/>
          <w:iCs/>
        </w:rPr>
        <w:t>veriteľa</w:t>
      </w:r>
      <w:r w:rsidRPr="000E286B">
        <w:t>“, prostredníctvom ktorého sa skúma, či opätovné prerokovanie dlhu verejnými veriteľmi zahŕňa štátnu pomoc, pričom sa porovnáva správanie verejného veriteľa so správaním hypotetických súkromných veriteľov v podobnej situácii. Napokon judikatúra zaviedla „</w:t>
      </w:r>
      <w:r w:rsidRPr="000E286B">
        <w:rPr>
          <w:i/>
          <w:iCs/>
        </w:rPr>
        <w:t>kritérium súkromného predávajúceho</w:t>
      </w:r>
      <w:r w:rsidRPr="000E286B">
        <w:t xml:space="preserve">“, prostredníctvom ktorého skúma, či predaj uskutočnený verejným subjektom zahŕňa štátnu pomoc, pričom posudzuje, či by súkromný predávajúci mohol za bežných trhových podmienok získať rovnakú alebo lepšiu cenu. </w:t>
      </w:r>
    </w:p>
    <w:p w14:paraId="68FCBBD5" w14:textId="77777777" w:rsidR="00B650E5" w:rsidRPr="000E286B" w:rsidRDefault="00B650E5">
      <w:pPr>
        <w:autoSpaceDE w:val="0"/>
        <w:autoSpaceDN w:val="0"/>
        <w:adjustRightInd w:val="0"/>
        <w:spacing w:before="120" w:after="120"/>
        <w:ind w:left="851"/>
        <w:jc w:val="both"/>
      </w:pPr>
      <w:r w:rsidRPr="000E286B">
        <w:t>Tieto zásady alebo kritériá sú obmenami rovnakej základnej koncepcie, podľa ktorej by sa správanie orgánov verejnej moci alebo verejných podnikov malo porovnávať so správaním podobných súkromných hospodárskych subjektov za bežných trhových podmienok s cieľom stanoviť, či hospodárske transakcie, ktoré tieto orgány alebo podniky vykonávajú, poskytujú druhým stranám výhodu.</w:t>
      </w:r>
    </w:p>
    <w:p w14:paraId="42BEC47A" w14:textId="77777777" w:rsidR="00B650E5" w:rsidRPr="000E286B" w:rsidRDefault="00B650E5">
      <w:pPr>
        <w:autoSpaceDE w:val="0"/>
        <w:autoSpaceDN w:val="0"/>
        <w:adjustRightInd w:val="0"/>
        <w:spacing w:before="120" w:after="120"/>
        <w:ind w:left="851"/>
        <w:jc w:val="both"/>
      </w:pPr>
      <w:r w:rsidRPr="000E286B">
        <w:t>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neziskovosť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 výhodnejšieho postavenia.</w:t>
      </w:r>
    </w:p>
    <w:p w14:paraId="2B845DF4" w14:textId="77777777" w:rsidR="00B650E5" w:rsidRPr="000E286B" w:rsidRDefault="00B650E5">
      <w:pPr>
        <w:autoSpaceDE w:val="0"/>
        <w:autoSpaceDN w:val="0"/>
        <w:adjustRightInd w:val="0"/>
        <w:spacing w:before="120" w:after="120"/>
        <w:ind w:left="851"/>
        <w:jc w:val="both"/>
      </w:pPr>
      <w:r w:rsidRPr="000E286B">
        <w:t>Na účely testu subjektu v trhovom hospodárstve sa zohľadňujú len prínosy a záväzky súvisiace s postavením štátu ako hospodárskeho subjektu – vylučujú sa teda tie aspekty, ktoré súvisia s 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14:paraId="1015271F" w14:textId="77777777" w:rsidR="00B650E5" w:rsidRPr="000E286B" w:rsidRDefault="00B650E5">
      <w:pPr>
        <w:autoSpaceDE w:val="0"/>
        <w:autoSpaceDN w:val="0"/>
        <w:adjustRightInd w:val="0"/>
        <w:spacing w:before="120" w:after="120"/>
        <w:ind w:left="851"/>
        <w:jc w:val="both"/>
      </w:pPr>
      <w:r w:rsidRPr="000E286B">
        <w:t xml:space="preserve">Súlad zásahu štátu s trhovými podmienkami sa musí posudzovať </w:t>
      </w:r>
      <w:r w:rsidRPr="000E286B">
        <w:rPr>
          <w:i/>
          <w:iCs/>
        </w:rPr>
        <w:t xml:space="preserve">ex ante </w:t>
      </w:r>
      <w:r w:rsidRPr="000E286B">
        <w:t xml:space="preserve">s ohľadom                      na informácie dostupné v čase rozhodovania o zásahu. Každý obozretný subjekt v trhovom hospodárstve by spravidla uskutočnil vlastné </w:t>
      </w:r>
      <w:r w:rsidRPr="000E286B">
        <w:rPr>
          <w:i/>
          <w:iCs/>
        </w:rPr>
        <w:t xml:space="preserve">ex ante </w:t>
      </w:r>
      <w:r w:rsidRPr="000E286B">
        <w:t>posúdenie stratégie a finančného výhľadu projektu (napr. vo forme podnikateľského plánu).</w:t>
      </w:r>
    </w:p>
    <w:p w14:paraId="168A7CB2" w14:textId="77777777" w:rsidR="00B650E5" w:rsidRDefault="00B650E5">
      <w:pPr>
        <w:pStyle w:val="Odsekzoznamu"/>
        <w:numPr>
          <w:ilvl w:val="0"/>
          <w:numId w:val="270"/>
        </w:numPr>
        <w:spacing w:before="120" w:after="120"/>
        <w:ind w:left="851" w:hanging="425"/>
        <w:contextualSpacing w:val="0"/>
        <w:jc w:val="both"/>
      </w:pPr>
      <w:r>
        <w:t>selektívnosť poskytnutej pomoci</w:t>
      </w:r>
    </w:p>
    <w:p w14:paraId="59DE877D" w14:textId="77777777" w:rsidR="00B650E5" w:rsidRDefault="00B650E5">
      <w:pPr>
        <w:spacing w:before="120" w:after="120"/>
        <w:ind w:left="851"/>
        <w:jc w:val="both"/>
      </w:pPr>
      <w:r>
        <w:lastRenderedPageBreak/>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14:paraId="4900A38C" w14:textId="77777777" w:rsidR="00B650E5" w:rsidRDefault="00B650E5">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de facto ohraničený faktormi, ktoré obmedzujú ich praktický účinok. Veľký počet oprávnených podnikov (ktorý môže dokonca 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14:paraId="388F033B" w14:textId="77777777" w:rsidR="00B650E5" w:rsidRDefault="00B650E5">
      <w:pPr>
        <w:spacing w:before="120" w:after="120"/>
        <w:ind w:left="851"/>
        <w:jc w:val="both"/>
      </w:pPr>
      <w:r>
        <w:t>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de facto alebo de iure.</w:t>
      </w:r>
    </w:p>
    <w:p w14:paraId="617BD250" w14:textId="77777777" w:rsidR="00B650E5" w:rsidRDefault="00B650E5">
      <w:pPr>
        <w:pStyle w:val="Odsekzoznamu"/>
        <w:numPr>
          <w:ilvl w:val="0"/>
          <w:numId w:val="270"/>
        </w:numPr>
        <w:spacing w:before="120" w:after="120"/>
        <w:ind w:left="851" w:hanging="425"/>
        <w:contextualSpacing w:val="0"/>
        <w:jc w:val="both"/>
      </w:pPr>
      <w:r>
        <w:t>narušenie hospodárskej súťaže alebo hrozba narušenia hospodárskej súťaže a vplyv na vnútorný obchod medzi členskými štátmi</w:t>
      </w:r>
    </w:p>
    <w:p w14:paraId="664025C5" w14:textId="77777777" w:rsidR="00B650E5" w:rsidRDefault="00B650E5">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14:paraId="45F5E72F" w14:textId="77777777" w:rsidR="00B650E5" w:rsidRDefault="00B650E5">
      <w:pPr>
        <w:spacing w:before="120" w:after="120"/>
        <w:ind w:left="851"/>
        <w:jc w:val="both"/>
      </w:pPr>
      <w:r>
        <w:t xml:space="preserve">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 právom EÚ) a nesúťaží s podobnými (liberalizovanými) službami a keď ii) poskytovateľ služby nemôže pôsobiť (v dôsledku regulačných alebo zákonných obmedzení) na žiadnom inom liberalizovanom (geografickom alebo tovarovom) trhu. </w:t>
      </w:r>
    </w:p>
    <w:p w14:paraId="05B2D024" w14:textId="77777777" w:rsidR="00B650E5" w:rsidRDefault="00B650E5">
      <w:pPr>
        <w:spacing w:before="120" w:after="120"/>
        <w:ind w:left="851"/>
        <w:jc w:val="both"/>
      </w:pPr>
      <w:r>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 výdavkov, ktoré by inak musel vynaložiť v rámci svojho každodenného podnikania. V 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14:paraId="37E7B54B" w14:textId="77777777" w:rsidR="00B650E5" w:rsidRDefault="00B650E5">
      <w:pPr>
        <w:autoSpaceDE w:val="0"/>
        <w:autoSpaceDN w:val="0"/>
        <w:adjustRightInd w:val="0"/>
        <w:spacing w:before="120" w:after="120"/>
        <w:ind w:left="851"/>
        <w:jc w:val="both"/>
        <w:rPr>
          <w:iCs/>
        </w:rPr>
      </w:pPr>
      <w:r>
        <w:t xml:space="preserve">Výhoda poskytnutá podniku pôsobiacemu na trhu, ktorý je otvorený hospodárskej súťaži, sa spravidla bude považovať za opatrenie narúšajúce hospodársku súťaž, ktoré zároveň môže </w:t>
      </w:r>
      <w:r>
        <w:lastRenderedPageBreak/>
        <w:t>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 rámci Spoločenstva, tento obchod sa musí</w:t>
      </w:r>
      <w:r>
        <w:t xml:space="preserve"> </w:t>
      </w:r>
      <w:r>
        <w:rPr>
          <w:iCs/>
        </w:rPr>
        <w:t>považovať za ovplyvnený pomocou“.</w:t>
      </w:r>
    </w:p>
    <w:p w14:paraId="4F22CB46" w14:textId="77777777" w:rsidR="00B650E5" w:rsidRDefault="00B650E5">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14:paraId="04DD0BC8" w14:textId="77777777" w:rsidR="00B650E5" w:rsidRDefault="00B650E5">
      <w:pPr>
        <w:autoSpaceDE w:val="0"/>
        <w:autoSpaceDN w:val="0"/>
        <w:adjustRightInd w:val="0"/>
        <w:spacing w:before="120" w:after="120"/>
        <w:ind w:left="851"/>
        <w:jc w:val="both"/>
      </w:pPr>
      <w:r>
        <w:t>Dokonca i dotácia z verejných zdrojov poskytnutá podniku, ktorý poskytuje len miestne alebo regionálne služby a neposkytuje žiadne služby mimo svojho štátu pôvodu, môže mať vplyv na obchod medzi členskými štátmi, ak by tieto služby mohli poskytovať aj podniky z iných členských štátov (i vzhľadom na právo usadiť sa) a táto možnosť nie je len hypotetická.</w:t>
      </w:r>
    </w:p>
    <w:p w14:paraId="2F19B8D8" w14:textId="77777777" w:rsidR="00B650E5" w:rsidRDefault="00B650E5">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14:paraId="08D5115C" w14:textId="77777777" w:rsidR="00B650E5" w:rsidRDefault="00B650E5">
      <w:pPr>
        <w:spacing w:before="120" w:after="120"/>
        <w:ind w:left="851"/>
        <w:jc w:val="both"/>
        <w:rPr>
          <w:i/>
        </w:rPr>
      </w:pPr>
      <w:r>
        <w:t>Z hľadiska judikatúry ESD</w:t>
      </w:r>
      <w:r>
        <w:rPr>
          <w:vertAlign w:val="superscript"/>
        </w:rPr>
        <w:footnoteReference w:id="161"/>
      </w:r>
      <w:r>
        <w:t xml:space="preserve"> neexistuje hranica alebo percento pod úrovňou ktorého možno tvrdiť, že obchod medzi štátmi nie je ovplyvnený. V skutočnosti významom relatívne malá pomoc a relatívne malý podnik – príjemca nevylučujú a priori možnosť, že obchod medzi členskými štátmi bude ovplyvnený. Pridelenie pomoci určitému podniku môže totiž viesť k udržaniu alebo zvýšeniu poskytovania služieb alebo dodávania tovarov týmto podnikom, pričom možnosť poskytovať služby alebo dodávať tovary na trhu dotknutého členského štátu sa tým pre podniky z iných členských štátov zmenší.</w:t>
      </w:r>
    </w:p>
    <w:p w14:paraId="7107B68F" w14:textId="77777777" w:rsidR="00B650E5" w:rsidRDefault="00B650E5">
      <w:pPr>
        <w:pStyle w:val="SRK3"/>
      </w:pPr>
      <w:bookmarkStart w:id="538" w:name="_Toc453234090"/>
      <w:bookmarkStart w:id="539" w:name="_Toc501630137"/>
      <w:r>
        <w:t>3.6.2 Služby všeobecného hospodárskeho záujmu</w:t>
      </w:r>
      <w:bookmarkEnd w:id="538"/>
      <w:bookmarkEnd w:id="539"/>
      <w:r>
        <w:t xml:space="preserve"> </w:t>
      </w:r>
    </w:p>
    <w:p w14:paraId="4FF3785F" w14:textId="77777777" w:rsidR="00B650E5" w:rsidRDefault="00B650E5">
      <w:pPr>
        <w:pStyle w:val="Odsekzoznamu"/>
        <w:numPr>
          <w:ilvl w:val="0"/>
          <w:numId w:val="273"/>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14:paraId="4A5DA80E" w14:textId="77777777" w:rsidR="00B650E5" w:rsidRDefault="00B650E5">
      <w:pPr>
        <w:pStyle w:val="Odsekzoznamu"/>
        <w:numPr>
          <w:ilvl w:val="0"/>
          <w:numId w:val="273"/>
        </w:numPr>
        <w:spacing w:before="120" w:after="120"/>
        <w:ind w:left="426" w:hanging="426"/>
        <w:contextualSpacing w:val="0"/>
        <w:jc w:val="both"/>
      </w:pPr>
      <w:r>
        <w:t>Pojem služby všeobecného hospodárskeho záujmu sa neustále vyvíja a závisí okrem iného od 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14:paraId="06050F3C" w14:textId="77777777" w:rsidR="00B650E5" w:rsidRDefault="00B650E5">
      <w:pPr>
        <w:pStyle w:val="Odsekzoznamu"/>
        <w:numPr>
          <w:ilvl w:val="0"/>
          <w:numId w:val="273"/>
        </w:numPr>
        <w:spacing w:before="120" w:after="120"/>
        <w:ind w:left="426" w:hanging="426"/>
        <w:contextualSpacing w:val="0"/>
        <w:jc w:val="both"/>
      </w:pPr>
      <w:r>
        <w:t>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Altmark, alebo v zmysle článku 106 ods. 2 Zmluvy o fungovaní EÚ.</w:t>
      </w:r>
    </w:p>
    <w:p w14:paraId="0B2624BA" w14:textId="77777777" w:rsidR="00B650E5" w:rsidRDefault="00B650E5">
      <w:pPr>
        <w:pStyle w:val="Odsekzoznamu"/>
        <w:numPr>
          <w:ilvl w:val="0"/>
          <w:numId w:val="273"/>
        </w:numPr>
        <w:spacing w:before="120" w:after="120"/>
        <w:ind w:left="426" w:hanging="426"/>
        <w:contextualSpacing w:val="0"/>
        <w:jc w:val="both"/>
      </w:pPr>
      <w:r>
        <w:t xml:space="preserve">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 pôsobnosti EÚ alebo sú založené iba na obmedzenej alebo delenej pôsobnosti Spoločenstva, zostáva v zásade v pôsobnosti členských štátov. Určenie rozsahu pojmu SVHZ patrí hlavne do pôsobnosti členských štátov. Všeobecným výrazom tohto rozdelenia pôsobnosti je okrem toho </w:t>
      </w:r>
      <w:r>
        <w:lastRenderedPageBreak/>
        <w:t>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14:paraId="515BA253" w14:textId="77777777" w:rsidR="00B650E5" w:rsidRDefault="00B650E5">
      <w:pPr>
        <w:pStyle w:val="Odsekzoznamu"/>
        <w:numPr>
          <w:ilvl w:val="0"/>
          <w:numId w:val="273"/>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nad výkonom diskrečnej právomoci členského štátu pri určení SVHZ, sa obmedzuje na zistenie existencie zjavne nesprávneho posúdenia. </w:t>
      </w:r>
    </w:p>
    <w:p w14:paraId="436F312E" w14:textId="77777777" w:rsidR="00B650E5" w:rsidRDefault="00B650E5">
      <w:pPr>
        <w:pStyle w:val="Odsekzoznamu"/>
        <w:numPr>
          <w:ilvl w:val="0"/>
          <w:numId w:val="273"/>
        </w:numPr>
        <w:spacing w:before="120" w:after="120"/>
        <w:ind w:left="426" w:hanging="426"/>
        <w:contextualSpacing w:val="0"/>
        <w:jc w:val="both"/>
      </w:pPr>
      <w:r>
        <w:t xml:space="preserve">ESD vo svojom rozsudku vo veci Altmark poskytol bližšie objasnenie podmienok, za ktorých náhrada za SVHZ nepredstavuje štátnu pomoc, </w:t>
      </w:r>
      <w:r w:rsidR="00C93F30">
        <w:t xml:space="preserve">t. j. </w:t>
      </w:r>
      <w:r>
        <w:t xml:space="preserve"> ide o kompenzáciu predstavujúcu  protihodnotu za služby poskytnuté podnikmi, ktorým bola pomoc poskytnutá na realizáciu SVHZ (v danom prípade podniky  nemajú finančnú výhodu, </w:t>
      </w:r>
      <w:r w:rsidR="00C93F30">
        <w:t>keďže</w:t>
      </w:r>
      <w:r>
        <w:t xml:space="preserve">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14:paraId="1BBE8230" w14:textId="77777777" w:rsidR="00B650E5" w:rsidRDefault="00B650E5">
      <w:pPr>
        <w:pStyle w:val="Odsekzoznamu"/>
        <w:numPr>
          <w:ilvl w:val="0"/>
          <w:numId w:val="272"/>
        </w:numPr>
        <w:spacing w:before="120" w:after="120"/>
        <w:ind w:left="851" w:hanging="425"/>
        <w:contextualSpacing w:val="0"/>
        <w:jc w:val="both"/>
      </w:pPr>
      <w:r>
        <w:t>podnik, ktorému bola poskytnutá pomoc, bol poverený realizáciou záväzkov služby                       vo verejnom záujme a tieto záväzky boli jasne definované,</w:t>
      </w:r>
    </w:p>
    <w:p w14:paraId="7695220F" w14:textId="77777777" w:rsidR="00B650E5" w:rsidRDefault="00B650E5">
      <w:pPr>
        <w:pStyle w:val="Odsekzoznamu"/>
        <w:numPr>
          <w:ilvl w:val="0"/>
          <w:numId w:val="272"/>
        </w:numPr>
        <w:spacing w:before="120" w:after="120"/>
        <w:ind w:left="851" w:hanging="425"/>
        <w:contextualSpacing w:val="0"/>
        <w:jc w:val="both"/>
      </w:pPr>
      <w:r>
        <w:t>kritériá, na základe ktorých je vypočítaná kompenzácia, boli vopred určené objektívnym a transparentným spôsobom</w:t>
      </w:r>
      <w:r>
        <w:rPr>
          <w:rStyle w:val="Odkaznapoznmkupodiarou"/>
        </w:rPr>
        <w:footnoteReference w:id="162"/>
      </w:r>
      <w:r>
        <w:t>,</w:t>
      </w:r>
    </w:p>
    <w:p w14:paraId="5248833F" w14:textId="77777777" w:rsidR="00B650E5" w:rsidRDefault="00B650E5">
      <w:pPr>
        <w:pStyle w:val="Odsekzoznamu"/>
        <w:numPr>
          <w:ilvl w:val="0"/>
          <w:numId w:val="272"/>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w:t>
      </w:r>
      <w:r w:rsidR="00F64BDD">
        <w:t>,</w:t>
      </w:r>
      <w:r>
        <w:t xml:space="preserve"> ako aj primeraný zisk</w:t>
      </w:r>
      <w:r>
        <w:rPr>
          <w:rStyle w:val="Odkaznapoznmkupodiarou"/>
        </w:rPr>
        <w:footnoteReference w:id="163"/>
      </w:r>
      <w:r>
        <w:t>,</w:t>
      </w:r>
    </w:p>
    <w:p w14:paraId="42DFF402" w14:textId="77777777" w:rsidR="00B650E5" w:rsidRDefault="00B650E5">
      <w:pPr>
        <w:pStyle w:val="Odsekzoznamu"/>
        <w:numPr>
          <w:ilvl w:val="0"/>
          <w:numId w:val="272"/>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 základe analýzy výdavkov, ktoré by stredne veľký podnik, dobre riadený a primerane vybavený prostriedkami vynaložil pri realizácii týchto záväzkov, zohľadniac pri tom súvisiace príjmy</w:t>
      </w:r>
      <w:r w:rsidR="00F64BDD">
        <w:t>,</w:t>
      </w:r>
      <w:r>
        <w:t xml:space="preserve"> ako aj primeraný zisk pri realizácii týchto záväzkov.</w:t>
      </w:r>
    </w:p>
    <w:p w14:paraId="24A0CEB0" w14:textId="77777777" w:rsidR="00B650E5" w:rsidRDefault="00B650E5">
      <w:pPr>
        <w:pStyle w:val="Odsekzoznamu"/>
        <w:numPr>
          <w:ilvl w:val="0"/>
          <w:numId w:val="273"/>
        </w:numPr>
        <w:spacing w:before="120" w:after="120"/>
        <w:ind w:left="426" w:hanging="426"/>
        <w:contextualSpacing w:val="0"/>
        <w:jc w:val="both"/>
      </w:pPr>
      <w:r>
        <w:rPr>
          <w:b/>
        </w:rPr>
        <w:t>Rozhodnutie Komisie z 20.12.2011</w:t>
      </w:r>
      <w:r>
        <w:t xml:space="preserve"> o uplatňovaní článku 106 ods. 2 Zmluvy o fungovaní EÚ na 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14:paraId="4826073C" w14:textId="77777777" w:rsidR="00B650E5" w:rsidRDefault="00B650E5">
      <w:pPr>
        <w:pStyle w:val="Odsekzoznamu"/>
        <w:numPr>
          <w:ilvl w:val="0"/>
          <w:numId w:val="273"/>
        </w:numPr>
        <w:spacing w:before="120" w:after="120"/>
        <w:ind w:left="426" w:hanging="426"/>
        <w:contextualSpacing w:val="0"/>
        <w:jc w:val="both"/>
      </w:pPr>
      <w:r>
        <w:rPr>
          <w:b/>
        </w:rPr>
        <w:t xml:space="preserve">Nariadenie č. 360/2012 </w:t>
      </w:r>
      <w:r>
        <w:t xml:space="preserve">určuje, že celková suma pomoci de minimis udelená akémukoľvek podniku poskytujúcemu SVHZ nesmie prekročiť 500 000 EUR v priebehu troch fiškálnych rokov. Tento strop by sa mal uplatňovať bez ohľadu na formu pomoci de minimis, ako aj </w:t>
      </w:r>
      <w:r>
        <w:lastRenderedPageBreak/>
        <w:t>nezávisle od toho, či je pomoc poskytnutá členským štátom financovaná úplne alebo čiastočne zo zdrojov EÚ. Obdobie, ktoré sa má zohľadniť, sa určí podľa fiškálnych rokov, ktoré daný podnik používa v príslušnom členskom štáte.</w:t>
      </w:r>
    </w:p>
    <w:p w14:paraId="75F065B4" w14:textId="77777777" w:rsidR="00B650E5" w:rsidRDefault="00B650E5">
      <w:pPr>
        <w:pStyle w:val="Odsekzoznamu"/>
        <w:numPr>
          <w:ilvl w:val="0"/>
          <w:numId w:val="273"/>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14:paraId="227AB396" w14:textId="77777777" w:rsidR="00B650E5" w:rsidRDefault="00B650E5">
      <w:pPr>
        <w:pStyle w:val="Odsekzoznamu"/>
        <w:numPr>
          <w:ilvl w:val="0"/>
          <w:numId w:val="273"/>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uplatňovania pravidiel štátnej pomoci na náhrady za SVHZ. Oznámenie sa zameriava na tie požiadavky týkajúce sa štátnej pomoci, ktoré sú pre náhrady za SVHZ najrelevantnejšie.</w:t>
      </w:r>
    </w:p>
    <w:p w14:paraId="58484B72" w14:textId="77777777" w:rsidR="00B650E5" w:rsidRDefault="00B650E5">
      <w:pPr>
        <w:pStyle w:val="Odsekzoznamu"/>
        <w:numPr>
          <w:ilvl w:val="0"/>
          <w:numId w:val="273"/>
        </w:numPr>
        <w:spacing w:before="120" w:after="120"/>
        <w:ind w:left="426" w:hanging="426"/>
        <w:contextualSpacing w:val="0"/>
        <w:jc w:val="both"/>
      </w:pPr>
      <w:r>
        <w:t>Podnik, ktorý je príjemcom pomoci, by mal byť písomne poverený výkonom SVHZ, na ktorú sa pomoc poskytuje.</w:t>
      </w:r>
    </w:p>
    <w:p w14:paraId="688338F7" w14:textId="77777777" w:rsidR="00B650E5" w:rsidRDefault="00B650E5">
      <w:pPr>
        <w:pStyle w:val="SRK3"/>
      </w:pPr>
      <w:bookmarkStart w:id="540" w:name="_Toc453234091"/>
      <w:bookmarkStart w:id="541" w:name="_Toc501630138"/>
      <w:r>
        <w:t>3.6.3 Pomoc de minimis</w:t>
      </w:r>
      <w:bookmarkEnd w:id="540"/>
      <w:bookmarkEnd w:id="541"/>
      <w:r>
        <w:t xml:space="preserve">  </w:t>
      </w:r>
    </w:p>
    <w:p w14:paraId="0D2D52CC" w14:textId="77777777" w:rsidR="00B650E5" w:rsidRDefault="00B650E5">
      <w:pPr>
        <w:pStyle w:val="Odsekzoznamu"/>
        <w:numPr>
          <w:ilvl w:val="0"/>
          <w:numId w:val="274"/>
        </w:numPr>
        <w:spacing w:before="120" w:after="120"/>
        <w:ind w:left="425" w:hanging="425"/>
        <w:contextualSpacing w:val="0"/>
        <w:jc w:val="both"/>
      </w:pPr>
      <w:r>
        <w:t>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pomoc de minimis môže predstavovať jednu z takýchto kategórií. Na základe uvedenej skutočnosti sa pomoc de minimis poskytnutá jedinému podniku počas určitého časového obdobia, ktorá neprevyšuje určitú stanovenú sumu, považuje za pomoc, ktorá nespĺňa všetky kritériá stanovené v článku 107 ods. 1 Zmluvy o fungovaní EÚ a nevzťahuje sa na ňu teda notifikačná povinnosť.</w:t>
      </w:r>
    </w:p>
    <w:p w14:paraId="1ECE0147" w14:textId="77777777" w:rsidR="00B650E5" w:rsidRDefault="00B650E5">
      <w:pPr>
        <w:pStyle w:val="Odsekzoznamu"/>
        <w:numPr>
          <w:ilvl w:val="0"/>
          <w:numId w:val="274"/>
        </w:numPr>
        <w:spacing w:before="120" w:after="120"/>
        <w:ind w:left="425" w:hanging="425"/>
        <w:contextualSpacing w:val="0"/>
        <w:jc w:val="both"/>
      </w:pPr>
      <w:r>
        <w:t xml:space="preserve">Poskytovanie pomoci de minimis upravuje nariadenie č. 1407/2013. Podľa nariadenia č. 1407/2013 je možné poskytnúť jedinému podniku pomoc de minimis, ktorá nesmie presiahnuť sumu 200 000 EUR v priebehu obdobia troch fiškálnych rokov. Pomoc de minimis pre jediný podnik, ktorý vykonáva cestnú nákladnú dopravu v prenájme alebo za úhradu nesmie presiahnuť 100 000 EUR v priebehu obdobia troch fiškálnych rokov. </w:t>
      </w:r>
    </w:p>
    <w:p w14:paraId="6013B7DD" w14:textId="77777777" w:rsidR="00B650E5" w:rsidRDefault="00B650E5">
      <w:pPr>
        <w:pStyle w:val="Odsekzoznamu"/>
        <w:numPr>
          <w:ilvl w:val="0"/>
          <w:numId w:val="274"/>
        </w:numPr>
        <w:spacing w:before="120" w:after="120"/>
        <w:ind w:left="425" w:hanging="425"/>
        <w:contextualSpacing w:val="0"/>
        <w:jc w:val="both"/>
      </w:pPr>
      <w:r>
        <w:t xml:space="preserve">ESD stanovil, že všetky subjekty, ktoré sú kontrolované (právne alebo </w:t>
      </w:r>
      <w:r>
        <w:rPr>
          <w:i/>
          <w:iCs/>
        </w:rPr>
        <w:t>de facto</w:t>
      </w:r>
      <w:r>
        <w:t>) tým istým subjektom, by sa mali pokladať za jediný podnik. Nariadenie č. 1407/2013 poskytuje zoznam jasných kritérií na určovanie toho, či sa dva alebo viaceré subjekty majú považovať za jediný podnik.</w:t>
      </w:r>
    </w:p>
    <w:p w14:paraId="6F818687" w14:textId="77777777" w:rsidR="00B650E5" w:rsidRDefault="00B650E5">
      <w:pPr>
        <w:pStyle w:val="Odsekzoznamu"/>
        <w:numPr>
          <w:ilvl w:val="0"/>
          <w:numId w:val="274"/>
        </w:numPr>
        <w:spacing w:before="120" w:after="120"/>
        <w:ind w:left="425" w:hanging="425"/>
        <w:contextualSpacing w:val="0"/>
        <w:jc w:val="both"/>
      </w:pPr>
      <w:r>
        <w:t xml:space="preserve">Pre dodržanie stropu pomoci de minimis je pred poskytnutím novej pomoci de minimis potrebné získať v listinnej alebo elektronickej podobe vyhlásenie od príslušného podniku o akejkoľvek inej pomoci de minimis prijatej na základe tohto nariadenia alebo na základe iných predpisov o pomoci de minimis počas predchádzajúcich dvoch fiškálnych rokov a počas prebiehajúceho fiškálneho roka. Zároveň je potrebné dodržať aj ďalšie podmienky nariadenia č. 1407/2013, predovšetkým ustanovenia čl. 1 ods. 1 a 2 nariadenia č. 1407/2013, informovať podnik (prijímateľa) o predpokladanej výške pomoci vyjadrenej ako ekvivalent hrubého grantu a o tom, že ide o pomoc de minimis, pričom poskytovateľ výslovne uvedie odkaz na nariadenie č. 1407/2013, jeho názov a údaje o jeho uverejnení v Úradnom vestníku EÚ. </w:t>
      </w:r>
    </w:p>
    <w:p w14:paraId="5712E2CD" w14:textId="77777777" w:rsidR="00B650E5" w:rsidRDefault="00B650E5">
      <w:pPr>
        <w:pStyle w:val="SRK3"/>
      </w:pPr>
      <w:bookmarkStart w:id="542" w:name="_Toc453234092"/>
      <w:bookmarkStart w:id="543" w:name="_Toc501630139"/>
      <w:r>
        <w:lastRenderedPageBreak/>
        <w:t>3.6.4 Test štátnej pomoci</w:t>
      </w:r>
      <w:bookmarkEnd w:id="542"/>
      <w:bookmarkEnd w:id="543"/>
      <w:r>
        <w:t xml:space="preserve">   </w:t>
      </w:r>
    </w:p>
    <w:p w14:paraId="0A93B2C2" w14:textId="77777777" w:rsidR="00B650E5" w:rsidRDefault="00B650E5">
      <w:pPr>
        <w:pStyle w:val="Odsekzoznamu"/>
        <w:numPr>
          <w:ilvl w:val="0"/>
          <w:numId w:val="275"/>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 činnosti nehospodárskeho charakteru.</w:t>
      </w:r>
    </w:p>
    <w:p w14:paraId="5F3D7F9C" w14:textId="77777777" w:rsidR="00B650E5" w:rsidRDefault="00B650E5">
      <w:pPr>
        <w:pStyle w:val="Odsekzoznamu"/>
        <w:numPr>
          <w:ilvl w:val="0"/>
          <w:numId w:val="275"/>
        </w:numPr>
        <w:spacing w:before="120" w:after="120"/>
        <w:ind w:left="425" w:hanging="425"/>
        <w:contextualSpacing w:val="0"/>
        <w:jc w:val="both"/>
      </w:pPr>
      <w:r>
        <w:t>V oblasti pravidiel štátnej pomoci nezávisí ovplyvňovanie obchodu od miestneho alebo regionálneho charakteru poskytovanej služby alebo od úrovne príslušnej činnosti. V prípade, že 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14:paraId="55557A48" w14:textId="77777777" w:rsidR="00B650E5" w:rsidRDefault="00B650E5">
      <w:pPr>
        <w:spacing w:before="120" w:after="120"/>
        <w:ind w:left="2832" w:firstLine="708"/>
      </w:pPr>
      <w:r>
        <w:t>Rozhodovací algoritmus</w:t>
      </w:r>
      <w:r>
        <w:rPr>
          <w:rStyle w:val="Odkaznapoznmkupodiarou"/>
        </w:rPr>
        <w:footnoteReference w:id="164"/>
      </w:r>
    </w:p>
    <w:p w14:paraId="4B410A9A" w14:textId="77777777" w:rsidR="00B650E5" w:rsidRDefault="0053588C">
      <w:pPr>
        <w:pStyle w:val="Odsekzoznamu"/>
        <w:spacing w:before="120" w:after="120"/>
        <w:contextualSpacing w:val="0"/>
      </w:pPr>
      <w:r>
        <w:rPr>
          <w:noProof/>
        </w:rPr>
        <mc:AlternateContent>
          <mc:Choice Requires="wpg">
            <w:drawing>
              <wp:anchor distT="0" distB="0" distL="114300" distR="114300" simplePos="0" relativeHeight="251670528" behindDoc="1" locked="0" layoutInCell="1" allowOverlap="1" wp14:anchorId="71609471" wp14:editId="212BA4DE">
                <wp:simplePos x="0" y="0"/>
                <wp:positionH relativeFrom="column">
                  <wp:posOffset>-180975</wp:posOffset>
                </wp:positionH>
                <wp:positionV relativeFrom="paragraph">
                  <wp:posOffset>7620</wp:posOffset>
                </wp:positionV>
                <wp:extent cx="6363970" cy="4645660"/>
                <wp:effectExtent l="0" t="17145" r="17780" b="13970"/>
                <wp:wrapTight wrapText="bothSides">
                  <wp:wrapPolygon edited="0">
                    <wp:start x="9087" y="-44"/>
                    <wp:lineTo x="9087" y="664"/>
                    <wp:lineTo x="7308" y="2081"/>
                    <wp:lineTo x="6436" y="2480"/>
                    <wp:lineTo x="6145" y="2657"/>
                    <wp:lineTo x="4302" y="3053"/>
                    <wp:lineTo x="4170" y="3097"/>
                    <wp:lineTo x="4138" y="4204"/>
                    <wp:lineTo x="3623" y="5621"/>
                    <wp:lineTo x="-32" y="5621"/>
                    <wp:lineTo x="-32" y="7656"/>
                    <wp:lineTo x="2877" y="7747"/>
                    <wp:lineTo x="2360" y="9161"/>
                    <wp:lineTo x="2134" y="9383"/>
                    <wp:lineTo x="2069" y="9516"/>
                    <wp:lineTo x="2101" y="9870"/>
                    <wp:lineTo x="388" y="9959"/>
                    <wp:lineTo x="259" y="10003"/>
                    <wp:lineTo x="259" y="12084"/>
                    <wp:lineTo x="4073" y="12704"/>
                    <wp:lineTo x="4496" y="12704"/>
                    <wp:lineTo x="4011" y="14119"/>
                    <wp:lineTo x="3623" y="14694"/>
                    <wp:lineTo x="1843" y="15093"/>
                    <wp:lineTo x="1584" y="15181"/>
                    <wp:lineTo x="1584" y="17263"/>
                    <wp:lineTo x="9733" y="17661"/>
                    <wp:lineTo x="15326" y="17661"/>
                    <wp:lineTo x="15164" y="19076"/>
                    <wp:lineTo x="14065" y="19430"/>
                    <wp:lineTo x="13710" y="19563"/>
                    <wp:lineTo x="13710" y="21600"/>
                    <wp:lineTo x="21665" y="21600"/>
                    <wp:lineTo x="21665" y="19519"/>
                    <wp:lineTo x="20372" y="19120"/>
                    <wp:lineTo x="19531" y="19076"/>
                    <wp:lineTo x="19143" y="18370"/>
                    <wp:lineTo x="19143" y="17661"/>
                    <wp:lineTo x="20178" y="17661"/>
                    <wp:lineTo x="21665" y="17263"/>
                    <wp:lineTo x="21665" y="15137"/>
                    <wp:lineTo x="21535" y="15137"/>
                    <wp:lineTo x="19175" y="14783"/>
                    <wp:lineTo x="19046" y="14561"/>
                    <wp:lineTo x="18755" y="14119"/>
                    <wp:lineTo x="18238" y="12704"/>
                    <wp:lineTo x="18302" y="12084"/>
                    <wp:lineTo x="18399" y="9737"/>
                    <wp:lineTo x="15684" y="9161"/>
                    <wp:lineTo x="16751" y="9161"/>
                    <wp:lineTo x="20372" y="8630"/>
                    <wp:lineTo x="20404" y="6330"/>
                    <wp:lineTo x="18171" y="5621"/>
                    <wp:lineTo x="18690" y="5621"/>
                    <wp:lineTo x="20372" y="5090"/>
                    <wp:lineTo x="20436" y="3097"/>
                    <wp:lineTo x="20048" y="3009"/>
                    <wp:lineTo x="17783" y="2701"/>
                    <wp:lineTo x="17333" y="2524"/>
                    <wp:lineTo x="15843" y="2081"/>
                    <wp:lineTo x="14550" y="1506"/>
                    <wp:lineTo x="13031" y="664"/>
                    <wp:lineTo x="13031" y="-44"/>
                    <wp:lineTo x="9087" y="-44"/>
                  </wp:wrapPolygon>
                </wp:wrapTight>
                <wp:docPr id="24"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63970" cy="4645660"/>
                          <a:chOff x="0" y="0"/>
                          <a:chExt cx="63642" cy="53300"/>
                        </a:xfrm>
                      </wpg:grpSpPr>
                      <wps:wsp>
                        <wps:cNvPr id="25" name="Blok textu 11"/>
                        <wps:cNvSpPr txBox="1">
                          <a:spLocks noChangeArrowheads="1"/>
                        </wps:cNvSpPr>
                        <wps:spPr bwMode="auto">
                          <a:xfrm>
                            <a:off x="27016" y="0"/>
                            <a:ext cx="11191" cy="4708"/>
                          </a:xfrm>
                          <a:prstGeom prst="rect">
                            <a:avLst/>
                          </a:prstGeom>
                          <a:solidFill>
                            <a:srgbClr val="FFFFFF"/>
                          </a:solidFill>
                          <a:ln w="25400">
                            <a:solidFill>
                              <a:srgbClr val="4F81BD"/>
                            </a:solidFill>
                            <a:miter lim="800000"/>
                            <a:headEnd/>
                            <a:tailEnd/>
                          </a:ln>
                        </wps:spPr>
                        <wps:txbx>
                          <w:txbxContent>
                            <w:p w14:paraId="212C0623" w14:textId="77777777" w:rsidR="00A84C26" w:rsidRDefault="00A84C26">
                              <w:pPr>
                                <w:jc w:val="center"/>
                                <w:rPr>
                                  <w:sz w:val="16"/>
                                  <w:szCs w:val="16"/>
                                </w:rPr>
                              </w:pPr>
                              <w:r>
                                <w:rPr>
                                  <w:sz w:val="16"/>
                                  <w:szCs w:val="16"/>
                                </w:rPr>
                                <w:t>Činnosť</w:t>
                              </w:r>
                            </w:p>
                            <w:p w14:paraId="30F442BC" w14:textId="77777777" w:rsidR="00A84C26" w:rsidRDefault="00A84C26">
                              <w:pPr>
                                <w:jc w:val="center"/>
                                <w:rPr>
                                  <w:sz w:val="16"/>
                                  <w:szCs w:val="16"/>
                                </w:rPr>
                              </w:pPr>
                            </w:p>
                          </w:txbxContent>
                        </wps:txbx>
                        <wps:bodyPr rot="0" vert="horz" wrap="square" lIns="91440" tIns="45720" rIns="91440" bIns="45720" anchor="b" anchorCtr="0" upright="1">
                          <a:noAutofit/>
                        </wps:bodyPr>
                      </wps:wsp>
                      <wps:wsp>
                        <wps:cNvPr id="26" name="Blok textu 12"/>
                        <wps:cNvSpPr txBox="1">
                          <a:spLocks noChangeArrowheads="1"/>
                        </wps:cNvSpPr>
                        <wps:spPr bwMode="auto">
                          <a:xfrm>
                            <a:off x="12587" y="7778"/>
                            <a:ext cx="11189" cy="4705"/>
                          </a:xfrm>
                          <a:prstGeom prst="rect">
                            <a:avLst/>
                          </a:prstGeom>
                          <a:solidFill>
                            <a:srgbClr val="FFFFFF"/>
                          </a:solidFill>
                          <a:ln w="25400">
                            <a:solidFill>
                              <a:srgbClr val="4F81BD"/>
                            </a:solidFill>
                            <a:miter lim="800000"/>
                            <a:headEnd/>
                            <a:tailEnd/>
                          </a:ln>
                        </wps:spPr>
                        <wps:txbx>
                          <w:txbxContent>
                            <w:p w14:paraId="0FA1AFF2" w14:textId="77777777" w:rsidR="00A84C26" w:rsidRDefault="00A84C26">
                              <w:pPr>
                                <w:jc w:val="center"/>
                                <w:rPr>
                                  <w:sz w:val="16"/>
                                  <w:szCs w:val="16"/>
                                </w:rPr>
                              </w:pPr>
                              <w:r>
                                <w:rPr>
                                  <w:sz w:val="16"/>
                                  <w:szCs w:val="16"/>
                                </w:rPr>
                                <w:t>Hospodárska činnosť</w:t>
                              </w:r>
                            </w:p>
                            <w:p w14:paraId="48E79208" w14:textId="77777777" w:rsidR="00A84C26" w:rsidRDefault="00A84C26">
                              <w:pPr>
                                <w:jc w:val="center"/>
                                <w:rPr>
                                  <w:sz w:val="16"/>
                                  <w:szCs w:val="16"/>
                                </w:rPr>
                              </w:pPr>
                            </w:p>
                          </w:txbxContent>
                        </wps:txbx>
                        <wps:bodyPr rot="0" vert="horz" wrap="square" lIns="91440" tIns="45720" rIns="91440" bIns="45720" anchor="b" anchorCtr="0" upright="1">
                          <a:noAutofit/>
                        </wps:bodyPr>
                      </wps:wsp>
                      <wps:wsp>
                        <wps:cNvPr id="27" name="Blok textu 13"/>
                        <wps:cNvSpPr txBox="1">
                          <a:spLocks noChangeArrowheads="1"/>
                        </wps:cNvSpPr>
                        <wps:spPr bwMode="auto">
                          <a:xfrm>
                            <a:off x="48213" y="7718"/>
                            <a:ext cx="11595" cy="4706"/>
                          </a:xfrm>
                          <a:prstGeom prst="rect">
                            <a:avLst/>
                          </a:prstGeom>
                          <a:solidFill>
                            <a:srgbClr val="FFFFFF"/>
                          </a:solidFill>
                          <a:ln w="25400">
                            <a:solidFill>
                              <a:srgbClr val="4F81BD"/>
                            </a:solidFill>
                            <a:miter lim="800000"/>
                            <a:headEnd/>
                            <a:tailEnd/>
                          </a:ln>
                        </wps:spPr>
                        <wps:txbx>
                          <w:txbxContent>
                            <w:p w14:paraId="29763A3D" w14:textId="77777777" w:rsidR="00A84C26" w:rsidRDefault="00A84C26">
                              <w:pPr>
                                <w:jc w:val="center"/>
                                <w:rPr>
                                  <w:sz w:val="16"/>
                                  <w:szCs w:val="16"/>
                                </w:rPr>
                              </w:pPr>
                              <w:r>
                                <w:rPr>
                                  <w:sz w:val="16"/>
                                  <w:szCs w:val="16"/>
                                </w:rPr>
                                <w:t>Nehospodárska činnosť</w:t>
                              </w:r>
                            </w:p>
                          </w:txbxContent>
                        </wps:txbx>
                        <wps:bodyPr rot="0" vert="horz" wrap="square" lIns="91440" tIns="45720" rIns="91440" bIns="45720" anchor="b" anchorCtr="0" upright="1">
                          <a:noAutofit/>
                        </wps:bodyPr>
                      </wps:wsp>
                      <wps:wsp>
                        <wps:cNvPr id="28" name="Blok textu 14"/>
                        <wps:cNvSpPr txBox="1">
                          <a:spLocks noChangeArrowheads="1"/>
                        </wps:cNvSpPr>
                        <wps:spPr bwMode="auto">
                          <a:xfrm>
                            <a:off x="0" y="13953"/>
                            <a:ext cx="10915" cy="4909"/>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50A335D9" w14:textId="77777777" w:rsidR="00A84C26" w:rsidRDefault="00A84C26">
                              <w:pPr>
                                <w:jc w:val="center"/>
                                <w:rPr>
                                  <w:sz w:val="16"/>
                                  <w:szCs w:val="16"/>
                                </w:rPr>
                              </w:pPr>
                              <w:r>
                                <w:rPr>
                                  <w:sz w:val="16"/>
                                  <w:szCs w:val="16"/>
                                </w:rPr>
                                <w:t>Nesplnené kritéria definované čl. 107</w:t>
                              </w:r>
                            </w:p>
                          </w:txbxContent>
                        </wps:txbx>
                        <wps:bodyPr rot="0" vert="horz" wrap="square" lIns="91440" tIns="45720" rIns="91440" bIns="45720" anchor="b" anchorCtr="0" upright="1">
                          <a:noAutofit/>
                        </wps:bodyPr>
                      </wps:wsp>
                      <wps:wsp>
                        <wps:cNvPr id="29" name="Blok textu 15"/>
                        <wps:cNvSpPr txBox="1">
                          <a:spLocks noChangeArrowheads="1"/>
                        </wps:cNvSpPr>
                        <wps:spPr bwMode="auto">
                          <a:xfrm>
                            <a:off x="13716" y="18941"/>
                            <a:ext cx="10915" cy="5283"/>
                          </a:xfrm>
                          <a:prstGeom prst="rect">
                            <a:avLst/>
                          </a:prstGeom>
                          <a:solidFill>
                            <a:srgbClr val="FFFFFF"/>
                          </a:solidFill>
                          <a:ln w="25400">
                            <a:solidFill>
                              <a:srgbClr val="4F81BD"/>
                            </a:solidFill>
                            <a:miter lim="800000"/>
                            <a:headEnd/>
                            <a:tailEnd/>
                          </a:ln>
                        </wps:spPr>
                        <wps:txbx>
                          <w:txbxContent>
                            <w:p w14:paraId="0E65ABF9" w14:textId="77777777" w:rsidR="00A84C26" w:rsidRDefault="00A84C26">
                              <w:pPr>
                                <w:jc w:val="center"/>
                                <w:rPr>
                                  <w:sz w:val="16"/>
                                  <w:szCs w:val="16"/>
                                </w:rPr>
                              </w:pPr>
                              <w:r>
                                <w:rPr>
                                  <w:sz w:val="16"/>
                                  <w:szCs w:val="16"/>
                                </w:rPr>
                                <w:t>Pomoc de minimis (podľa limitov a podmienok)</w:t>
                              </w:r>
                            </w:p>
                          </w:txbxContent>
                        </wps:txbx>
                        <wps:bodyPr rot="0" vert="horz" wrap="square" lIns="91440" tIns="45720" rIns="91440" bIns="45720" anchor="b" anchorCtr="0" upright="1">
                          <a:noAutofit/>
                        </wps:bodyPr>
                      </wps:wsp>
                      <wps:wsp>
                        <wps:cNvPr id="30" name="Blok textu 16"/>
                        <wps:cNvSpPr txBox="1">
                          <a:spLocks noChangeArrowheads="1"/>
                        </wps:cNvSpPr>
                        <wps:spPr bwMode="auto">
                          <a:xfrm>
                            <a:off x="25828" y="30341"/>
                            <a:ext cx="10916" cy="4909"/>
                          </a:xfrm>
                          <a:prstGeom prst="rect">
                            <a:avLst/>
                          </a:prstGeom>
                          <a:solidFill>
                            <a:srgbClr val="FFFFFF"/>
                          </a:solidFill>
                          <a:ln w="25400">
                            <a:solidFill>
                              <a:srgbClr val="4F81BD"/>
                            </a:solidFill>
                            <a:miter lim="800000"/>
                            <a:headEnd/>
                            <a:tailEnd/>
                          </a:ln>
                        </wps:spPr>
                        <wps:txbx>
                          <w:txbxContent>
                            <w:p w14:paraId="5A9AFF99" w14:textId="77777777" w:rsidR="00A84C26" w:rsidRDefault="00A84C26">
                              <w:pPr>
                                <w:jc w:val="center"/>
                                <w:rPr>
                                  <w:sz w:val="16"/>
                                  <w:szCs w:val="16"/>
                                </w:rPr>
                              </w:pPr>
                              <w:r>
                                <w:rPr>
                                  <w:sz w:val="16"/>
                                  <w:szCs w:val="16"/>
                                </w:rPr>
                                <w:t>SVHZ</w:t>
                              </w:r>
                            </w:p>
                            <w:p w14:paraId="074C804E" w14:textId="77777777" w:rsidR="00A84C26" w:rsidRDefault="00A84C26">
                              <w:pPr>
                                <w:jc w:val="center"/>
                                <w:rPr>
                                  <w:sz w:val="16"/>
                                  <w:szCs w:val="16"/>
                                </w:rPr>
                              </w:pPr>
                            </w:p>
                          </w:txbxContent>
                        </wps:txbx>
                        <wps:bodyPr rot="0" vert="horz" wrap="square" lIns="91440" tIns="45720" rIns="91440" bIns="45720" anchor="b" anchorCtr="0" upright="1">
                          <a:noAutofit/>
                        </wps:bodyPr>
                      </wps:wsp>
                      <wps:wsp>
                        <wps:cNvPr id="31" name="Blok textu 17"/>
                        <wps:cNvSpPr txBox="1">
                          <a:spLocks noChangeArrowheads="1"/>
                        </wps:cNvSpPr>
                        <wps:spPr bwMode="auto">
                          <a:xfrm>
                            <a:off x="42929" y="24166"/>
                            <a:ext cx="10918" cy="5329"/>
                          </a:xfrm>
                          <a:prstGeom prst="rect">
                            <a:avLst/>
                          </a:prstGeom>
                          <a:solidFill>
                            <a:srgbClr val="FFFFFF"/>
                          </a:solidFill>
                          <a:ln w="25400">
                            <a:solidFill>
                              <a:srgbClr val="4F81BD"/>
                            </a:solidFill>
                            <a:miter lim="800000"/>
                            <a:headEnd/>
                            <a:tailEnd/>
                          </a:ln>
                        </wps:spPr>
                        <wps:txbx>
                          <w:txbxContent>
                            <w:p w14:paraId="464A9FBF" w14:textId="77777777" w:rsidR="00A84C26" w:rsidRDefault="00A84C26">
                              <w:pPr>
                                <w:jc w:val="center"/>
                                <w:rPr>
                                  <w:sz w:val="16"/>
                                  <w:szCs w:val="16"/>
                                </w:rPr>
                              </w:pPr>
                              <w:r>
                                <w:rPr>
                                  <w:sz w:val="16"/>
                                  <w:szCs w:val="16"/>
                                </w:rPr>
                                <w:t>Štátna pomoc (splnené všetky kritériá)</w:t>
                              </w:r>
                            </w:p>
                          </w:txbxContent>
                        </wps:txbx>
                        <wps:bodyPr rot="0" vert="horz" wrap="square" lIns="91440" tIns="45720" rIns="91440" bIns="45720" anchor="b" anchorCtr="0" upright="1">
                          <a:noAutofit/>
                        </wps:bodyPr>
                      </wps:wsp>
                      <wps:wsp>
                        <wps:cNvPr id="32" name="Blok textu 18"/>
                        <wps:cNvSpPr txBox="1">
                          <a:spLocks noChangeArrowheads="1"/>
                        </wps:cNvSpPr>
                        <wps:spPr bwMode="auto">
                          <a:xfrm>
                            <a:off x="1068" y="24819"/>
                            <a:ext cx="10916" cy="4908"/>
                          </a:xfrm>
                          <a:prstGeom prst="rect">
                            <a:avLst/>
                          </a:prstGeom>
                          <a:solidFill>
                            <a:srgbClr val="FFFFFF"/>
                          </a:solidFill>
                          <a:ln w="25400">
                            <a:solidFill>
                              <a:srgbClr val="4F81BD"/>
                            </a:solidFill>
                            <a:miter lim="800000"/>
                            <a:headEnd/>
                            <a:tailEnd/>
                          </a:ln>
                        </wps:spPr>
                        <wps:txbx>
                          <w:txbxContent>
                            <w:p w14:paraId="077E4C9F" w14:textId="77777777" w:rsidR="00A84C26" w:rsidRDefault="00A84C26">
                              <w:pPr>
                                <w:jc w:val="center"/>
                                <w:rPr>
                                  <w:sz w:val="16"/>
                                  <w:szCs w:val="16"/>
                                </w:rPr>
                              </w:pPr>
                              <w:r>
                                <w:rPr>
                                  <w:sz w:val="16"/>
                                  <w:szCs w:val="16"/>
                                </w:rPr>
                                <w:t>Nie je štátna pomoc</w:t>
                              </w:r>
                            </w:p>
                            <w:p w14:paraId="134E1BAC" w14:textId="77777777" w:rsidR="00A84C26" w:rsidRDefault="00A84C26">
                              <w:pPr>
                                <w:jc w:val="center"/>
                                <w:rPr>
                                  <w:sz w:val="16"/>
                                  <w:szCs w:val="16"/>
                                </w:rPr>
                              </w:pPr>
                            </w:p>
                          </w:txbxContent>
                        </wps:txbx>
                        <wps:bodyPr rot="0" vert="horz" wrap="square" lIns="91440" tIns="45720" rIns="91440" bIns="45720" anchor="b" anchorCtr="0" upright="1">
                          <a:noAutofit/>
                        </wps:bodyPr>
                      </wps:wsp>
                      <wps:wsp>
                        <wps:cNvPr id="33" name="Rovná spojovacia šípka 19"/>
                        <wps:cNvCnPr>
                          <a:cxnSpLocks noChangeShapeType="1"/>
                        </wps:cNvCnPr>
                        <wps:spPr bwMode="auto">
                          <a:xfrm flipH="1">
                            <a:off x="6353" y="10153"/>
                            <a:ext cx="6278" cy="1467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4" name="Blok textu 20"/>
                        <wps:cNvSpPr txBox="1">
                          <a:spLocks noChangeArrowheads="1"/>
                        </wps:cNvSpPr>
                        <wps:spPr bwMode="auto">
                          <a:xfrm>
                            <a:off x="36744" y="14032"/>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27ED79D0" w14:textId="77777777" w:rsidR="00A84C26" w:rsidRDefault="00A84C26">
                              <w:pPr>
                                <w:jc w:val="center"/>
                                <w:rPr>
                                  <w:sz w:val="16"/>
                                  <w:szCs w:val="16"/>
                                </w:rPr>
                              </w:pPr>
                              <w:r>
                                <w:rPr>
                                  <w:sz w:val="16"/>
                                  <w:szCs w:val="16"/>
                                </w:rPr>
                                <w:t>Splnené kritéria definované čl. 107</w:t>
                              </w:r>
                            </w:p>
                          </w:txbxContent>
                        </wps:txbx>
                        <wps:bodyPr rot="0" vert="horz" wrap="square" lIns="91440" tIns="45720" rIns="91440" bIns="45720" anchor="b" anchorCtr="0" upright="1">
                          <a:noAutofit/>
                        </wps:bodyPr>
                      </wps:wsp>
                      <wps:wsp>
                        <wps:cNvPr id="35" name="Rovná spojovacia šípka 21"/>
                        <wps:cNvCnPr>
                          <a:cxnSpLocks noChangeShapeType="1"/>
                        </wps:cNvCnPr>
                        <wps:spPr bwMode="auto">
                          <a:xfrm>
                            <a:off x="23810" y="10509"/>
                            <a:ext cx="24631" cy="1365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6" name="Rovná spojovacia šípka 22"/>
                        <wps:cNvCnPr>
                          <a:cxnSpLocks noChangeShapeType="1"/>
                        </wps:cNvCnPr>
                        <wps:spPr bwMode="auto">
                          <a:xfrm>
                            <a:off x="18763" y="12469"/>
                            <a:ext cx="68" cy="641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7" name="Rovná spojovacia šípka 23"/>
                        <wps:cNvCnPr>
                          <a:cxnSpLocks noChangeShapeType="1"/>
                        </wps:cNvCnPr>
                        <wps:spPr bwMode="auto">
                          <a:xfrm>
                            <a:off x="22860" y="12409"/>
                            <a:ext cx="7915" cy="17879"/>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8" name="Rovná spojovacia šípka 24"/>
                        <wps:cNvCnPr>
                          <a:cxnSpLocks noChangeShapeType="1"/>
                        </wps:cNvCnPr>
                        <wps:spPr bwMode="auto">
                          <a:xfrm flipH="1" flipV="1">
                            <a:off x="9025" y="29807"/>
                            <a:ext cx="16798" cy="379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39" name="Rovná spojovacia šípka 25"/>
                        <wps:cNvCnPr>
                          <a:cxnSpLocks noChangeShapeType="1"/>
                        </wps:cNvCnPr>
                        <wps:spPr bwMode="auto">
                          <a:xfrm flipH="1">
                            <a:off x="17931" y="2137"/>
                            <a:ext cx="9008" cy="552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0" name="Blok textu 26"/>
                        <wps:cNvSpPr txBox="1">
                          <a:spLocks noChangeArrowheads="1"/>
                        </wps:cNvSpPr>
                        <wps:spPr bwMode="auto">
                          <a:xfrm>
                            <a:off x="3028" y="29985"/>
                            <a:ext cx="10915"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3F7A63A" w14:textId="77777777" w:rsidR="00A84C26" w:rsidRDefault="00A84C26">
                              <w:pPr>
                                <w:jc w:val="center"/>
                                <w:rPr>
                                  <w:sz w:val="16"/>
                                  <w:szCs w:val="16"/>
                                </w:rPr>
                              </w:pPr>
                              <w:r>
                                <w:rPr>
                                  <w:sz w:val="16"/>
                                  <w:szCs w:val="16"/>
                                </w:rPr>
                                <w:t>Splnené všetky kritéria Altmark</w:t>
                              </w:r>
                            </w:p>
                          </w:txbxContent>
                        </wps:txbx>
                        <wps:bodyPr rot="0" vert="horz" wrap="square" lIns="91440" tIns="45720" rIns="91440" bIns="45720" anchor="b" anchorCtr="0" upright="1">
                          <a:noAutofit/>
                        </wps:bodyPr>
                      </wps:wsp>
                      <wps:wsp>
                        <wps:cNvPr id="41" name="Rovná spojovacia šípka 27"/>
                        <wps:cNvCnPr>
                          <a:cxnSpLocks noChangeShapeType="1"/>
                        </wps:cNvCnPr>
                        <wps:spPr bwMode="auto">
                          <a:xfrm>
                            <a:off x="38119" y="2137"/>
                            <a:ext cx="14538" cy="5525"/>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2" name="Blok textu 28"/>
                        <wps:cNvSpPr txBox="1">
                          <a:spLocks noChangeArrowheads="1"/>
                        </wps:cNvSpPr>
                        <wps:spPr bwMode="auto">
                          <a:xfrm>
                            <a:off x="37525" y="30306"/>
                            <a:ext cx="10916" cy="49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69739AD" w14:textId="77777777" w:rsidR="00A84C26" w:rsidRDefault="00A84C26">
                              <w:pP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3" name="Rovná spojovacia šípka 29"/>
                        <wps:cNvCnPr>
                          <a:cxnSpLocks noChangeShapeType="1"/>
                        </wps:cNvCnPr>
                        <wps:spPr bwMode="auto">
                          <a:xfrm flipV="1">
                            <a:off x="36754" y="27728"/>
                            <a:ext cx="6144" cy="5391"/>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4" name="Rovná spojovacia šípka 30"/>
                        <wps:cNvCnPr>
                          <a:cxnSpLocks noChangeShapeType="1"/>
                        </wps:cNvCnPr>
                        <wps:spPr bwMode="auto">
                          <a:xfrm flipH="1" flipV="1">
                            <a:off x="21256" y="24166"/>
                            <a:ext cx="6294" cy="6116"/>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5" name="Blok textu 31"/>
                        <wps:cNvSpPr txBox="1">
                          <a:spLocks noChangeArrowheads="1"/>
                        </wps:cNvSpPr>
                        <wps:spPr bwMode="auto">
                          <a:xfrm>
                            <a:off x="19178" y="24878"/>
                            <a:ext cx="10916"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74C205F7" w14:textId="77777777" w:rsidR="00A84C26" w:rsidRDefault="00A84C26">
                              <w:pPr>
                                <w:jc w:val="center"/>
                                <w:rPr>
                                  <w:sz w:val="16"/>
                                  <w:szCs w:val="16"/>
                                </w:rPr>
                              </w:pPr>
                              <w:r>
                                <w:rPr>
                                  <w:sz w:val="16"/>
                                  <w:szCs w:val="16"/>
                                </w:rPr>
                                <w:t>Nesplnené kritéria Altmark</w:t>
                              </w:r>
                            </w:p>
                          </w:txbxContent>
                        </wps:txbx>
                        <wps:bodyPr rot="0" vert="horz" wrap="square" lIns="91440" tIns="45720" rIns="91440" bIns="45720" anchor="b" anchorCtr="0" upright="1">
                          <a:noAutofit/>
                        </wps:bodyPr>
                      </wps:wsp>
                      <wps:wsp>
                        <wps:cNvPr id="46" name="Blok textu 1120"/>
                        <wps:cNvSpPr txBox="1">
                          <a:spLocks noChangeArrowheads="1"/>
                        </wps:cNvSpPr>
                        <wps:spPr bwMode="auto">
                          <a:xfrm>
                            <a:off x="48213" y="15675"/>
                            <a:ext cx="11595" cy="5525"/>
                          </a:xfrm>
                          <a:prstGeom prst="rect">
                            <a:avLst/>
                          </a:prstGeom>
                          <a:solidFill>
                            <a:srgbClr val="FFFFFF"/>
                          </a:solidFill>
                          <a:ln w="25400">
                            <a:solidFill>
                              <a:srgbClr val="4F81BD"/>
                            </a:solidFill>
                            <a:miter lim="800000"/>
                            <a:headEnd/>
                            <a:tailEnd/>
                          </a:ln>
                        </wps:spPr>
                        <wps:txbx>
                          <w:txbxContent>
                            <w:p w14:paraId="0D05AFE3" w14:textId="77777777" w:rsidR="00A84C26" w:rsidRDefault="00A84C26">
                              <w:pPr>
                                <w:jc w:val="center"/>
                                <w:rPr>
                                  <w:sz w:val="16"/>
                                  <w:szCs w:val="16"/>
                                </w:rPr>
                              </w:pPr>
                              <w:r>
                                <w:rPr>
                                  <w:sz w:val="16"/>
                                  <w:szCs w:val="16"/>
                                </w:rPr>
                                <w:t>Nevzťahujú sa pravidlá o štátnej pomoci</w:t>
                              </w:r>
                            </w:p>
                          </w:txbxContent>
                        </wps:txbx>
                        <wps:bodyPr rot="0" vert="horz" wrap="square" lIns="91440" tIns="45720" rIns="91440" bIns="45720" anchor="b" anchorCtr="0" upright="1">
                          <a:noAutofit/>
                        </wps:bodyPr>
                      </wps:wsp>
                      <wps:wsp>
                        <wps:cNvPr id="47" name="Rovná spojovacia šípka 1121"/>
                        <wps:cNvCnPr>
                          <a:cxnSpLocks noChangeShapeType="1"/>
                        </wps:cNvCnPr>
                        <wps:spPr bwMode="auto">
                          <a:xfrm>
                            <a:off x="53320" y="12469"/>
                            <a:ext cx="0" cy="3207"/>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48" name="Blok textu 1122"/>
                        <wps:cNvSpPr txBox="1">
                          <a:spLocks noChangeArrowheads="1"/>
                        </wps:cNvSpPr>
                        <wps:spPr bwMode="auto">
                          <a:xfrm>
                            <a:off x="24641" y="15734"/>
                            <a:ext cx="10915" cy="49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25400">
                                <a:solidFill>
                                  <a:srgbClr val="000000"/>
                                </a:solidFill>
                                <a:miter lim="800000"/>
                                <a:headEnd/>
                                <a:tailEnd/>
                              </a14:hiddenLine>
                            </a:ext>
                          </a:extLst>
                        </wps:spPr>
                        <wps:txbx>
                          <w:txbxContent>
                            <w:p w14:paraId="666FF78F" w14:textId="77777777" w:rsidR="00A84C26" w:rsidRDefault="00A84C26">
                              <w:pPr>
                                <w:rPr>
                                  <w:sz w:val="16"/>
                                  <w:szCs w:val="16"/>
                                </w:rPr>
                              </w:pPr>
                              <w:r>
                                <w:rPr>
                                  <w:sz w:val="16"/>
                                  <w:szCs w:val="16"/>
                                </w:rPr>
                                <w:t>Služby osobitného charakteru</w:t>
                              </w:r>
                            </w:p>
                          </w:txbxContent>
                        </wps:txbx>
                        <wps:bodyPr rot="0" vert="horz" wrap="square" lIns="91440" tIns="45720" rIns="91440" bIns="45720" anchor="b" anchorCtr="0" upright="1">
                          <a:noAutofit/>
                        </wps:bodyPr>
                      </wps:wsp>
                      <wps:wsp>
                        <wps:cNvPr id="49" name="Blok textu 1123"/>
                        <wps:cNvSpPr txBox="1">
                          <a:spLocks noChangeArrowheads="1"/>
                        </wps:cNvSpPr>
                        <wps:spPr bwMode="auto">
                          <a:xfrm>
                            <a:off x="52726" y="37585"/>
                            <a:ext cx="10916" cy="4908"/>
                          </a:xfrm>
                          <a:prstGeom prst="rect">
                            <a:avLst/>
                          </a:prstGeom>
                          <a:solidFill>
                            <a:srgbClr val="FFFFFF"/>
                          </a:solidFill>
                          <a:ln w="25400">
                            <a:solidFill>
                              <a:srgbClr val="4F81BD"/>
                            </a:solidFill>
                            <a:miter lim="800000"/>
                            <a:headEnd/>
                            <a:tailEnd/>
                          </a:ln>
                        </wps:spPr>
                        <wps:txbx>
                          <w:txbxContent>
                            <w:p w14:paraId="6EDFA05E" w14:textId="77777777" w:rsidR="00A84C26" w:rsidRDefault="00A84C26">
                              <w:pPr>
                                <w:jc w:val="center"/>
                                <w:rPr>
                                  <w:sz w:val="16"/>
                                  <w:szCs w:val="16"/>
                                </w:rPr>
                              </w:pPr>
                              <w:r>
                                <w:rPr>
                                  <w:sz w:val="16"/>
                                  <w:szCs w:val="16"/>
                                </w:rPr>
                                <w:t>Oslobodenie od notifikácie</w:t>
                              </w:r>
                            </w:p>
                          </w:txbxContent>
                        </wps:txbx>
                        <wps:bodyPr rot="0" vert="horz" wrap="square" lIns="91440" tIns="45720" rIns="91440" bIns="45720" anchor="ctr" anchorCtr="0" upright="1">
                          <a:noAutofit/>
                        </wps:bodyPr>
                      </wps:wsp>
                      <wps:wsp>
                        <wps:cNvPr id="50" name="Blok textu 1124"/>
                        <wps:cNvSpPr txBox="1">
                          <a:spLocks noChangeArrowheads="1"/>
                        </wps:cNvSpPr>
                        <wps:spPr bwMode="auto">
                          <a:xfrm>
                            <a:off x="40138" y="37644"/>
                            <a:ext cx="10916" cy="4909"/>
                          </a:xfrm>
                          <a:prstGeom prst="rect">
                            <a:avLst/>
                          </a:prstGeom>
                          <a:solidFill>
                            <a:srgbClr val="FFFFFF"/>
                          </a:solidFill>
                          <a:ln w="25400">
                            <a:solidFill>
                              <a:srgbClr val="4F81BD"/>
                            </a:solidFill>
                            <a:miter lim="800000"/>
                            <a:headEnd/>
                            <a:tailEnd/>
                          </a:ln>
                        </wps:spPr>
                        <wps:txbx>
                          <w:txbxContent>
                            <w:p w14:paraId="00AD63A7" w14:textId="77777777" w:rsidR="00A84C26" w:rsidRDefault="00A84C26">
                              <w:pPr>
                                <w:jc w:val="center"/>
                                <w:rPr>
                                  <w:sz w:val="16"/>
                                  <w:szCs w:val="16"/>
                                </w:rPr>
                              </w:pPr>
                              <w:r>
                                <w:rPr>
                                  <w:sz w:val="16"/>
                                  <w:szCs w:val="16"/>
                                </w:rPr>
                                <w:t>Notifikácia pomoci</w:t>
                              </w:r>
                            </w:p>
                            <w:p w14:paraId="16D4ABFA" w14:textId="77777777" w:rsidR="00A84C26" w:rsidRDefault="00A84C26">
                              <w:pPr>
                                <w:jc w:val="center"/>
                                <w:rPr>
                                  <w:sz w:val="16"/>
                                  <w:szCs w:val="16"/>
                                </w:rPr>
                              </w:pPr>
                            </w:p>
                          </w:txbxContent>
                        </wps:txbx>
                        <wps:bodyPr rot="0" vert="horz" wrap="square" lIns="91440" tIns="45720" rIns="91440" bIns="45720" anchor="b" anchorCtr="0" upright="1">
                          <a:noAutofit/>
                        </wps:bodyPr>
                      </wps:wsp>
                      <wps:wsp>
                        <wps:cNvPr id="51" name="Rovná spojovacia šípka 1125"/>
                        <wps:cNvCnPr>
                          <a:cxnSpLocks noChangeShapeType="1"/>
                        </wps:cNvCnPr>
                        <wps:spPr bwMode="auto">
                          <a:xfrm flipH="1">
                            <a:off x="48213" y="29688"/>
                            <a:ext cx="115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2" name="Rovná spojovacia šípka 1126"/>
                        <wps:cNvCnPr>
                          <a:cxnSpLocks noChangeShapeType="1"/>
                        </wps:cNvCnPr>
                        <wps:spPr bwMode="auto">
                          <a:xfrm>
                            <a:off x="52667" y="29688"/>
                            <a:ext cx="3548" cy="7920"/>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3" name="Blok textu 1127"/>
                        <wps:cNvSpPr txBox="1">
                          <a:spLocks noChangeArrowheads="1"/>
                        </wps:cNvSpPr>
                        <wps:spPr bwMode="auto">
                          <a:xfrm>
                            <a:off x="40672" y="48391"/>
                            <a:ext cx="10916" cy="4909"/>
                          </a:xfrm>
                          <a:prstGeom prst="rect">
                            <a:avLst/>
                          </a:prstGeom>
                          <a:solidFill>
                            <a:srgbClr val="FFFFFF"/>
                          </a:solidFill>
                          <a:ln w="25400">
                            <a:solidFill>
                              <a:srgbClr val="4F81BD"/>
                            </a:solidFill>
                            <a:miter lim="800000"/>
                            <a:headEnd/>
                            <a:tailEnd/>
                          </a:ln>
                        </wps:spPr>
                        <wps:txbx>
                          <w:txbxContent>
                            <w:p w14:paraId="743C74F8" w14:textId="77777777" w:rsidR="00A84C26" w:rsidRDefault="00A84C26">
                              <w:pPr>
                                <w:jc w:val="center"/>
                                <w:rPr>
                                  <w:sz w:val="16"/>
                                  <w:szCs w:val="16"/>
                                </w:rPr>
                              </w:pPr>
                              <w:r>
                                <w:rPr>
                                  <w:sz w:val="16"/>
                                  <w:szCs w:val="16"/>
                                </w:rPr>
                                <w:t>Individuálna pomoc</w:t>
                              </w:r>
                            </w:p>
                            <w:p w14:paraId="4E603784" w14:textId="77777777" w:rsidR="00A84C26" w:rsidRDefault="00A84C26">
                              <w:pPr>
                                <w:jc w:val="center"/>
                                <w:rPr>
                                  <w:sz w:val="16"/>
                                  <w:szCs w:val="16"/>
                                </w:rPr>
                              </w:pPr>
                            </w:p>
                          </w:txbxContent>
                        </wps:txbx>
                        <wps:bodyPr rot="0" vert="horz" wrap="square" lIns="91440" tIns="45720" rIns="91440" bIns="45720" anchor="b" anchorCtr="0" upright="1">
                          <a:noAutofit/>
                        </wps:bodyPr>
                      </wps:wsp>
                      <wps:wsp>
                        <wps:cNvPr id="54" name="Blok textu 32"/>
                        <wps:cNvSpPr txBox="1">
                          <a:spLocks noChangeArrowheads="1"/>
                        </wps:cNvSpPr>
                        <wps:spPr bwMode="auto">
                          <a:xfrm>
                            <a:off x="53023" y="48391"/>
                            <a:ext cx="10619" cy="4909"/>
                          </a:xfrm>
                          <a:prstGeom prst="rect">
                            <a:avLst/>
                          </a:prstGeom>
                          <a:solidFill>
                            <a:srgbClr val="FFFFFF"/>
                          </a:solidFill>
                          <a:ln w="25400">
                            <a:solidFill>
                              <a:srgbClr val="4F81BD"/>
                            </a:solidFill>
                            <a:miter lim="800000"/>
                            <a:headEnd/>
                            <a:tailEnd/>
                          </a:ln>
                        </wps:spPr>
                        <wps:txbx>
                          <w:txbxContent>
                            <w:p w14:paraId="6C5943A7" w14:textId="77777777" w:rsidR="00A84C26" w:rsidRDefault="00A84C26">
                              <w:pPr>
                                <w:jc w:val="center"/>
                                <w:rPr>
                                  <w:sz w:val="16"/>
                                  <w:szCs w:val="16"/>
                                </w:rPr>
                              </w:pPr>
                              <w:r>
                                <w:rPr>
                                  <w:sz w:val="16"/>
                                  <w:szCs w:val="16"/>
                                </w:rPr>
                                <w:t>Schéma štátnej pomoci</w:t>
                              </w:r>
                            </w:p>
                          </w:txbxContent>
                        </wps:txbx>
                        <wps:bodyPr rot="0" vert="horz" wrap="square" lIns="91440" tIns="45720" rIns="91440" bIns="45720" anchor="b" anchorCtr="0" upright="1">
                          <a:noAutofit/>
                        </wps:bodyPr>
                      </wps:wsp>
                      <wps:wsp>
                        <wps:cNvPr id="55" name="Rovná spojovacia šípka 33"/>
                        <wps:cNvCnPr>
                          <a:cxnSpLocks noChangeShapeType="1"/>
                        </wps:cNvCnPr>
                        <wps:spPr bwMode="auto">
                          <a:xfrm>
                            <a:off x="45541" y="42513"/>
                            <a:ext cx="0" cy="5737"/>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6" name="Rovná spojovacia šípka 34"/>
                        <wps:cNvCnPr>
                          <a:cxnSpLocks noChangeShapeType="1"/>
                        </wps:cNvCnPr>
                        <wps:spPr bwMode="auto">
                          <a:xfrm>
                            <a:off x="45541" y="42513"/>
                            <a:ext cx="14256" cy="5728"/>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57" name="Rovná spojovacia šípka 35"/>
                        <wps:cNvCnPr>
                          <a:cxnSpLocks noChangeShapeType="1"/>
                        </wps:cNvCnPr>
                        <wps:spPr bwMode="auto">
                          <a:xfrm flipH="1">
                            <a:off x="48807" y="42513"/>
                            <a:ext cx="7365" cy="5733"/>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8" name="Rovná spojovacia šípka 36"/>
                        <wps:cNvCnPr>
                          <a:cxnSpLocks noChangeShapeType="1"/>
                        </wps:cNvCnPr>
                        <wps:spPr bwMode="auto">
                          <a:xfrm>
                            <a:off x="56170" y="42513"/>
                            <a:ext cx="0" cy="5728"/>
                          </a:xfrm>
                          <a:prstGeom prst="straightConnector1">
                            <a:avLst/>
                          </a:prstGeom>
                          <a:noFill/>
                          <a:ln w="28575">
                            <a:solidFill>
                              <a:srgbClr val="4579B8"/>
                            </a:solidFill>
                            <a:round/>
                            <a:headEnd/>
                            <a:tailEnd type="arrow" w="med" len="med"/>
                          </a:ln>
                          <a:extLst>
                            <a:ext uri="{909E8E84-426E-40DD-AFC4-6F175D3DCCD1}">
                              <a14:hiddenFill xmlns:a14="http://schemas.microsoft.com/office/drawing/2010/main">
                                <a:noFill/>
                              </a14:hiddenFill>
                            </a:ext>
                          </a:extLst>
                        </wps:spPr>
                        <wps:bodyPr/>
                      </wps:wsp>
                      <wps:wsp>
                        <wps:cNvPr id="59" name="Blok textu 37"/>
                        <wps:cNvSpPr txBox="1">
                          <a:spLocks noChangeArrowheads="1"/>
                        </wps:cNvSpPr>
                        <wps:spPr bwMode="auto">
                          <a:xfrm>
                            <a:off x="4928" y="37585"/>
                            <a:ext cx="10915" cy="4908"/>
                          </a:xfrm>
                          <a:prstGeom prst="rect">
                            <a:avLst/>
                          </a:prstGeom>
                          <a:solidFill>
                            <a:srgbClr val="FFFFFF"/>
                          </a:solidFill>
                          <a:ln w="25400">
                            <a:solidFill>
                              <a:srgbClr val="4F81BD"/>
                            </a:solidFill>
                            <a:miter lim="800000"/>
                            <a:headEnd/>
                            <a:tailEnd/>
                          </a:ln>
                        </wps:spPr>
                        <wps:txbx>
                          <w:txbxContent>
                            <w:p w14:paraId="10415EDA" w14:textId="77777777" w:rsidR="00A84C26" w:rsidRDefault="00A84C26">
                              <w:pPr>
                                <w:jc w:val="center"/>
                                <w:rPr>
                                  <w:sz w:val="16"/>
                                  <w:szCs w:val="16"/>
                                </w:rPr>
                              </w:pPr>
                              <w:r>
                                <w:rPr>
                                  <w:sz w:val="16"/>
                                  <w:szCs w:val="16"/>
                                </w:rPr>
                                <w:t>Individuálna pomoc</w:t>
                              </w:r>
                            </w:p>
                            <w:p w14:paraId="36E0850C" w14:textId="77777777" w:rsidR="00A84C26" w:rsidRDefault="00A84C26">
                              <w:pPr>
                                <w:jc w:val="center"/>
                                <w:rPr>
                                  <w:sz w:val="16"/>
                                  <w:szCs w:val="16"/>
                                </w:rPr>
                              </w:pPr>
                            </w:p>
                          </w:txbxContent>
                        </wps:txbx>
                        <wps:bodyPr rot="0" vert="horz" wrap="square" lIns="91440" tIns="45720" rIns="91440" bIns="45720" anchor="b" anchorCtr="0" upright="1">
                          <a:noAutofit/>
                        </wps:bodyPr>
                      </wps:wsp>
                      <wps:wsp>
                        <wps:cNvPr id="60" name="Blok textu 38"/>
                        <wps:cNvSpPr txBox="1">
                          <a:spLocks noChangeArrowheads="1"/>
                        </wps:cNvSpPr>
                        <wps:spPr bwMode="auto">
                          <a:xfrm>
                            <a:off x="18406" y="37644"/>
                            <a:ext cx="10916" cy="4909"/>
                          </a:xfrm>
                          <a:prstGeom prst="rect">
                            <a:avLst/>
                          </a:prstGeom>
                          <a:solidFill>
                            <a:srgbClr val="FFFFFF"/>
                          </a:solidFill>
                          <a:ln w="25400">
                            <a:solidFill>
                              <a:srgbClr val="4F81BD"/>
                            </a:solidFill>
                            <a:miter lim="800000"/>
                            <a:headEnd/>
                            <a:tailEnd/>
                          </a:ln>
                        </wps:spPr>
                        <wps:txbx>
                          <w:txbxContent>
                            <w:p w14:paraId="2DC3C560" w14:textId="77777777" w:rsidR="00A84C26" w:rsidRDefault="00A84C26">
                              <w:pPr>
                                <w:jc w:val="center"/>
                                <w:rPr>
                                  <w:sz w:val="16"/>
                                  <w:szCs w:val="16"/>
                                </w:rPr>
                              </w:pPr>
                              <w:r>
                                <w:rPr>
                                  <w:sz w:val="16"/>
                                  <w:szCs w:val="16"/>
                                </w:rPr>
                                <w:t>Schéma pomoci de minimis</w:t>
                              </w:r>
                            </w:p>
                          </w:txbxContent>
                        </wps:txbx>
                        <wps:bodyPr rot="0" vert="horz" wrap="square" lIns="91440" tIns="45720" rIns="91440" bIns="45720" anchor="b" anchorCtr="0" upright="1">
                          <a:noAutofit/>
                        </wps:bodyPr>
                      </wps:wsp>
                      <wps:wsp>
                        <wps:cNvPr id="61" name="Rovná spojovacia šípka 39"/>
                        <wps:cNvCnPr>
                          <a:cxnSpLocks noChangeShapeType="1"/>
                        </wps:cNvCnPr>
                        <wps:spPr bwMode="auto">
                          <a:xfrm flipH="1">
                            <a:off x="10925" y="24225"/>
                            <a:ext cx="5654" cy="13419"/>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s:wsp>
                        <wps:cNvPr id="62" name="Rovná spojovacia šípka 40"/>
                        <wps:cNvCnPr>
                          <a:cxnSpLocks noChangeShapeType="1"/>
                        </wps:cNvCnPr>
                        <wps:spPr bwMode="auto">
                          <a:xfrm>
                            <a:off x="17931" y="24225"/>
                            <a:ext cx="8490" cy="13415"/>
                          </a:xfrm>
                          <a:prstGeom prst="straightConnector1">
                            <a:avLst/>
                          </a:prstGeom>
                          <a:noFill/>
                          <a:ln w="28575">
                            <a:solidFill>
                              <a:srgbClr val="4579B8"/>
                            </a:solidFill>
                            <a:prstDash val="dash"/>
                            <a:round/>
                            <a:headEnd/>
                            <a:tailEnd type="arrow"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Skupina 10" o:spid="_x0000_s1040" style="position:absolute;left:0;text-align:left;margin-left:-14.25pt;margin-top:.6pt;width:501.1pt;height:365.8pt;z-index:-251645952"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XYIawoAAOp3AAAOAAAAZHJzL2Uyb0RvYy54bWzsXe1y27gV/d+ZfQcO/ysiQPBLE2Untuy0&#10;M2m70+zuf1qiJG4kkiVpy2mnD7MP0KfY6Xv1XoAEQZGytOuISmLkhyNbEkWCB/eee84F9Pr7x+3G&#10;eIjyIk6TqUleWaYRJfN0ESerqfnTj7cj3zSKMkwW4SZNoqn5KSrM799896fXu2wS0XSdbhZRbsBB&#10;kmKyy6bmuiyzyXhczNfRNixepVmUwJPLNN+GJfyar8aLPNzB0bebMbUsd7xL80WWp/OoKOCvM/Gk&#10;+YYff7mM5uXfl8siKo3N1IRzK/nPnP+8w5/jN6/DySoPs3U8r04j/ANnsQ3jBD5UHmoWlqFxn8ed&#10;Q23jeZ4W6bJ8NU+343S5jOcRvwa4GmLtXc27PL3P+LWsJrtVJocJhnZvnP7wYed/e/ghN+LF1KTM&#10;NJJwC/fow8f7LE5Cg/Dh2WWrCbzqXZ59yH7IxTXCw/fp/GMBozfefx5/X4kXG3e7v6YLOGJ4X6Z8&#10;eB6X+RYPARduPPK78EneheixNObwR9d27cCDmzWH55jLHNet7tN8DTez8775+qZ5J6PifY5tW/xd&#10;43AiPpSfaHViCA/AW9EMafG8If2wDrOI36kCB6seUqce0qtN+tEo4QrvDUIQdPj58EIcUqN8vErh&#10;ugkfoUKMrJGk1+swWUVv8zzdraNwAWfI3wnXId8qjlPgQY4NNfUs4ppGd7gJIQGpBtuzfDw5OWbh&#10;JMuL8l2Ubg18MDVzmFD8NMOH90UpXlq/BO9rkW7ixW282fBf8tXd9SY3HkKYfLf8X3X01ss2ibED&#10;+DkMbtjTx2C3Prma9R1jG5cQRjbxdmr6Fv7DF4UTHLebZMEfl2G8EY/h8jYJR24xwbETo1g+3j3y&#10;iUAYvhlH+S5dfIKhzVMRNiDMwYN1mv/LNHYQMqZm8c/7MI9MY/OXBG5PQBjDGMN/YY5H4ZdcfeZO&#10;fSZM5nCoqXlnGuLhdSni0n2Wx6s1fJIARJK+hdmzjPloN2dVnT9gWJzr+cEM6BHxQQUzrcdqUDAT&#10;6vgeB7PneRyy4aQOH4BnP5B4diq01IGnButLwjMfgwY5Gs8i3wGAuni2L4Jn5lNiV3gmHTw7AeQR&#10;ngw9y9V4hjSm43MP2QCm3cWzzGWDxmdIfEA0iB04fD4pwdkKSA3mwAouAWbkBUmKHAVQVFEBfoJA&#10;aPA5zCOcuf87IJRZVzQY3bq+N2K3zBkBL/VHFgmuAtdiAZvd/gcpC2GTdbxYRMn7OInqKoKw0yhl&#10;Vc8I/s/riFPpECc6NcltUarfSYda588HBQah/p8PCyedfVzJ03Oxj/gDAenORZmHB52LxPYq4g+8&#10;iPESonc+OtTnk/WFk3+efTVZqgvUqpK1IaJ3AS0T8aCABu5PIddBgrEtuw/QUKhwtnShBHNq+B6o&#10;muVJVgN6H9AgeXQBLbPZoIBmNKCQMADQlBGXT6p2hAa0I6AdG14mSMsLLmdBVdH0v0v/bRA+u4CW&#10;2WxQQBPLFQGaMp9wyLbx3ARofn4vm3FQqQdruVHRzm3QQwSe/5E+JL/9ahRZ+kv6EM7j0Pjfr7/9&#10;N/sIBoXMbQDv60S4E/PHpHInpIbO1fkfP2XgRLQkdPEWzI2HJXRjuYmzP9dibOVbuDYUtrzEtch+&#10;ietSUCR5vCbM9cTn1R5ER08vyjxEsfc6TRKQ1tNcaL4H1HVZtqKAzWmG73jOMdHc8YKrep61qkRw&#10;lyptvEcnN0o+XiHaDyB3T81ttAChOwKXDx8drZ2t4Ma/8dmIUfdmxKzZbPT29pqN3FviOTN7dn09&#10;I+3aGSvy59fOe9W9rGyFJwGR5khlK+YgXh3CYjh13Zbum6KuN6lu0PBtux6D00EFh1mQV2A0DsXv&#10;Z/KRFqD3bh33aPjndoWZC4KrNYOKUxyucaMPtVEoBlVrTSdqTVR6TTpRqolSmsyHE2XDMc6XKHH6&#10;VumR2j70Doj86AiVtwkglLl25TcT23V4yXWYAeoE2UphLzhBSvv5CZjLCDEIzInvuRUNBFDv1TlY&#10;AWHR7jJw9gRbOlC0a4hriHNH2paO9BMQVw3qM5U8aiSnPjRf8UgOXtgexD3p5RHP945QQY1yjXKB&#10;cgiMxwp76EWEkIkV2PkCeVPY80c/75X4gUWBWKEmG/gWJykNhSGuF1Th3fYCzWB0id/uQu7vBrWl&#10;KfxEeFc94jOF9wb4SqAnXoCsHPEOhnG75A8saAsVDoRDNdo12k9BO3bCdvwIehnH2LYqw5gGgc9n&#10;mBLLWx1JtU56gKofa3/WepbunTqmMMs+cyqpvNazFD0LOjqO80Oehc7LD5XkCHIWWE39yZEwx26y&#10;Iw8uWs3Sdo9ckdbPBXGZUjc7Xsattz2nKnWgn0o0mLfT42ez63V61Onx9PQoNQCdHtX0eEJfhGgT&#10;O2967BVNwDl2hHNMPQ84d8s5dmF5XN3IBisOtSau+yLUpdsHEqXsizgsmkBz8qXVQgorEiFNonzS&#10;beF0aVAB3yVi8ZJmiJohHmOI0tZXGoJAomuQ/mGwteOwQBx72ji6/c56WxBQGoZ4xAXSAgqsjNcN&#10;QepafGmL4eK5etFZ/f+Ti8+gaqlmg2aIKkOUnRJK5CDkQs2EzdJm4gA7xDumVJdErm12sAiFJw+n&#10;xmOx4/d35sk22i9m74lGINeQViF9QmcEIFzNjmcyzxRVELaYwR0+ICvCOuH99h94Art/4BXaMNOG&#10;2UmGGTCsjiQIoFZ72oajfIBoFOIR3I4HzentsN3yzDTlO77LkaZ8n4nySeNH50c1P8rWkjblkw7j&#10;oOtHoEkEeAzGDrAW+vz2plx8pt/+TVA+6foMAul5mX8lG445fR0kkBClLzAoqJlF0OfloHZByO4k&#10;xAbUz0yI3wSo+RigAzEIqL+WPfScE3obAOFS1xii+1WpaJpanQauv2ffEOJUfQ5eILSEw6W6bvaW&#10;qtbLXtbqyD6Hw/YNAF5tCxygcKeuC4IChPIemNsO0zCHnXP06u1F35bM/S4l7gbQV7vLamVgquJ6&#10;MO8A38y3hdOuSK6f0675FqhK4x5rqqKUlNjH0YG02AygaiwZToxyoIFbLLTsBbSLzZl6x696/+rG&#10;JNaAVgEtDfXDVAQ2nYG67ryNUyrfdpxKZGXUEcuEm0BdOQigvn7JDgLupz0Li7XY5H0Bj0RlrPeW&#10;wQ1UEUm4tZC6nTx6nPj34faWwc4kEcqfQL6qqpyfgrOnkE9gNlRqCmyif0QivGipqdEfJe09bUAT&#10;gB2W+to2RDK6APpP8I7tyykuuLiYU/VuBvBge5SqYdYTmUkrLrpv8EjfIIp0R4P9wHqLS/DrfLAe&#10;7YJc0pwvOtBrOvMF0Zk+s1OQ5MErUxZUK4sPOJ1V/GaB/mIlbIaqqytdmCqFKW6w01VapCs8qHRI&#10;fAYrADFU2552OeuvB9mr4+QK7kYu0IBWAX2CywmboZxdaenf6MQKqtWulFHhtDaai+Oi7IlSIoFv&#10;Fjji4+vKU+/pW33taL8r5J5gfsI2KWefB4riqGzz00W/DzSlQf+RbnyN/q8X/ZDP+BfK8tUW1Zff&#10;4jfWqr9zlbL5it43/wcAAP//AwBQSwMEFAAGAAgAAAAhAKsHLNvgAAAACQEAAA8AAABkcnMvZG93&#10;bnJldi54bWxMj01Lw0AQhu+C/2EZwVu7+aAmxmxKKeqpCLaCeNsm0yQ0Oxuy2yT9944nexyel/d9&#10;Jl/PphMjDq61pCBcBiCQSlu1VCv4OrwtUhDOa6p0ZwkVXNHBuri/y3VW2Yk+cdz7WnAJuUwraLzv&#10;Myld2aDRbml7JGYnOxjt+RxqWQ164nLTySgInqTRLfFCo3vcNlie9xej4H3S0yYOX8fd+bS9/hxW&#10;H9+7EJV6fJg3LyA8zv4/DH/6rA4FOx3thSonOgWLKF1xlEEEgvlzEicgjgqSOEpBFrm8/aD4BQAA&#10;//8DAFBLAQItABQABgAIAAAAIQC2gziS/gAAAOEBAAATAAAAAAAAAAAAAAAAAAAAAABbQ29udGVu&#10;dF9UeXBlc10ueG1sUEsBAi0AFAAGAAgAAAAhADj9If/WAAAAlAEAAAsAAAAAAAAAAAAAAAAALwEA&#10;AF9yZWxzLy5yZWxzUEsBAi0AFAAGAAgAAAAhAK+FdghrCgAA6ncAAA4AAAAAAAAAAAAAAAAALgIA&#10;AGRycy9lMm9Eb2MueG1sUEsBAi0AFAAGAAgAAAAhAKsHLNvgAAAACQEAAA8AAAAAAAAAAAAAAAAA&#10;xQwAAGRycy9kb3ducmV2LnhtbFBLBQYAAAAABAAEAPMAAADSDQAAAAA=&#10;">
                <v:shape id="Blok textu 11" o:spid="_x0000_s1041" type="#_x0000_t202" style="position:absolute;left:27016;width:11191;height:47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VCs8cA&#10;AADbAAAADwAAAGRycy9kb3ducmV2LnhtbESPQWvCQBSE74X+h+UVvBTdaLFqdBURi7Y9qaWlt0f2&#10;mQSzb0N2TaK/3hUKPQ4z8w0zW7SmEDVVLresoN+LQBAnVuecKvg6vHXHIJxH1lhYJgUXcrCYPz7M&#10;MNa24R3Ve5+KAGEXo4LM+zKW0iUZGXQ9WxIH72grgz7IKpW6wibATSEHUfQqDeYcFjIsaZVRctqf&#10;jYKP5nO0+b3Wk/Hw/aU/+S42l+f1j1Kdp3Y5BeGp9f/hv/ZWKxgM4f4l/AA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VQrPHAAAA2wAAAA8AAAAAAAAAAAAAAAAAmAIAAGRy&#10;cy9kb3ducmV2LnhtbFBLBQYAAAAABAAEAPUAAACMAwAAAAA=&#10;" strokecolor="#4f81bd" strokeweight="2pt">
                  <v:textbox>
                    <w:txbxContent>
                      <w:p w14:paraId="212C0623" w14:textId="77777777" w:rsidR="00A84C26" w:rsidRDefault="00A84C26">
                        <w:pPr>
                          <w:jc w:val="center"/>
                          <w:rPr>
                            <w:sz w:val="16"/>
                            <w:szCs w:val="16"/>
                          </w:rPr>
                        </w:pPr>
                        <w:r>
                          <w:rPr>
                            <w:sz w:val="16"/>
                            <w:szCs w:val="16"/>
                          </w:rPr>
                          <w:t>Činnosť</w:t>
                        </w:r>
                      </w:p>
                      <w:p w14:paraId="30F442BC" w14:textId="77777777" w:rsidR="00A84C26" w:rsidRDefault="00A84C26">
                        <w:pPr>
                          <w:jc w:val="center"/>
                          <w:rPr>
                            <w:sz w:val="16"/>
                            <w:szCs w:val="16"/>
                          </w:rPr>
                        </w:pPr>
                      </w:p>
                    </w:txbxContent>
                  </v:textbox>
                </v:shape>
                <v:shape id="Blok textu 12" o:spid="_x0000_s1042" type="#_x0000_t202" style="position:absolute;left:12587;top:7778;width:11189;height:4705;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fcxMcA&#10;AADbAAAADwAAAGRycy9kb3ducmV2LnhtbESPT2vCQBTE74V+h+UVvBTdaPFfdBURi7Y9qaWlt0f2&#10;mQSzb0N2TaKf3i0Uehxm5jfMfNmaQtRUudyygn4vAkGcWJ1zquDz+NqdgHAeWWNhmRRcycFy8fgw&#10;x1jbhvdUH3wqAoRdjAoy78tYSpdkZND1bEkcvJOtDPogq1TqCpsAN4UcRNFIGsw5LGRY0jqj5Hy4&#10;GAXvzcd4+3Orp5Ph20t/+lVsr8+bb6U6T+1qBsJT6//Df+2dVjAYwe+X8APk4g4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oH3MTHAAAA2wAAAA8AAAAAAAAAAAAAAAAAmAIAAGRy&#10;cy9kb3ducmV2LnhtbFBLBQYAAAAABAAEAPUAAACMAwAAAAA=&#10;" strokecolor="#4f81bd" strokeweight="2pt">
                  <v:textbox>
                    <w:txbxContent>
                      <w:p w14:paraId="0FA1AFF2" w14:textId="77777777" w:rsidR="00A84C26" w:rsidRDefault="00A84C26">
                        <w:pPr>
                          <w:jc w:val="center"/>
                          <w:rPr>
                            <w:sz w:val="16"/>
                            <w:szCs w:val="16"/>
                          </w:rPr>
                        </w:pPr>
                        <w:r>
                          <w:rPr>
                            <w:sz w:val="16"/>
                            <w:szCs w:val="16"/>
                          </w:rPr>
                          <w:t>Hospodárska činnosť</w:t>
                        </w:r>
                      </w:p>
                      <w:p w14:paraId="48E79208" w14:textId="77777777" w:rsidR="00A84C26" w:rsidRDefault="00A84C26">
                        <w:pPr>
                          <w:jc w:val="center"/>
                          <w:rPr>
                            <w:sz w:val="16"/>
                            <w:szCs w:val="16"/>
                          </w:rPr>
                        </w:pPr>
                      </w:p>
                    </w:txbxContent>
                  </v:textbox>
                </v:shape>
                <v:shape id="Blok textu 13" o:spid="_x0000_s1043" type="#_x0000_t202" style="position:absolute;left:48213;top:7718;width:11595;height:4706;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t5X8gA&#10;AADbAAAADwAAAGRycy9kb3ducmV2LnhtbESPT2vCQBTE74V+h+UJXkQ3KlZNXaUUi7Y9+YeW3h7Z&#10;ZxKafRuyaxL99F1B6HGYmd8wi1VrClFT5XLLCoaDCARxYnXOqYLj4a0/A+E8ssbCMim4kIPV8vFh&#10;gbG2De+o3vtUBAi7GBVk3pexlC7JyKAb2JI4eCdbGfRBVqnUFTYBbgo5iqInaTDnsJBhSa8ZJb/7&#10;s1Hw0XxONz/Xej6bvI+H869ic+mtv5XqdtqXZxCeWv8fvre3WsFoCrcv4QfI5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lS3lfyAAAANsAAAAPAAAAAAAAAAAAAAAAAJgCAABk&#10;cnMvZG93bnJldi54bWxQSwUGAAAAAAQABAD1AAAAjQMAAAAA&#10;" strokecolor="#4f81bd" strokeweight="2pt">
                  <v:textbox>
                    <w:txbxContent>
                      <w:p w14:paraId="29763A3D" w14:textId="77777777" w:rsidR="00A84C26" w:rsidRDefault="00A84C26">
                        <w:pPr>
                          <w:jc w:val="center"/>
                          <w:rPr>
                            <w:sz w:val="16"/>
                            <w:szCs w:val="16"/>
                          </w:rPr>
                        </w:pPr>
                        <w:r>
                          <w:rPr>
                            <w:sz w:val="16"/>
                            <w:szCs w:val="16"/>
                          </w:rPr>
                          <w:t>Nehospodárska činnosť</w:t>
                        </w:r>
                      </w:p>
                    </w:txbxContent>
                  </v:textbox>
                </v:shape>
                <v:shape id="Blok textu 14" o:spid="_x0000_s1044" type="#_x0000_t202" style="position:absolute;top:13953;width:10915;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k8HsAA&#10;AADbAAAADwAAAGRycy9kb3ducmV2LnhtbERPy4rCMBTdD/gP4QruxkQXjnRMiyMK4kLwgetLc6ct&#10;09zUJtrq108WgsvDeS+y3tbiTq2vHGuYjBUI4tyZigsN59Pmcw7CB2SDtWPS8CAPWTr4WGBiXMcH&#10;uh9DIWII+wQ1lCE0iZQ+L8miH7uGOHK/rrUYImwLaVrsYrit5VSpmbRYcWwosaFVSfnf8WY1zNRl&#10;2V2U+dqr62Td7X5uT7Pdaz0a9stvEIH68Ba/3FujYRrHxi/xB8j0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sk8HsAAAADbAAAADwAAAAAAAAAAAAAAAACYAgAAZHJzL2Rvd25y&#10;ZXYueG1sUEsFBgAAAAAEAAQA9QAAAIUDAAAAAA==&#10;" stroked="f" strokeweight="2pt">
                  <v:textbox>
                    <w:txbxContent>
                      <w:p w14:paraId="50A335D9" w14:textId="77777777" w:rsidR="00A84C26" w:rsidRDefault="00A84C26">
                        <w:pPr>
                          <w:jc w:val="center"/>
                          <w:rPr>
                            <w:sz w:val="16"/>
                            <w:szCs w:val="16"/>
                          </w:rPr>
                        </w:pPr>
                        <w:r>
                          <w:rPr>
                            <w:sz w:val="16"/>
                            <w:szCs w:val="16"/>
                          </w:rPr>
                          <w:t>Nesplnené kritéria definované čl. 107</w:t>
                        </w:r>
                      </w:p>
                    </w:txbxContent>
                  </v:textbox>
                </v:shape>
                <v:shape id="Blok textu 15" o:spid="_x0000_s1045" type="#_x0000_t202" style="position:absolute;left:13716;top:18941;width:10915;height:5283;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ItscA&#10;AADbAAAADwAAAGRycy9kb3ducmV2LnhtbESPQWvCQBSE7wX/w/KEXkQ3WqomdZVSWqz2VBWlt0f2&#10;mQSzb0N2m8T++m5B6HGYmW+YxaozpWiodoVlBeNRBII4tbrgTMFh/zacg3AeWWNpmRRcycFq2btb&#10;YKJty5/U7HwmAoRdggpy76tESpfmZNCNbEUcvLOtDfog60zqGtsAN6WcRNFUGiw4LORY0UtO6WX3&#10;bRRs24/Z+uunieePm4dxfCzX18HrSan7fvf8BMJT5//Dt/a7VjCJ4e9L+AF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uYSLbHAAAA2wAAAA8AAAAAAAAAAAAAAAAAmAIAAGRy&#10;cy9kb3ducmV2LnhtbFBLBQYAAAAABAAEAPUAAACMAwAAAAA=&#10;" strokecolor="#4f81bd" strokeweight="2pt">
                  <v:textbox>
                    <w:txbxContent>
                      <w:p w14:paraId="0E65ABF9" w14:textId="77777777" w:rsidR="00A84C26" w:rsidRDefault="00A84C26">
                        <w:pPr>
                          <w:jc w:val="center"/>
                          <w:rPr>
                            <w:sz w:val="16"/>
                            <w:szCs w:val="16"/>
                          </w:rPr>
                        </w:pPr>
                        <w:r>
                          <w:rPr>
                            <w:sz w:val="16"/>
                            <w:szCs w:val="16"/>
                          </w:rPr>
                          <w:t>Pomoc de minimis (podľa limitov a podmienok)</w:t>
                        </w:r>
                      </w:p>
                    </w:txbxContent>
                  </v:textbox>
                </v:shape>
                <v:shape id="Blok textu 16" o:spid="_x0000_s1046" type="#_x0000_t202" style="position:absolute;left:25828;top:30341;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3t39sQA&#10;AADbAAAADwAAAGRycy9kb3ducmV2LnhtbERPy2rCQBTdF/oPwy24KTpR0WrqKEUUX6tqqbi7ZG6T&#10;0MydkBmT6Nc7i0KXh/OeLVpTiJoql1tW0O9FIIgTq3NOFXyd1t0JCOeRNRaWScGNHCzmz08zjLVt&#10;+JPqo09FCGEXo4LM+zKW0iUZGXQ9WxIH7sdWBn2AVSp1hU0IN4UcRNFYGsw5NGRY0jKj5Pd4NQr2&#10;zeFtc7nX08loN+xPv4vN7XV1Vqrz0n68g/DU+n/xn3urFQzD+vAl/AA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97d/bEAAAA2wAAAA8AAAAAAAAAAAAAAAAAmAIAAGRycy9k&#10;b3ducmV2LnhtbFBLBQYAAAAABAAEAPUAAACJAwAAAAA=&#10;" strokecolor="#4f81bd" strokeweight="2pt">
                  <v:textbox>
                    <w:txbxContent>
                      <w:p w14:paraId="5A9AFF99" w14:textId="77777777" w:rsidR="00A84C26" w:rsidRDefault="00A84C26">
                        <w:pPr>
                          <w:jc w:val="center"/>
                          <w:rPr>
                            <w:sz w:val="16"/>
                            <w:szCs w:val="16"/>
                          </w:rPr>
                        </w:pPr>
                        <w:r>
                          <w:rPr>
                            <w:sz w:val="16"/>
                            <w:szCs w:val="16"/>
                          </w:rPr>
                          <w:t>SVHZ</w:t>
                        </w:r>
                      </w:p>
                      <w:p w14:paraId="074C804E" w14:textId="77777777" w:rsidR="00A84C26" w:rsidRDefault="00A84C26">
                        <w:pPr>
                          <w:jc w:val="center"/>
                          <w:rPr>
                            <w:sz w:val="16"/>
                            <w:szCs w:val="16"/>
                          </w:rPr>
                        </w:pPr>
                      </w:p>
                    </w:txbxContent>
                  </v:textbox>
                </v:shape>
                <v:shape id="Blok textu 17" o:spid="_x0000_s1047" type="#_x0000_t202" style="position:absolute;left:42929;top:24166;width:10918;height:532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fSbcgA&#10;AADbAAAADwAAAGRycy9kb3ducmV2LnhtbESPT2vCQBTE74V+h+UVvBTdRKl/oquUYrHqSVtavD2y&#10;r0lo9m3Irkn007uFQo/DzPyGWaw6U4qGaldYVhAPIhDEqdUFZwo+3l/7UxDOI2ssLZOCCzlYLe/v&#10;Fpho2/KBmqPPRICwS1BB7n2VSOnSnAy6ga2Ig/dta4M+yDqTusY2wE0ph1E0lgYLDgs5VvSSU/pz&#10;PBsFu3Y/2ZyuzWz6tB3Fs89yc3lcfynVe+ie5yA8df4//Nd+0wpGMfx+CT9AL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AN9JtyAAAANsAAAAPAAAAAAAAAAAAAAAAAJgCAABk&#10;cnMvZG93bnJldi54bWxQSwUGAAAAAAQABAD1AAAAjQMAAAAA&#10;" strokecolor="#4f81bd" strokeweight="2pt">
                  <v:textbox>
                    <w:txbxContent>
                      <w:p w14:paraId="464A9FBF" w14:textId="77777777" w:rsidR="00A84C26" w:rsidRDefault="00A84C26">
                        <w:pPr>
                          <w:jc w:val="center"/>
                          <w:rPr>
                            <w:sz w:val="16"/>
                            <w:szCs w:val="16"/>
                          </w:rPr>
                        </w:pPr>
                        <w:r>
                          <w:rPr>
                            <w:sz w:val="16"/>
                            <w:szCs w:val="16"/>
                          </w:rPr>
                          <w:t>Štátna pomoc (splnené všetky kritériá)</w:t>
                        </w:r>
                      </w:p>
                    </w:txbxContent>
                  </v:textbox>
                </v:shape>
                <v:shape id="Blok textu 18" o:spid="_x0000_s1048" type="#_x0000_t202" style="position:absolute;left:1068;top:24819;width:10916;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VMGscA&#10;AADbAAAADwAAAGRycy9kb3ducmV2LnhtbESPT2vCQBTE74V+h+UVvBTdqFg1uoqIxf45qaWlt0f2&#10;mQSzb0N2TaKf3hUKPQ4z8xtmvmxNIWqqXG5ZQb8XgSBOrM45VfB1eO1OQDiPrLGwTAou5GC5eHyY&#10;Y6xtwzuq9z4VAcIuRgWZ92UspUsyMuh6tiQO3tFWBn2QVSp1hU2Am0IOouhFGsw5LGRY0jqj5LQ/&#10;GwUfzed4+3utp5PR+7A//S62l+fNj1Kdp3Y1A+Gp9f/hv/abVjAcwP1L+AFyc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DlTBrHAAAA2wAAAA8AAAAAAAAAAAAAAAAAmAIAAGRy&#10;cy9kb3ducmV2LnhtbFBLBQYAAAAABAAEAPUAAACMAwAAAAA=&#10;" strokecolor="#4f81bd" strokeweight="2pt">
                  <v:textbox>
                    <w:txbxContent>
                      <w:p w14:paraId="077E4C9F" w14:textId="77777777" w:rsidR="00A84C26" w:rsidRDefault="00A84C26">
                        <w:pPr>
                          <w:jc w:val="center"/>
                          <w:rPr>
                            <w:sz w:val="16"/>
                            <w:szCs w:val="16"/>
                          </w:rPr>
                        </w:pPr>
                        <w:r>
                          <w:rPr>
                            <w:sz w:val="16"/>
                            <w:szCs w:val="16"/>
                          </w:rPr>
                          <w:t>Nie je štátna pomoc</w:t>
                        </w:r>
                      </w:p>
                      <w:p w14:paraId="134E1BAC" w14:textId="77777777" w:rsidR="00A84C26" w:rsidRDefault="00A84C26">
                        <w:pPr>
                          <w:jc w:val="center"/>
                          <w:rP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49" type="#_x0000_t32" style="position:absolute;left:6353;top:10153;width:6278;height:1467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GE98QAAADbAAAADwAAAGRycy9kb3ducmV2LnhtbESPQWvCQBSE74L/YXlCL6KbGikS3YiE&#10;lpYWD1XB6yP7kg1m34bsVuO/7xYKHoeZ+YbZbAfbiiv1vnGs4HmegCAunW64VnA6vs1WIHxA1tg6&#10;JgV38rDNx6MNZtrd+Juuh1CLCGGfoQITQpdJ6UtDFv3cdcTRq1xvMUTZ11L3eItw28pFkrxIiw3H&#10;BYMdFYbKy+HHKtD1sjt/mffpPa1ksihei/1n2yj1NBl2axCBhvAI/7c/tII0hb8v8QfI/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MYT3xAAAANsAAAAPAAAAAAAAAAAA&#10;AAAAAKECAABkcnMvZG93bnJldi54bWxQSwUGAAAAAAQABAD5AAAAkgMAAAAA&#10;" strokecolor="#4579b8" strokeweight="2.25pt">
                  <v:stroke endarrow="open"/>
                </v:shape>
                <v:shape id="Blok textu 20" o:spid="_x0000_s1050" type="#_x0000_t202" style="position:absolute;left:36744;top:14032;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g0mcUA&#10;AADbAAAADwAAAGRycy9kb3ducmV2LnhtbESPQWvCQBSE74L/YXlCL2I2bURM6ipFCPQi1NhDj4/s&#10;a5I2+zZkt0n013cLBY/DzHzD7A6TacVAvWssK3iMYhDEpdUNVwreL/lqC8J5ZI2tZVJwJQeH/Xy2&#10;w0zbkc80FL4SAcIuQwW1910mpStrMugi2xEH79P2Bn2QfSV1j2OAm1Y+xfFGGmw4LNTY0bGm8rv4&#10;MQqON0ySvBhub8vYcvF1Sj9kkyr1sJhenkF4mvw9/N9+1QqSNfx9CT9A7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2DSZxQAAANsAAAAPAAAAAAAAAAAAAAAAAJgCAABkcnMv&#10;ZG93bnJldi54bWxQSwUGAAAAAAQABAD1AAAAigMAAAAA&#10;" filled="f" stroked="f" strokeweight="2pt">
                  <v:textbox>
                    <w:txbxContent>
                      <w:p w14:paraId="27ED79D0" w14:textId="77777777" w:rsidR="00A84C26" w:rsidRDefault="00A84C26">
                        <w:pPr>
                          <w:jc w:val="center"/>
                          <w:rPr>
                            <w:sz w:val="16"/>
                            <w:szCs w:val="16"/>
                          </w:rPr>
                        </w:pPr>
                        <w:r>
                          <w:rPr>
                            <w:sz w:val="16"/>
                            <w:szCs w:val="16"/>
                          </w:rPr>
                          <w:t>Splnené kritéria definované čl. 107</w:t>
                        </w:r>
                      </w:p>
                    </w:txbxContent>
                  </v:textbox>
                </v:shape>
                <v:shape id="Rovná spojovacia šípka 21" o:spid="_x0000_s1051" type="#_x0000_t32" style="position:absolute;left:23810;top:10509;width:24631;height:136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jMw1cMAAADbAAAADwAAAGRycy9kb3ducmV2LnhtbESPzWrDMBCE74W8g9hCbrXchBbjRAn5&#10;paH0UrcPsFgb28RaOZJiu29fBQo9DjPzDbNcj6YVPTnfWFbwnKQgiEurG64UfH8dnzIQPiBrbC2T&#10;gh/ysF5NHpaYazvwJ/VFqESEsM9RQR1Cl0vpy5oM+sR2xNE7W2cwROkqqR0OEW5aOUvTV2mw4bhQ&#10;Y0e7mspLcTMKDvvL1jn9wdJ217fivT0fmkwqNX0cNwsQgcbwH/5rn7SC+Qvcv8Qf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IzMNXDAAAA2wAAAA8AAAAAAAAAAAAA&#10;AAAAoQIAAGRycy9kb3ducmV2LnhtbFBLBQYAAAAABAAEAPkAAACRAwAAAAA=&#10;" strokecolor="#4579b8" strokeweight="2.25pt">
                  <v:stroke endarrow="open"/>
                </v:shape>
                <v:shape id="Rovná spojovacia šípka 22" o:spid="_x0000_s1052" type="#_x0000_t32" style="position:absolute;left:18763;top:12469;width:68;height:64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uGuosEAAADbAAAADwAAAGRycy9kb3ducmV2LnhtbESP3YrCMBSE7xd8h3AE79ZUBZFqFH9R&#10;lr2x+gCH5tgWm5OaRK1vb4SFvRxm5htmtmhNLR7kfGVZwaCfgCDOra64UHA+7b4nIHxA1lhbJgUv&#10;8rCYd75mmGr75CM9slCICGGfooIyhCaV0uclGfR92xBH72KdwRClK6R2+IxwU8thkoylwYrjQokN&#10;rUvKr9ndKNhurivn9C9L29z22U992VYTqVSv2y6nIAK14T/81z5oBaMxfL7EHyDn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4a6iwQAAANsAAAAPAAAAAAAAAAAAAAAA&#10;AKECAABkcnMvZG93bnJldi54bWxQSwUGAAAAAAQABAD5AAAAjwMAAAAA&#10;" strokecolor="#4579b8" strokeweight="2.25pt">
                  <v:stroke endarrow="open"/>
                </v:shape>
                <v:shape id="Rovná spojovacia šípka 23" o:spid="_x0000_s1053" type="#_x0000_t32" style="position:absolute;left:22860;top:12409;width:7915;height:178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0LOcMAAADbAAAADwAAAGRycy9kb3ducmV2LnhtbESPzWrDMBCE74W8g9hCbrXcBFrjRAn5&#10;paH0UrcPsFgb28RaOZJiu29fBQo9DjPzDbNcj6YVPTnfWFbwnKQgiEurG64UfH8dnzIQPiBrbC2T&#10;gh/ysF5NHpaYazvwJ/VFqESEsM9RQR1Cl0vpy5oM+sR2xNE7W2cwROkqqR0OEW5aOUvTF2mw4bhQ&#10;Y0e7mspLcTMKDvvL1jn9wdJ217fivT0fmkwqNX0cNwsQgcbwH/5rn7SC+Svcv8Qf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2tCznDAAAA2wAAAA8AAAAAAAAAAAAA&#10;AAAAoQIAAGRycy9kb3ducmV2LnhtbFBLBQYAAAAABAAEAPkAAACRAwAAAAA=&#10;" strokecolor="#4579b8" strokeweight="2.25pt">
                  <v:stroke endarrow="open"/>
                </v:shape>
                <v:shape id="Rovná spojovacia šípka 24" o:spid="_x0000_s1054" type="#_x0000_t32" style="position:absolute;left:9025;top:29807;width:16798;height:379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mDL4AAADbAAAADwAAAGRycy9kb3ducmV2LnhtbERPy4rCMBTdC/5DuIIbGVMVRDtGEUEQ&#10;d9ri+trc6WOam9JErX69WQguD+e92nSmFndqXWlZwWQcgSDOrC45V5Am+58FCOeRNdaWScGTHGzW&#10;/d4KY20ffKL72ecihLCLUUHhfRNL6bKCDLqxbYgD92dbgz7ANpe6xUcIN7WcRtFcGiw5NBTY0K6g&#10;7P98MwqqUXl5mmxpPCYVv9JjNdteE6WGg277C8JT57/ij/ugFczC2PAl/AC5f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9quYMvgAAANsAAAAPAAAAAAAAAAAAAAAAAKEC&#10;AABkcnMvZG93bnJldi54bWxQSwUGAAAAAAQABAD5AAAAjAMAAAAA&#10;" strokecolor="#4579b8" strokeweight="2.25pt">
                  <v:stroke endarrow="open"/>
                </v:shape>
                <v:shape id="Rovná spojovacia šípka 25" o:spid="_x0000_s1055" type="#_x0000_t32" style="position:absolute;left:17931;top:2137;width:9008;height:552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mzHcQAAADbAAAADwAAAGRycy9kb3ducmV2LnhtbESPQWvCQBSE7wX/w/KEXopu1CIaXUVC&#10;i9LSg1Hw+sg+s8Hs25Ddavz3rlDocZiZb5jlurO1uFLrK8cKRsMEBHHhdMWlguPhczAD4QOyxtox&#10;KbiTh/Wq97LEVLsb7+mah1JECPsUFZgQmlRKXxiy6IeuIY7e2bUWQ5RtKXWLtwi3tRwnyVRarDgu&#10;GGwoM1Rc8l+rQJfvzenbbN/uk7NMxtlH9vNVV0q99rvNAkSgLvyH/9o7rWAyh+eX+APk6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2bMdxAAAANsAAAAPAAAAAAAAAAAA&#10;AAAAAKECAABkcnMvZG93bnJldi54bWxQSwUGAAAAAAQABAD5AAAAkgMAAAAA&#10;" strokecolor="#4579b8" strokeweight="2.25pt">
                  <v:stroke endarrow="open"/>
                </v:shape>
                <v:shape id="Blok textu 26" o:spid="_x0000_s1056" type="#_x0000_t202" style="position:absolute;left:3028;top:29985;width:10915;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VB58IA&#10;AADbAAAADwAAAGRycy9kb3ducmV2LnhtbERPTWvCQBC9F/wPywi9FN3UFNHoKkUI9FKw0YPHITsm&#10;abOzIbsmaX69exA8Pt73dj+YWnTUusqygvd5BII4t7riQsH5lM5WIJxH1lhbJgX/5GC/m7xsMdG2&#10;5x/qMl+IEMIuQQWl900ipctLMujmtiEO3NW2Bn2AbSF1i30IN7VcRNFSGqw4NJTY0KGk/C+7GQWH&#10;EeM4zbrx+BZZzn6/1xdZrZV6nQ6fGxCeBv8UP9xfWsFHWB++hB8gd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5UHnwgAAANsAAAAPAAAAAAAAAAAAAAAAAJgCAABkcnMvZG93&#10;bnJldi54bWxQSwUGAAAAAAQABAD1AAAAhwMAAAAA&#10;" filled="f" stroked="f" strokeweight="2pt">
                  <v:textbox>
                    <w:txbxContent>
                      <w:p w14:paraId="73F7A63A" w14:textId="77777777" w:rsidR="00A84C26" w:rsidRDefault="00A84C26">
                        <w:pPr>
                          <w:jc w:val="center"/>
                          <w:rPr>
                            <w:sz w:val="16"/>
                            <w:szCs w:val="16"/>
                          </w:rPr>
                        </w:pPr>
                        <w:r>
                          <w:rPr>
                            <w:sz w:val="16"/>
                            <w:szCs w:val="16"/>
                          </w:rPr>
                          <w:t>Splnené všetky kritéria Altmark</w:t>
                        </w:r>
                      </w:p>
                    </w:txbxContent>
                  </v:textbox>
                </v:shape>
                <v:shape id="Rovná spojovacia šípka 27" o:spid="_x0000_s1057" type="#_x0000_t32" style="position:absolute;left:38119;top:2137;width:14538;height:552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Q5Fq8MAAADbAAAADwAAAGRycy9kb3ducmV2LnhtbESP0WrCQBRE3wX/YbmCb7pRpITUVbRG&#10;WqQvTfsBl+w1CWbvprtrkv59tyD0cZiZM8x2P5pW9OR8Y1nBapmAIC6tbrhS8PV5XqQgfEDW2Fom&#10;BT/kYb+bTraYaTvwB/VFqESEsM9QQR1Cl0npy5oM+qXtiKN3tc5giNJVUjscIty0cp0kT9Jgw3Gh&#10;xo5eaipvxd0oyE+3o3P6naXtvl+LS3vNm1QqNZ+Nh2cQgcbwH36037SCzQr+vsQfIH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UORavDAAAA2wAAAA8AAAAAAAAAAAAA&#10;AAAAoQIAAGRycy9kb3ducmV2LnhtbFBLBQYAAAAABAAEAPkAAACRAwAAAAA=&#10;" strokecolor="#4579b8" strokeweight="2.25pt">
                  <v:stroke endarrow="open"/>
                </v:shape>
                <v:shape id="Blok textu 28" o:spid="_x0000_s1058" type="#_x0000_t202" style="position:absolute;left:37525;top:30306;width:10916;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t6C8MA&#10;AADbAAAADwAAAGRycy9kb3ducmV2LnhtbESPQYvCMBSE7wv+h/AEL4um6iJajSKC4EVwux48Pppn&#10;W21eShNr9dcbQdjjMDPfMItVa0rRUO0KywqGgwgEcWp1wZmC49+2PwXhPLLG0jIpeJCD1bLztcBY&#10;2zv/UpP4TAQIuxgV5N5XsZQuzcmgG9iKOHhnWxv0QdaZ1DXeA9yUchRFE2mw4LCQY0WbnNJrcjMK&#10;Nk8cj7dJ8zx8R5aTy352ksVMqV63Xc9BeGr9f/jT3mkFPyN4fwk/QC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nt6C8MAAADbAAAADwAAAAAAAAAAAAAAAACYAgAAZHJzL2Rv&#10;d25yZXYueG1sUEsFBgAAAAAEAAQA9QAAAIgDAAAAAA==&#10;" filled="f" stroked="f" strokeweight="2pt">
                  <v:textbox>
                    <w:txbxContent>
                      <w:p w14:paraId="669739AD" w14:textId="77777777" w:rsidR="00A84C26" w:rsidRDefault="00A84C26">
                        <w:pPr>
                          <w:rPr>
                            <w:sz w:val="16"/>
                            <w:szCs w:val="16"/>
                          </w:rPr>
                        </w:pPr>
                        <w:r>
                          <w:rPr>
                            <w:sz w:val="16"/>
                            <w:szCs w:val="16"/>
                          </w:rPr>
                          <w:t>Nesplnené kritéria Altmark</w:t>
                        </w:r>
                      </w:p>
                    </w:txbxContent>
                  </v:textbox>
                </v:shape>
                <v:shape id="Rovná spojovacia šípka 29" o:spid="_x0000_s1059" type="#_x0000_t32" style="position:absolute;left:36754;top:27728;width:6144;height:539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f3isQAAADbAAAADwAAAGRycy9kb3ducmV2LnhtbESPT4vCMBTE74LfITzBy7Km/kGWahQp&#10;irKLB3Vhr4/m2RSbl9JErd9+Iwgeh5n5DTNftrYSN2p86VjBcJCAIM6dLrlQ8HvafH6B8AFZY+WY&#10;FDzIw3LR7cwx1e7OB7odQyEihH2KCkwIdSqlzw1Z9ANXE0fv7BqLIcqmkLrBe4TbSo6SZCotlhwX&#10;DNaUGcovx6tVoItJ/fdjth+P8Vkmo2yd7b+rUql+r13NQARqwzv8au+0gskYnl/iD5CL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N/eKxAAAANsAAAAPAAAAAAAAAAAA&#10;AAAAAKECAABkcnMvZG93bnJldi54bWxQSwUGAAAAAAQABAD5AAAAkgMAAAAA&#10;" strokecolor="#4579b8" strokeweight="2.25pt">
                  <v:stroke endarrow="open"/>
                </v:shape>
                <v:shape id="Rovná spojovacia šípka 30" o:spid="_x0000_s1060" type="#_x0000_t32" style="position:absolute;left:21256;top:24166;width:6294;height:611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OGfdMQAAADbAAAADwAAAGRycy9kb3ducmV2LnhtbESPT2vCQBTE74V+h+UVeim6aQ1iU1eR&#10;glC8mQTPz+xr/jT7NmRXk/TTu4WCx2FmfsOst6NpxZV6V1tW8DqPQBAXVtdcKsiz/WwFwnlkja1l&#10;UjCRg+3m8WGNibYDH+ma+lIECLsEFVTed4mUrqjIoJvbjjh437Y36IPsS6l7HALctPItipbSYM1h&#10;ocKOPisqftKLUdC81KfJFO/GY9bwb35oFrtzptTz07j7AOFp9Pfwf/tLK4hj+PsSfoD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4Z90xAAAANsAAAAPAAAAAAAAAAAA&#10;AAAAAKECAABkcnMvZG93bnJldi54bWxQSwUGAAAAAAQABAD5AAAAkgMAAAAA&#10;" strokecolor="#4579b8" strokeweight="2.25pt">
                  <v:stroke endarrow="open"/>
                </v:shape>
                <v:shape id="Blok textu 31" o:spid="_x0000_s1061" type="#_x0000_t202" style="position:absolute;left:19178;top:24878;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Lif8UA&#10;AADbAAAADwAAAGRycy9kb3ducmV2LnhtbESPQWvCQBSE70L/w/IKvYhuaqrU1DWUgOClUKOHHh/Z&#10;1yRt9m3IrjHNr3cLgsdhZr5hNulgGtFT52rLCp7nEQjiwuqaSwWn4272CsJ5ZI2NZVLwRw7S7cNk&#10;g4m2Fz5Qn/tSBAi7BBVU3reJlK6oyKCb25Y4eN+2M+iD7EqpO7wEuGnkIopW0mDNYaHClrKKit/8&#10;bBRkI8bxLu/Hz2lkOf/5WH/Jeq3U0+Pw/gbC0+Dv4Vt7rxW8LOH/S/gBcn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kuJ/xQAAANsAAAAPAAAAAAAAAAAAAAAAAJgCAABkcnMv&#10;ZG93bnJldi54bWxQSwUGAAAAAAQABAD1AAAAigMAAAAA&#10;" filled="f" stroked="f" strokeweight="2pt">
                  <v:textbox>
                    <w:txbxContent>
                      <w:p w14:paraId="74C205F7" w14:textId="77777777" w:rsidR="00A84C26" w:rsidRDefault="00A84C26">
                        <w:pPr>
                          <w:jc w:val="center"/>
                          <w:rPr>
                            <w:sz w:val="16"/>
                            <w:szCs w:val="16"/>
                          </w:rPr>
                        </w:pPr>
                        <w:r>
                          <w:rPr>
                            <w:sz w:val="16"/>
                            <w:szCs w:val="16"/>
                          </w:rPr>
                          <w:t>Nesplnené kritéria Altmark</w:t>
                        </w:r>
                      </w:p>
                    </w:txbxContent>
                  </v:textbox>
                </v:shape>
                <v:shape id="Blok textu 1120" o:spid="_x0000_s1062" type="#_x0000_t202" style="position:absolute;left:48213;top:15675;width:11595;height:5525;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g5ZMgA&#10;AADbAAAADwAAAGRycy9kb3ducmV2LnhtbESPT2vCQBTE74LfYXlCL9JsrK2N0VVEWuyfU21p6e2R&#10;fSbB7NuQXZPop+8WCj0OM/MbZrnuTSVaalxpWcEkikEQZ1aXnCv4eH+8TkA4j6yxskwKzuRgvRoO&#10;lphq2/EbtXufiwBhl6KCwvs6ldJlBRl0ka2Jg3ewjUEfZJNL3WAX4KaSN3E8kwZLDgsF1rQtKDvu&#10;T0bBS/d6v/u+tPPk7nk6mX9Wu/P44Uupq1G/WYDw1Pv/8F/7SSu4ncHvl/AD5Oo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X2DlkyAAAANsAAAAPAAAAAAAAAAAAAAAAAJgCAABk&#10;cnMvZG93bnJldi54bWxQSwUGAAAAAAQABAD1AAAAjQMAAAAA&#10;" strokecolor="#4f81bd" strokeweight="2pt">
                  <v:textbox>
                    <w:txbxContent>
                      <w:p w14:paraId="0D05AFE3" w14:textId="77777777" w:rsidR="00A84C26" w:rsidRDefault="00A84C26">
                        <w:pPr>
                          <w:jc w:val="center"/>
                          <w:rPr>
                            <w:sz w:val="16"/>
                            <w:szCs w:val="16"/>
                          </w:rPr>
                        </w:pPr>
                        <w:r>
                          <w:rPr>
                            <w:sz w:val="16"/>
                            <w:szCs w:val="16"/>
                          </w:rPr>
                          <w:t>Nevzťahujú sa pravidlá o štátnej pomoci</w:t>
                        </w:r>
                      </w:p>
                    </w:txbxContent>
                  </v:textbox>
                </v:shape>
                <v:shape id="Rovná spojovacia šípka 1121" o:spid="_x0000_s1063" type="#_x0000_t32" style="position:absolute;left:53320;top:12469;width:0;height:320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at4RMMAAADbAAAADwAAAGRycy9kb3ducmV2LnhtbESPzWrDMBCE74W8g9hCbrXcEFrjRAn5&#10;paH0UrcPsFgb28RaOZJiu29fBQo9DjPzDbNcj6YVPTnfWFbwnKQgiEurG64UfH8dnzIQPiBrbC2T&#10;gh/ysF5NHpaYazvwJ/VFqESEsM9RQR1Cl0vpy5oM+sR2xNE7W2cwROkqqR0OEW5aOUvTF2mw4bhQ&#10;Y0e7mspLcTMKDvvL1jn9wdJ217fivT0fmkwqNX0cNwsQgcbwH/5rn7SC+Svcv8Qf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WreETDAAAA2wAAAA8AAAAAAAAAAAAA&#10;AAAAoQIAAGRycy9kb3ducmV2LnhtbFBLBQYAAAAABAAEAPkAAACRAwAAAAA=&#10;" strokecolor="#4579b8" strokeweight="2.25pt">
                  <v:stroke endarrow="open"/>
                </v:shape>
                <v:shape id="Blok textu 1122" o:spid="_x0000_s1064" type="#_x0000_t202" style="position:absolute;left:24641;top:15734;width:10915;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NN4cIA&#10;AADbAAAADwAAAGRycy9kb3ducmV2LnhtbERPTWvCQBC9F/wPywi9FN3UFNHoKkUI9FKw0YPHITsm&#10;abOzIbsmaX69exA8Pt73dj+YWnTUusqygvd5BII4t7riQsH5lM5WIJxH1lhbJgX/5GC/m7xsMdG2&#10;5x/qMl+IEMIuQQWl900ipctLMujmtiEO3NW2Bn2AbSF1i30IN7VcRNFSGqw4NJTY0KGk/C+7GQWH&#10;EeM4zbrx+BZZzn6/1xdZrZV6nQ6fGxCeBv8UP9xfWsFHGBu+hB8gd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k03hwgAAANsAAAAPAAAAAAAAAAAAAAAAAJgCAABkcnMvZG93&#10;bnJldi54bWxQSwUGAAAAAAQABAD1AAAAhwMAAAAA&#10;" filled="f" stroked="f" strokeweight="2pt">
                  <v:textbox>
                    <w:txbxContent>
                      <w:p w14:paraId="666FF78F" w14:textId="77777777" w:rsidR="00A84C26" w:rsidRDefault="00A84C26">
                        <w:pPr>
                          <w:rPr>
                            <w:sz w:val="16"/>
                            <w:szCs w:val="16"/>
                          </w:rPr>
                        </w:pPr>
                        <w:r>
                          <w:rPr>
                            <w:sz w:val="16"/>
                            <w:szCs w:val="16"/>
                          </w:rPr>
                          <w:t>Služby osobitného charakteru</w:t>
                        </w:r>
                      </w:p>
                    </w:txbxContent>
                  </v:textbox>
                </v:shape>
                <v:shape id="Blok textu 1123" o:spid="_x0000_s1065" type="#_x0000_t202" style="position:absolute;left:52726;top:37585;width:10916;height:49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VyzsUA&#10;AADbAAAADwAAAGRycy9kb3ducmV2LnhtbESPW2vCQBSE3wv+h+UIvtWNoYiNrqEUxKIt1ht9PWRP&#10;LjR7NmZXTfvruwXBx2FmvmFmaWdqcaHWVZYVjIYRCOLM6ooLBYf94nECwnlkjbVlUvBDDtJ572GG&#10;ibZX3tJl5wsRIOwSVFB63yRSuqwkg25oG+Lg5bY16INsC6lbvAa4qWUcRWNpsOKwUGJDryVl37uz&#10;UeA/TbM+6o/Nex6vYxqdlqvl75dSg373MgXhqfP38K39phU8PcP/l/AD5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FXLOxQAAANsAAAAPAAAAAAAAAAAAAAAAAJgCAABkcnMv&#10;ZG93bnJldi54bWxQSwUGAAAAAAQABAD1AAAAigMAAAAA&#10;" strokecolor="#4f81bd" strokeweight="2pt">
                  <v:textbox>
                    <w:txbxContent>
                      <w:p w14:paraId="6EDFA05E" w14:textId="77777777" w:rsidR="00A84C26" w:rsidRDefault="00A84C26">
                        <w:pPr>
                          <w:jc w:val="center"/>
                          <w:rPr>
                            <w:sz w:val="16"/>
                            <w:szCs w:val="16"/>
                          </w:rPr>
                        </w:pPr>
                        <w:r>
                          <w:rPr>
                            <w:sz w:val="16"/>
                            <w:szCs w:val="16"/>
                          </w:rPr>
                          <w:t>Oslobodenie od notifikácie</w:t>
                        </w:r>
                      </w:p>
                    </w:txbxContent>
                  </v:textbox>
                </v:shape>
                <v:shape id="Blok textu 1124" o:spid="_x0000_s1066" type="#_x0000_t202" style="position:absolute;left:40138;top:37644;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SSVsQA&#10;AADbAAAADwAAAGRycy9kb3ducmV2LnhtbERPTWvCQBC9F/oflil4Ed2oaDV1lSKKtp6qpeJtyE6T&#10;0OxsyK5J9Ne7B6HHx/ueL1tTiJoql1tWMOhHIIgTq3NOFXwfN70pCOeRNRaWScGVHCwXz09zjLVt&#10;+Ivqg09FCGEXo4LM+zKW0iUZGXR9WxIH7tdWBn2AVSp1hU0IN4UcRtFEGsw5NGRY0iqj5O9wMQo+&#10;m/3r9nyrZ9Pxx2gw+ym21+76pFTnpX1/A+Gp9f/ih3unFYzD+vAl/AC5u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kklbEAAAA2wAAAA8AAAAAAAAAAAAAAAAAmAIAAGRycy9k&#10;b3ducmV2LnhtbFBLBQYAAAAABAAEAPUAAACJAwAAAAA=&#10;" strokecolor="#4f81bd" strokeweight="2pt">
                  <v:textbox>
                    <w:txbxContent>
                      <w:p w14:paraId="00AD63A7" w14:textId="77777777" w:rsidR="00A84C26" w:rsidRDefault="00A84C26">
                        <w:pPr>
                          <w:jc w:val="center"/>
                          <w:rPr>
                            <w:sz w:val="16"/>
                            <w:szCs w:val="16"/>
                          </w:rPr>
                        </w:pPr>
                        <w:r>
                          <w:rPr>
                            <w:sz w:val="16"/>
                            <w:szCs w:val="16"/>
                          </w:rPr>
                          <w:t>Notifikácia pomoci</w:t>
                        </w:r>
                      </w:p>
                      <w:p w14:paraId="16D4ABFA" w14:textId="77777777" w:rsidR="00A84C26" w:rsidRDefault="00A84C26">
                        <w:pPr>
                          <w:jc w:val="center"/>
                          <w:rPr>
                            <w:sz w:val="16"/>
                            <w:szCs w:val="16"/>
                          </w:rPr>
                        </w:pPr>
                      </w:p>
                    </w:txbxContent>
                  </v:textbox>
                </v:shape>
                <v:shape id="Rovná spojovacia šípka 1125" o:spid="_x0000_s1067" type="#_x0000_t32" style="position:absolute;left:48213;top:29688;width:1158;height:792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3Bau8UAAADbAAAADwAAAGRycy9kb3ducmV2LnhtbESPQWvCQBSE7wX/w/KEXkrdaLVIzEYk&#10;WCqKB23B6yP7zAazb0N2q/Hfd4VCj8PMfMNky9424kqdrx0rGI8SEMSl0zVXCr6/Pl7nIHxA1tg4&#10;JgV38rDMB08Zptrd+EDXY6hEhLBPUYEJoU2l9KUhi37kWuLonV1nMUTZVVJ3eItw28hJkrxLizXH&#10;BYMtFYbKy/HHKtDVtD3tzOfL/e0sk0mxLvbbplbqedivFiAC9eE//NfeaAWzMTy+xB8g8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3Bau8UAAADbAAAADwAAAAAAAAAA&#10;AAAAAAChAgAAZHJzL2Rvd25yZXYueG1sUEsFBgAAAAAEAAQA+QAAAJMDAAAAAA==&#10;" strokecolor="#4579b8" strokeweight="2.25pt">
                  <v:stroke endarrow="open"/>
                </v:shape>
                <v:shape id="Rovná spojovacia šípka 1126" o:spid="_x0000_s1068" type="#_x0000_t32" style="position:absolute;left:52667;top:29688;width:3548;height:79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AVNAcEAAADbAAAADwAAAGRycy9kb3ducmV2LnhtbESP0YrCMBRE3xf8h3AF39ZUQZFqFHUV&#10;RXzZrh9waa5tsbnpJlHr3xtB8HGYmTPMbNGaWtzI+cqygkE/AUGcW11xoeD0t/2egPABWWNtmRQ8&#10;yMNi3vmaYartnX/ploVCRAj7FBWUITSplD4vyaDv24Y4emfrDIYoXSG1w3uEm1oOk2QsDVYcF0ps&#10;aF1SfsmuRsHm57JyTh9Z2uZ/lx3q86aaSKV63XY5BRGoDZ/wu73XCkZDeH2JP0DO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QBU0BwQAAANsAAAAPAAAAAAAAAAAAAAAA&#10;AKECAABkcnMvZG93bnJldi54bWxQSwUGAAAAAAQABAD5AAAAjwMAAAAA&#10;" strokecolor="#4579b8" strokeweight="2.25pt">
                  <v:stroke endarrow="open"/>
                </v:shape>
                <v:shape id="Blok textu 1127" o:spid="_x0000_s1069" type="#_x0000_t202" style="position:absolute;left:40672;top:48391;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YMIcgA&#10;AADbAAAADwAAAGRycy9kb3ducmV2LnhtbESPW2vCQBSE34X+h+UU+lJ0Y8Vb6iqlKLb1yQuKb4fs&#10;aRKaPRuyaxL7691CwcdhZr5hZovWFKKmyuWWFfR7EQjixOqcUwWH/ao7AeE8ssbCMim4koPF/KEz&#10;w1jbhrdU73wqAoRdjAoy78tYSpdkZND1bEkcvG9bGfRBVqnUFTYBbgr5EkUjaTDnsJBhSe8ZJT+7&#10;i1Hw1WzG6/NvPZ0MPwf96bFYX5+XJ6WeHtu3VxCeWn8P/7c/tILhAP6+hB8g5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gwhyAAAANsAAAAPAAAAAAAAAAAAAAAAAJgCAABk&#10;cnMvZG93bnJldi54bWxQSwUGAAAAAAQABAD1AAAAjQMAAAAA&#10;" strokecolor="#4f81bd" strokeweight="2pt">
                  <v:textbox>
                    <w:txbxContent>
                      <w:p w14:paraId="743C74F8" w14:textId="77777777" w:rsidR="00A84C26" w:rsidRDefault="00A84C26">
                        <w:pPr>
                          <w:jc w:val="center"/>
                          <w:rPr>
                            <w:sz w:val="16"/>
                            <w:szCs w:val="16"/>
                          </w:rPr>
                        </w:pPr>
                        <w:r>
                          <w:rPr>
                            <w:sz w:val="16"/>
                            <w:szCs w:val="16"/>
                          </w:rPr>
                          <w:t>Individuálna pomoc</w:t>
                        </w:r>
                      </w:p>
                      <w:p w14:paraId="4E603784" w14:textId="77777777" w:rsidR="00A84C26" w:rsidRDefault="00A84C26">
                        <w:pPr>
                          <w:jc w:val="center"/>
                          <w:rPr>
                            <w:sz w:val="16"/>
                            <w:szCs w:val="16"/>
                          </w:rPr>
                        </w:pPr>
                      </w:p>
                    </w:txbxContent>
                  </v:textbox>
                </v:shape>
                <v:shape id="Blok textu 32" o:spid="_x0000_s1070" type="#_x0000_t202" style="position:absolute;left:53023;top:48391;width:10619;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UVcgA&#10;AADbAAAADwAAAGRycy9kb3ducmV2LnhtbESPT0vDQBTE74LfYXmCF7GbqLVt7CaIKLX1ZFtaentk&#10;n0kw+zZk1/zx07uC4HGYmd8wy2wwteiodZVlBfEkAkGcW11xoWC/e7meg3AeWWNtmRSM5CBLz8+W&#10;mGjb8zt1W1+IAGGXoILS+yaR0uUlGXQT2xAH78O2Bn2QbSF1i32Am1reRNG9NFhxWCixoaeS8s/t&#10;l1Gw6d9mq9N3t5hP17fx4lCvxqvno1KXF8PjAwhPg/8P/7VftYLpHfx+CT9Apj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n5RVyAAAANsAAAAPAAAAAAAAAAAAAAAAAJgCAABk&#10;cnMvZG93bnJldi54bWxQSwUGAAAAAAQABAD1AAAAjQMAAAAA&#10;" strokecolor="#4f81bd" strokeweight="2pt">
                  <v:textbox>
                    <w:txbxContent>
                      <w:p w14:paraId="6C5943A7" w14:textId="77777777" w:rsidR="00A84C26" w:rsidRDefault="00A84C26">
                        <w:pPr>
                          <w:jc w:val="center"/>
                          <w:rPr>
                            <w:sz w:val="16"/>
                            <w:szCs w:val="16"/>
                          </w:rPr>
                        </w:pPr>
                        <w:r>
                          <w:rPr>
                            <w:sz w:val="16"/>
                            <w:szCs w:val="16"/>
                          </w:rPr>
                          <w:t>Schéma štátnej pomoci</w:t>
                        </w:r>
                      </w:p>
                    </w:txbxContent>
                  </v:textbox>
                </v:shape>
                <v:shape id="Rovná spojovacia šípka 33" o:spid="_x0000_s1071" type="#_x0000_t32" style="position:absolute;left:45541;top:42513;width:0;height:57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uNRLcUAAADbAAAADwAAAGRycy9kb3ducmV2LnhtbESPQWvCQBSE7wX/w/KEXkQ3KaRIdJUi&#10;iIUeippDvD2yz2xo9m3Irkn677uFQo/DzHzDbPeTbcVAvW8cK0hXCQjiyumGawXF9bhcg/ABWWPr&#10;mBR8k4f9bva0xVy7kc80XEItIoR9jgpMCF0upa8MWfQr1xFH7+56iyHKvpa6xzHCbStfkuRVWmw4&#10;Lhjs6GCo+ro8bKQcPs7DtJauLNtTcUvN43ORLpR6nk9vGxCBpvAf/mu/awVZBr9f4g+Qu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uNRLcUAAADbAAAADwAAAAAAAAAA&#10;AAAAAAChAgAAZHJzL2Rvd25yZXYueG1sUEsFBgAAAAAEAAQA+QAAAJMDAAAAAA==&#10;" strokecolor="#4579b8" strokeweight="2.25pt">
                  <v:stroke dashstyle="dash" endarrow="open"/>
                </v:shape>
                <v:shape id="Rovná spojovacia šípka 34" o:spid="_x0000_s1072" type="#_x0000_t32" style="position:absolute;left:45541;top:42513;width:14256;height:57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jHPWsUAAADbAAAADwAAAGRycy9kb3ducmV2LnhtbESPQWvCQBSE7wX/w/KEXoJuIlQkdZUi&#10;lAo9FDWHeHtkX7Oh2bchuybpv+8KQo/DzHzDbPeTbcVAvW8cK8iWKQjiyumGawXF5X2xAeEDssbW&#10;MSn4JQ/73expi7l2I59oOIdaRAj7HBWYELpcSl8ZsuiXriOO3rfrLYYo+1rqHscIt61cpelaWmw4&#10;Lhjs6GCo+jnfbKQcPk/DtJGuLNuP4pqZ21eSJUo9z6e3VxCBpvAffrSPWsHLGu5f4g+Qu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jHPWsUAAADbAAAADwAAAAAAAAAA&#10;AAAAAAChAgAAZHJzL2Rvd25yZXYueG1sUEsFBgAAAAAEAAQA+QAAAJMDAAAAAA==&#10;" strokecolor="#4579b8" strokeweight="2.25pt">
                  <v:stroke dashstyle="dash" endarrow="open"/>
                </v:shape>
                <v:shape id="Rovná spojovacia šípka 35" o:spid="_x0000_s1073" type="#_x0000_t32" style="position:absolute;left:48807;top:42513;width:7365;height:573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9VnVMQAAADbAAAADwAAAGRycy9kb3ducmV2LnhtbESPQWsCMRSE7wX/Q3iCl1Kzaq2yGkUW&#10;RWnxUCt4fWyem8XNy7KJuv57Uyj0OMzMN8x82dpK3KjxpWMFg34Cgjh3uuRCwfFn8zYF4QOyxsox&#10;KXiQh+Wi8zLHVLs7f9PtEAoRIexTVGBCqFMpfW7Iou+7mjh6Z9dYDFE2hdQN3iPcVnKYJB/SYslx&#10;wWBNmaH8crhaBbp4r09fZvv6GJ1lMszW2f6zKpXqddvVDESgNvyH/9o7rWA8gd8v8QfIxR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r1WdUxAAAANsAAAAPAAAAAAAAAAAA&#10;AAAAAKECAABkcnMvZG93bnJldi54bWxQSwUGAAAAAAQABAD5AAAAkgMAAAAA&#10;" strokecolor="#4579b8" strokeweight="2.25pt">
                  <v:stroke endarrow="open"/>
                </v:shape>
                <v:shape id="Rovná spojovacia šípka 36" o:spid="_x0000_s1074" type="#_x0000_t32" style="position:absolute;left:56170;top:42513;width:0;height:57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16678AAADbAAAADwAAAGRycy9kb3ducmV2LnhtbERP3WrCMBS+H/gO4QjezVRBkWoqm6so&#10;YzfrfIBDc/qDzUmXxFrf3lwMdvnx/e/2o+nEQM63lhUs5gkI4tLqlmsFl5/j6waED8gaO8uk4EEe&#10;9tnkZYeptnf+pqEItYgh7FNU0ITQp1L6siGDfm574shV1hkMEbpaaof3GG46uUyStTTYcmxosKdD&#10;Q+W1uBkF+cf13Tn9xdL2v6fis6vydiOVmk3Hty2IQGP4F/+5z1rBKo6NX+IPkNkT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Me16678AAADbAAAADwAAAAAAAAAAAAAAAACh&#10;AgAAZHJzL2Rvd25yZXYueG1sUEsFBgAAAAAEAAQA+QAAAI0DAAAAAA==&#10;" strokecolor="#4579b8" strokeweight="2.25pt">
                  <v:stroke endarrow="open"/>
                </v:shape>
                <v:shape id="Blok textu 37" o:spid="_x0000_s1075" type="#_x0000_t202" style="position:absolute;left:4928;top:37585;width:10915;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47y8gA&#10;AADbAAAADwAAAGRycy9kb3ducmV2LnhtbESPT2vCQBTE74V+h+UVvBTdaPFPoquUYrHqSVtavD2y&#10;r0lo9m3Irkn007uFQo/DzPyGWaw6U4qGaldYVjAcRCCIU6sLzhR8vL/2ZyCcR9ZYWiYFF3KwWt7f&#10;LTDRtuUDNUefiQBhl6CC3PsqkdKlORl0A1sRB+/b1gZ9kHUmdY1tgJtSjqJoIg0WHBZyrOglp/Tn&#10;eDYKdu1+ujldm3g23j4N489yc3lcfynVe+ie5yA8df4//Nd+0wrGMfx+CT9ALm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jnjvLyAAAANsAAAAPAAAAAAAAAAAAAAAAAJgCAABk&#10;cnMvZG93bnJldi54bWxQSwUGAAAAAAQABAD1AAAAjQMAAAAA&#10;" strokecolor="#4f81bd" strokeweight="2pt">
                  <v:textbox>
                    <w:txbxContent>
                      <w:p w14:paraId="10415EDA" w14:textId="77777777" w:rsidR="00A84C26" w:rsidRDefault="00A84C26">
                        <w:pPr>
                          <w:jc w:val="center"/>
                          <w:rPr>
                            <w:sz w:val="16"/>
                            <w:szCs w:val="16"/>
                          </w:rPr>
                        </w:pPr>
                        <w:r>
                          <w:rPr>
                            <w:sz w:val="16"/>
                            <w:szCs w:val="16"/>
                          </w:rPr>
                          <w:t>Individuálna pomoc</w:t>
                        </w:r>
                      </w:p>
                      <w:p w14:paraId="36E0850C" w14:textId="77777777" w:rsidR="00A84C26" w:rsidRDefault="00A84C26">
                        <w:pPr>
                          <w:jc w:val="center"/>
                          <w:rPr>
                            <w:sz w:val="16"/>
                            <w:szCs w:val="16"/>
                          </w:rPr>
                        </w:pPr>
                      </w:p>
                    </w:txbxContent>
                  </v:textbox>
                </v:shape>
                <v:shape id="Blok textu 38" o:spid="_x0000_s1076" type="#_x0000_t202" style="position:absolute;left:18406;top:37644;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Y68QA&#10;AADbAAAADwAAAGRycy9kb3ducmV2LnhtbERPy2rCQBTdF/oPwy24KTpRqdXUUYoovlbVUnF3ydwm&#10;oZk7ITMm0a93FkKXh/OezltTiJoql1tW0O9FIIgTq3NOFXwfV90xCOeRNRaWScGVHMxnz09TjLVt&#10;+Ivqg09FCGEXo4LM+zKW0iUZGXQ9WxIH7tdWBn2AVSp1hU0IN4UcRNFIGsw5NGRY0iKj5O9wMQp2&#10;zf59fb7Vk/Hbdtif/BTr6+vypFTnpf38AOGp9f/ih3ujFYzC+vAl/AA5u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IWOvEAAAA2wAAAA8AAAAAAAAAAAAAAAAAmAIAAGRycy9k&#10;b3ducmV2LnhtbFBLBQYAAAAABAAEAPUAAACJAwAAAAA=&#10;" strokecolor="#4f81bd" strokeweight="2pt">
                  <v:textbox>
                    <w:txbxContent>
                      <w:p w14:paraId="2DC3C560" w14:textId="77777777" w:rsidR="00A84C26" w:rsidRDefault="00A84C26">
                        <w:pPr>
                          <w:jc w:val="center"/>
                          <w:rPr>
                            <w:sz w:val="16"/>
                            <w:szCs w:val="16"/>
                          </w:rPr>
                        </w:pPr>
                        <w:r>
                          <w:rPr>
                            <w:sz w:val="16"/>
                            <w:szCs w:val="16"/>
                          </w:rPr>
                          <w:t>Schéma pomoci de minimis</w:t>
                        </w:r>
                      </w:p>
                    </w:txbxContent>
                  </v:textbox>
                </v:shape>
                <v:shape id="Rovná spojovacia šípka 39" o:spid="_x0000_s1077" type="#_x0000_t32" style="position:absolute;left:10925;top:24225;width:5654;height:1341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qE1FMEAAADbAAAADwAAAGRycy9kb3ducmV2LnhtbESPwW7CMBBE75X4B2uRuBUHDlGb4kQF&#10;BOLaFHFe4iV2G6+j2ED4+7pSpR5HM/NGs6pG14kbDcF6VrCYZyCIG68ttwqOn7vnFxAhImvsPJOC&#10;BwWoysnTCgvt7/xBtzq2IkE4FKjAxNgXUobGkMMw9z1x8i5+cBiTHFqpB7wnuOvkMsty6dByWjDY&#10;08ZQ811fnYJ+e5b5frO29YkutHy1zsQvp9RsOr6/gYg0xv/wX/ugFeQL+P2SfoAs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GoTUUwQAAANsAAAAPAAAAAAAAAAAAAAAA&#10;AKECAABkcnMvZG93bnJldi54bWxQSwUGAAAAAAQABAD5AAAAjwMAAAAA&#10;" strokecolor="#4579b8" strokeweight="2.25pt">
                  <v:stroke dashstyle="dash" endarrow="open"/>
                </v:shape>
                <v:shape id="Rovná spojovacia šípka 40" o:spid="_x0000_s1078" type="#_x0000_t32" style="position:absolute;left:17931;top:24225;width:8490;height:134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2YD5MQAAADbAAAADwAAAGRycy9kb3ducmV2LnhtbESPQWvCQBSE74L/YXmFXoJu4iFIdJUi&#10;SAs9FDWHeHtkX7Oh2bchu8b4791CocdhZr5htvvJdmKkwbeOFWTLFARx7XTLjYLyclysQfiArLFz&#10;TAoe5GG/m8+2WGh35xON59CICGFfoAITQl9I6WtDFv3S9cTR+3aDxRDl0Eg94D3CbSdXaZpLiy3H&#10;BYM9HQzVP+ebjZTD52mc1tJVVfdeXjNz+0qyRKnXl+ltAyLQFP7Df+0PrSBfwe+X+APk7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ZgPkxAAAANsAAAAPAAAAAAAAAAAA&#10;AAAAAKECAABkcnMvZG93bnJldi54bWxQSwUGAAAAAAQABAD5AAAAkgMAAAAA&#10;" strokecolor="#4579b8" strokeweight="2.25pt">
                  <v:stroke dashstyle="dash" endarrow="open"/>
                </v:shape>
                <w10:wrap type="tight"/>
              </v:group>
            </w:pict>
          </mc:Fallback>
        </mc:AlternateContent>
      </w:r>
    </w:p>
    <w:p w14:paraId="194085BF" w14:textId="77777777" w:rsidR="00B650E5" w:rsidRDefault="00B650E5">
      <w:pPr>
        <w:pStyle w:val="Odsekzoznamu"/>
        <w:spacing w:before="120" w:after="120"/>
        <w:contextualSpacing w:val="0"/>
      </w:pPr>
    </w:p>
    <w:p w14:paraId="5B57B505" w14:textId="77777777" w:rsidR="00B650E5" w:rsidRDefault="00B650E5">
      <w:pPr>
        <w:pStyle w:val="Odsekzoznamu"/>
        <w:spacing w:before="120" w:after="120"/>
        <w:contextualSpacing w:val="0"/>
      </w:pPr>
    </w:p>
    <w:p w14:paraId="4EC86957" w14:textId="77777777" w:rsidR="00B650E5" w:rsidRDefault="00B650E5">
      <w:pPr>
        <w:pStyle w:val="Odsekzoznamu"/>
        <w:spacing w:before="120" w:after="120"/>
        <w:contextualSpacing w:val="0"/>
      </w:pPr>
    </w:p>
    <w:p w14:paraId="797E175A" w14:textId="77777777" w:rsidR="00B650E5" w:rsidRDefault="00B650E5">
      <w:pPr>
        <w:pStyle w:val="Odsekzoznamu"/>
        <w:spacing w:before="120" w:after="120"/>
        <w:contextualSpacing w:val="0"/>
      </w:pPr>
    </w:p>
    <w:p w14:paraId="7552D559" w14:textId="77777777" w:rsidR="00B650E5" w:rsidRDefault="00B650E5">
      <w:pPr>
        <w:pStyle w:val="Odsekzoznamu"/>
        <w:spacing w:before="120" w:after="120"/>
        <w:contextualSpacing w:val="0"/>
      </w:pPr>
    </w:p>
    <w:p w14:paraId="05CFA8B4" w14:textId="77777777" w:rsidR="00B650E5" w:rsidRDefault="00B650E5">
      <w:pPr>
        <w:pStyle w:val="Odsekzoznamu"/>
        <w:spacing w:before="120" w:after="120"/>
        <w:contextualSpacing w:val="0"/>
      </w:pPr>
    </w:p>
    <w:p w14:paraId="0A87AE20" w14:textId="77777777" w:rsidR="00B650E5" w:rsidRDefault="00B650E5">
      <w:pPr>
        <w:pStyle w:val="Odsekzoznamu"/>
        <w:spacing w:before="120" w:after="120"/>
        <w:contextualSpacing w:val="0"/>
      </w:pPr>
    </w:p>
    <w:p w14:paraId="122FC5F6" w14:textId="77777777" w:rsidR="00B650E5" w:rsidRDefault="00B650E5">
      <w:pPr>
        <w:pStyle w:val="Odsekzoznamu"/>
        <w:spacing w:before="120" w:after="120"/>
        <w:contextualSpacing w:val="0"/>
      </w:pPr>
    </w:p>
    <w:p w14:paraId="4DCA3B05" w14:textId="77777777" w:rsidR="00B650E5" w:rsidRDefault="00B650E5">
      <w:pPr>
        <w:pStyle w:val="Odsekzoznamu"/>
        <w:spacing w:before="120" w:after="120"/>
        <w:contextualSpacing w:val="0"/>
      </w:pPr>
    </w:p>
    <w:p w14:paraId="624701AF" w14:textId="77777777" w:rsidR="00B650E5" w:rsidRDefault="00B650E5">
      <w:pPr>
        <w:pStyle w:val="Odsekzoznamu"/>
        <w:spacing w:before="120" w:after="120"/>
        <w:contextualSpacing w:val="0"/>
      </w:pPr>
    </w:p>
    <w:p w14:paraId="591892BB" w14:textId="77777777" w:rsidR="00B650E5" w:rsidRDefault="00B650E5">
      <w:pPr>
        <w:pStyle w:val="Odsekzoznamu"/>
        <w:spacing w:before="120" w:after="120"/>
        <w:contextualSpacing w:val="0"/>
      </w:pPr>
    </w:p>
    <w:p w14:paraId="1EC1E8F3" w14:textId="77777777" w:rsidR="00B650E5" w:rsidRDefault="00B650E5">
      <w:pPr>
        <w:pStyle w:val="Odsekzoznamu"/>
        <w:spacing w:before="120" w:after="120"/>
        <w:contextualSpacing w:val="0"/>
      </w:pPr>
    </w:p>
    <w:p w14:paraId="10128407" w14:textId="77777777" w:rsidR="00B650E5" w:rsidRDefault="00B650E5">
      <w:pPr>
        <w:pStyle w:val="Odsekzoznamu"/>
        <w:spacing w:before="120" w:after="120"/>
        <w:contextualSpacing w:val="0"/>
      </w:pPr>
    </w:p>
    <w:p w14:paraId="315FBA8A" w14:textId="77777777" w:rsidR="00B650E5" w:rsidRDefault="00B650E5">
      <w:pPr>
        <w:pStyle w:val="Odsekzoznamu"/>
        <w:spacing w:before="120" w:after="120"/>
        <w:contextualSpacing w:val="0"/>
      </w:pPr>
    </w:p>
    <w:p w14:paraId="40840A3D" w14:textId="77777777" w:rsidR="00B650E5" w:rsidRDefault="00B650E5">
      <w:pPr>
        <w:pStyle w:val="Odsekzoznamu"/>
        <w:spacing w:before="120" w:after="120"/>
        <w:contextualSpacing w:val="0"/>
      </w:pPr>
    </w:p>
    <w:p w14:paraId="2489924A" w14:textId="77777777" w:rsidR="00B650E5" w:rsidRDefault="00B650E5">
      <w:pPr>
        <w:spacing w:before="120" w:after="120"/>
      </w:pPr>
    </w:p>
    <w:p w14:paraId="4CBDE957" w14:textId="77777777" w:rsidR="00B650E5" w:rsidRDefault="00B650E5">
      <w:pPr>
        <w:spacing w:before="120" w:after="120"/>
      </w:pPr>
    </w:p>
    <w:p w14:paraId="2CAD7AE2"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lastRenderedPageBreak/>
        <w:t>Ak test štátnej pomoci</w:t>
      </w:r>
      <w:r>
        <w:rPr>
          <w:rStyle w:val="Odkaznapoznmkupodiarou"/>
          <w:color w:val="000000"/>
        </w:rPr>
        <w:footnoteReference w:id="165"/>
      </w:r>
      <w:r>
        <w:rPr>
          <w:color w:val="000000"/>
          <w:vertAlign w:val="superscript"/>
        </w:rPr>
        <w:t xml:space="preserve"> </w:t>
      </w:r>
      <w:r>
        <w:rPr>
          <w:color w:val="000000"/>
        </w:rPr>
        <w:t>(vzor</w:t>
      </w:r>
      <w:r>
        <w:rPr>
          <w:rStyle w:val="Odkaznapoznmkupodiarou"/>
          <w:color w:val="000000"/>
        </w:rPr>
        <w:footnoteReference w:id="166"/>
      </w:r>
      <w:r>
        <w:rPr>
          <w:color w:val="000000"/>
        </w:rPr>
        <w:t xml:space="preserve"> vydá CKO) preukáže, že aktivity (činnosti) spĺňajú kritéria štátnej pomoci, je potrebné túto skutočnosť zohľadniť vo výzvach uvedením podmienok pre danú štátnu pomoc/pomoc de minimis, ako aj vypracovať príslušnú schému štátnej pomoci alebo schému pomoci de minimis. </w:t>
      </w:r>
    </w:p>
    <w:p w14:paraId="1650067F"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Ak niektorá ad hoc oprávnená aktivita (činnosť), ktorá nebola ošetrená pri vypracovaní schém štátnej pomoci, predstavuje štátnu pomoc, je potrebné preskúmať, či je možné predmetnú oprávnenú aktivitu zaradiť pod existujúcu schému štátnej pomoci, alebo je možné túto štátnu pomoc poskytnúť v súlade s nariadením č. 651/2014.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Pr>
          <w:rStyle w:val="Odkaznapoznmkupodiarou"/>
          <w:color w:val="000000"/>
        </w:rPr>
        <w:footnoteReference w:id="167"/>
      </w:r>
      <w:r>
        <w:rPr>
          <w:color w:val="000000"/>
        </w:rPr>
        <w:t>.</w:t>
      </w:r>
    </w:p>
    <w:p w14:paraId="1715FA2D"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 xml:space="preserve">Žiadosť o schválenie poskytnutia štátnej pomoci sa EK predkladá (notifikuje) prostredníctvom koordinátora pomoci v zmysle § 9 zákona o štátnej pomoci zákona o štátnej pomoci na príslušnom notifikačnom formulári v zmysle § 9 ods. 4 zákona o štátnej pomoci. </w:t>
      </w:r>
      <w:r w:rsidRPr="006D1259">
        <w:rPr>
          <w:color w:val="000000"/>
        </w:rPr>
        <w:t>Poskytovateľ štátnej pomoci je povinný predkladať notifikáciu koordinátorovi pomoci aj v elektronickej podobe.</w:t>
      </w:r>
    </w:p>
    <w:p w14:paraId="412B4120" w14:textId="77777777" w:rsidR="00B650E5" w:rsidRDefault="00B650E5">
      <w:pPr>
        <w:pStyle w:val="Odsekzoznamu"/>
        <w:numPr>
          <w:ilvl w:val="0"/>
          <w:numId w:val="275"/>
        </w:numPr>
        <w:spacing w:before="120" w:after="120"/>
        <w:ind w:left="426" w:hanging="426"/>
        <w:contextualSpacing w:val="0"/>
        <w:jc w:val="both"/>
        <w:rPr>
          <w:color w:val="000000"/>
        </w:rPr>
      </w:pPr>
      <w:r>
        <w:rPr>
          <w:color w:val="000000"/>
        </w:rPr>
        <w:t xml:space="preserve">Ak niektorá ad hoc oprávnená aktivita (činnosť), ktorá nebola ošetrená pri vypracovaní schém pomoci de minimis, predstavuje pomoc de minimis, je potrebné preskúmať, či je možné predmetnú oprávnenú aktivitu zaradiť pod existujúcu schému pomoci de minimis. Ak nie, pomoc de minimis nemusí byť notifikovaná EK, </w:t>
      </w:r>
      <w:r w:rsidR="00C93F30">
        <w:rPr>
          <w:color w:val="000000"/>
        </w:rPr>
        <w:t xml:space="preserve">t. j. </w:t>
      </w:r>
      <w:r>
        <w:rPr>
          <w:color w:val="000000"/>
        </w:rPr>
        <w:t xml:space="preserve"> je možné ju poskytnúť bez predchádzajúceho schválenia EK za predpokladu preukázania splnenia všetkých podmienok nariadenia č. 1407/2013. V prípade poskytnutia pomoci de minimis je poskytovateľ pomoci podľa § 13 zákona o štátnej pomoci povinný </w:t>
      </w:r>
      <w:r w:rsidRPr="00B22D62">
        <w:rPr>
          <w:color w:val="000000"/>
        </w:rPr>
        <w:t xml:space="preserve">do centrálneho registra zaznamenávať údaje 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 minimis</w:t>
      </w:r>
      <w:r w:rsidRPr="00B22D62">
        <w:rPr>
          <w:color w:val="000000"/>
        </w:rPr>
        <w:t xml:space="preserve"> zaznamenať do centrálneho registra do piatich pracovných dní odo dňa poskytnutia pomoci</w:t>
      </w:r>
      <w:r>
        <w:rPr>
          <w:color w:val="000000"/>
        </w:rPr>
        <w:t xml:space="preserve"> de minimis.</w:t>
      </w:r>
    </w:p>
    <w:p w14:paraId="336E4BFB" w14:textId="77777777" w:rsidR="00B650E5" w:rsidRDefault="00B650E5">
      <w:pPr>
        <w:pStyle w:val="Odsekzoznamu"/>
        <w:numPr>
          <w:ilvl w:val="0"/>
          <w:numId w:val="275"/>
        </w:numPr>
        <w:spacing w:before="120" w:after="120"/>
        <w:ind w:left="425" w:hanging="425"/>
        <w:contextualSpacing w:val="0"/>
        <w:jc w:val="both"/>
      </w:pPr>
      <w:r>
        <w:t>V prípade SVHZ, ak sú splnené všetky kritériá rozsudku vo veci Altmark, náhrada za SVHZ nepredstavuje štátnu pomoc. Ak aspoň jedna z podmienok rozsudku vo veci Altmark nie je splnená a ostatné kritéria štátnej pomoci naopak splnené sú, náhrada za SVHZ môže byť štátnou pomocou alebo pomocou de minimis.</w:t>
      </w:r>
    </w:p>
    <w:p w14:paraId="2965B07B" w14:textId="77777777" w:rsidR="00B650E5" w:rsidRDefault="00B650E5">
      <w:pPr>
        <w:pStyle w:val="Odsekzoznamu"/>
        <w:numPr>
          <w:ilvl w:val="0"/>
          <w:numId w:val="275"/>
        </w:numPr>
        <w:spacing w:before="120" w:after="120"/>
        <w:ind w:left="425" w:hanging="425"/>
        <w:contextualSpacing w:val="0"/>
        <w:jc w:val="both"/>
      </w:pPr>
      <w:r>
        <w:t xml:space="preserve">Ak je štátnou pomocou, je potrebné posúdiť, či spĺňa </w:t>
      </w:r>
      <w:r>
        <w:rPr>
          <w:u w:val="single"/>
        </w:rPr>
        <w:t>podmienky rozhodnutia Komisie</w:t>
      </w:r>
      <w:r>
        <w:t>:</w:t>
      </w:r>
    </w:p>
    <w:p w14:paraId="3D301F6C" w14:textId="77777777" w:rsidR="00B650E5" w:rsidRDefault="00B650E5">
      <w:pPr>
        <w:pStyle w:val="Odsekzoznamu"/>
        <w:numPr>
          <w:ilvl w:val="0"/>
          <w:numId w:val="350"/>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14:paraId="7A3249AC" w14:textId="77777777" w:rsidR="00B650E5" w:rsidRDefault="00B650E5">
      <w:pPr>
        <w:pStyle w:val="Odsekzoznamu"/>
        <w:numPr>
          <w:ilvl w:val="0"/>
          <w:numId w:val="350"/>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w:t>
      </w:r>
      <w:r>
        <w:lastRenderedPageBreak/>
        <w:t xml:space="preserve">o schválenie poskytnutia štátnej pomoci sa EK predkladá (notifikuje) podľa zákona o štátnej pomoci prostredníctvom koordinátora pomoci na príslušnom notifikačnom formulári </w:t>
      </w:r>
      <w:r>
        <w:rPr>
          <w:color w:val="000000"/>
        </w:rPr>
        <w:t>v zmysle § 9 ods. 4 zákona o štátnej pomoci</w:t>
      </w:r>
      <w:r>
        <w:t>.</w:t>
      </w:r>
    </w:p>
    <w:p w14:paraId="76414AB6" w14:textId="77777777" w:rsidR="00B650E5" w:rsidRDefault="00B650E5">
      <w:pPr>
        <w:pStyle w:val="Odsekzoznamu"/>
        <w:numPr>
          <w:ilvl w:val="0"/>
          <w:numId w:val="275"/>
        </w:numPr>
        <w:spacing w:before="120" w:after="120"/>
        <w:ind w:left="426" w:hanging="426"/>
        <w:contextualSpacing w:val="0"/>
        <w:jc w:val="both"/>
      </w:pPr>
      <w:r>
        <w:t xml:space="preserve">Ak náhrada za SVHZ predstavuje poskytnutie pomoci de minimis podľa nariadenia č. 360/2012, pomoc nemusí byť notifikovaná EK, </w:t>
      </w:r>
      <w:r w:rsidR="00C93F30">
        <w:t xml:space="preserve">t. j. </w:t>
      </w:r>
      <w:r>
        <w:t xml:space="preserve">je možné ju poskytnúť bez predchádzajúceho schválenia EK za predpokladu preukázania splnenia všetkých podmienok nariadenia. V prípade poskytnutia pomoci de minimis je poskytovateľ pomoci podľa § </w:t>
      </w:r>
      <w:r>
        <w:rPr>
          <w:color w:val="000000"/>
        </w:rPr>
        <w:t xml:space="preserve">13 zákona o štátnej pomoci povinný </w:t>
      </w:r>
      <w:r w:rsidRPr="00B22D62">
        <w:rPr>
          <w:color w:val="000000"/>
        </w:rPr>
        <w:t>do</w:t>
      </w:r>
      <w:r w:rsidR="008520E6">
        <w:rPr>
          <w:color w:val="000000"/>
        </w:rPr>
        <w:t> </w:t>
      </w:r>
      <w:r w:rsidRPr="00B22D62">
        <w:rPr>
          <w:color w:val="000000"/>
        </w:rPr>
        <w:t xml:space="preserve">centrálneho registra zaznamenávať údaje o poskytnutej pomoci </w:t>
      </w:r>
      <w:r>
        <w:rPr>
          <w:color w:val="000000"/>
        </w:rPr>
        <w:t xml:space="preserve">de minimis </w:t>
      </w:r>
      <w:r w:rsidRPr="00B22D62">
        <w:rPr>
          <w:color w:val="000000"/>
        </w:rPr>
        <w:t>a údaje o</w:t>
      </w:r>
      <w:r w:rsidR="008520E6">
        <w:rPr>
          <w:color w:val="000000"/>
        </w:rPr>
        <w:t> </w:t>
      </w:r>
      <w:r w:rsidRPr="00B22D62">
        <w:rPr>
          <w:color w:val="000000"/>
        </w:rPr>
        <w:t>príjemcovi pomoci</w:t>
      </w:r>
      <w:r>
        <w:rPr>
          <w:color w:val="000000"/>
        </w:rPr>
        <w:t xml:space="preserve"> de minimis</w:t>
      </w:r>
      <w:r w:rsidRPr="00B22D62">
        <w:rPr>
          <w:color w:val="000000"/>
        </w:rPr>
        <w:t xml:space="preserve"> prostredníctvom elektronického formulára</w:t>
      </w:r>
      <w:r>
        <w:rPr>
          <w:color w:val="000000"/>
        </w:rPr>
        <w:t xml:space="preserve">. </w:t>
      </w:r>
      <w:r w:rsidRPr="00B22D62">
        <w:rPr>
          <w:color w:val="000000"/>
        </w:rPr>
        <w:t>Poskytovateľ pomoci je povinný údaje</w:t>
      </w:r>
      <w:r>
        <w:rPr>
          <w:color w:val="000000"/>
        </w:rPr>
        <w:t xml:space="preserve"> </w:t>
      </w:r>
      <w:r w:rsidRPr="00B22D62">
        <w:rPr>
          <w:color w:val="000000"/>
        </w:rPr>
        <w:t xml:space="preserve">o poskytnutej pomoci </w:t>
      </w:r>
      <w:r>
        <w:rPr>
          <w:color w:val="000000"/>
        </w:rPr>
        <w:t xml:space="preserve">de minimis </w:t>
      </w:r>
      <w:r w:rsidRPr="00B22D62">
        <w:rPr>
          <w:color w:val="000000"/>
        </w:rPr>
        <w:t>a údaje o príjemcovi pomoci</w:t>
      </w:r>
      <w:r>
        <w:rPr>
          <w:color w:val="000000"/>
        </w:rPr>
        <w:t xml:space="preserve"> de</w:t>
      </w:r>
      <w:r w:rsidR="008520E6">
        <w:rPr>
          <w:color w:val="000000"/>
        </w:rPr>
        <w:t> </w:t>
      </w:r>
      <w:r>
        <w:rPr>
          <w:color w:val="000000"/>
        </w:rPr>
        <w:t>minimis</w:t>
      </w:r>
      <w:r w:rsidRPr="00B22D62">
        <w:rPr>
          <w:color w:val="000000"/>
        </w:rPr>
        <w:t xml:space="preserve"> zaznamenať do</w:t>
      </w:r>
      <w:r w:rsidR="008520E6">
        <w:rPr>
          <w:color w:val="000000"/>
        </w:rPr>
        <w:t> </w:t>
      </w:r>
      <w:r w:rsidRPr="00B22D62">
        <w:rPr>
          <w:color w:val="000000"/>
        </w:rPr>
        <w:t>centrálneho registra do piatich pracovných dní odo dňa poskytnutia pomoci</w:t>
      </w:r>
      <w:r>
        <w:rPr>
          <w:color w:val="000000"/>
        </w:rPr>
        <w:t xml:space="preserve"> de minimis</w:t>
      </w:r>
      <w:r>
        <w:t xml:space="preserve">.  </w:t>
      </w:r>
    </w:p>
    <w:p w14:paraId="41DC1271" w14:textId="77777777" w:rsidR="00B650E5" w:rsidRDefault="00B650E5">
      <w:pPr>
        <w:spacing w:after="200" w:line="276" w:lineRule="auto"/>
      </w:pPr>
      <w:r>
        <w:br w:type="page"/>
      </w:r>
    </w:p>
    <w:p w14:paraId="32BC494D" w14:textId="77777777" w:rsidR="00B650E5" w:rsidRDefault="00B650E5">
      <w:pPr>
        <w:pStyle w:val="SRK2"/>
        <w:rPr>
          <w:rStyle w:val="Nadpis1Char"/>
          <w:sz w:val="36"/>
          <w:szCs w:val="26"/>
        </w:rPr>
      </w:pPr>
      <w:bookmarkStart w:id="544" w:name="_Toc453234093"/>
      <w:bookmarkStart w:id="545" w:name="_Toc501630140"/>
      <w:bookmarkStart w:id="546" w:name="kapitola_37"/>
      <w:bookmarkStart w:id="547" w:name="_Toc378947540"/>
      <w:bookmarkEnd w:id="535"/>
      <w:r>
        <w:rPr>
          <w:rStyle w:val="Nadpis1Char"/>
          <w:sz w:val="36"/>
          <w:szCs w:val="26"/>
        </w:rPr>
        <w:lastRenderedPageBreak/>
        <w:t xml:space="preserve">3.7 </w:t>
      </w:r>
      <w:bookmarkStart w:id="548" w:name="_Toc378947535"/>
      <w:r>
        <w:rPr>
          <w:rStyle w:val="Nadpis1Char"/>
          <w:sz w:val="36"/>
          <w:szCs w:val="26"/>
        </w:rPr>
        <w:t>Implementácia programov Európskej územnej spolupráce</w:t>
      </w:r>
      <w:bookmarkEnd w:id="544"/>
      <w:bookmarkEnd w:id="545"/>
      <w:bookmarkEnd w:id="548"/>
    </w:p>
    <w:bookmarkEnd w:id="546"/>
    <w:p w14:paraId="7C54D70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5DCB03E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14:paraId="5060E02C"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2F84E77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14:paraId="18B117F4"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14:paraId="5CF09CF1"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14:paraId="15C1B753"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14:paraId="43A2A299"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14:paraId="5144B14E" w14:textId="77777777" w:rsidR="00B650E5" w:rsidRDefault="00B650E5">
      <w:pPr>
        <w:numPr>
          <w:ilvl w:val="0"/>
          <w:numId w:val="165"/>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14:paraId="5352E27D" w14:textId="77777777" w:rsidR="00B650E5" w:rsidRDefault="00B650E5">
      <w:pPr>
        <w:numPr>
          <w:ilvl w:val="0"/>
          <w:numId w:val="165"/>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14:paraId="2DC7B77E" w14:textId="77777777" w:rsidR="00B650E5" w:rsidRDefault="00B650E5">
      <w:pPr>
        <w:numPr>
          <w:ilvl w:val="0"/>
          <w:numId w:val="165"/>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14:paraId="61D72DB2" w14:textId="77777777" w:rsidR="00B650E5" w:rsidRDefault="00B650E5">
      <w:pPr>
        <w:numPr>
          <w:ilvl w:val="0"/>
          <w:numId w:val="164"/>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14:paraId="1700E619" w14:textId="77777777" w:rsidR="00B650E5" w:rsidRDefault="00B650E5">
      <w:pPr>
        <w:pStyle w:val="Odsekzoznamu"/>
        <w:numPr>
          <w:ilvl w:val="0"/>
          <w:numId w:val="164"/>
        </w:numPr>
        <w:ind w:left="426" w:hanging="426"/>
        <w:jc w:val="both"/>
      </w:pPr>
      <w:r w:rsidRPr="009078F6">
        <w:t>Ustanovenia Systému riadenia EŠIF a dokumentov vydávaných na základe Systému riadenia EŠIF sa vzťahujú primerane na implementáciu tých programov EÚS, kde SR vystupuje ako RO (s výnimkou OP 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povinné dodržiavať. Špecifiká implementácie v rámci programov EÚS, ktoré objektívne neumožňujú aplikáciu postupov štandardne upravených v Systéme riadenia budú upravené v riadiacej dokumentácii jednotlivých programov. Jednotlivé orgány zodpovedné za implementáciu v rámci programov EÚS (vrátane OP INTERACT III 2014 – 2020)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 </w:t>
      </w:r>
    </w:p>
    <w:p w14:paraId="18881E28" w14:textId="77777777" w:rsidR="00B650E5" w:rsidRDefault="00B650E5">
      <w:pPr>
        <w:pStyle w:val="Odsekzoznamu"/>
        <w:numPr>
          <w:ilvl w:val="0"/>
          <w:numId w:val="164"/>
        </w:numPr>
        <w:ind w:left="426" w:hanging="426"/>
        <w:jc w:val="both"/>
      </w:pPr>
      <w:r>
        <w:t xml:space="preserve">Vyhlasovanie výziev v rámci </w:t>
      </w:r>
      <w:r w:rsidR="00DE270A">
        <w:t xml:space="preserve">programov </w:t>
      </w:r>
      <w:r>
        <w:t xml:space="preserve">cezhraničnej spolupráce sa riadi ustanoveniami </w:t>
      </w:r>
      <w:hyperlink w:anchor="kapitola_311_ods_3" w:tooltip="ods. 3 až ods. 10 kapitoly 3.1.1" w:history="1">
        <w:r w:rsidRPr="00BC4026">
          <w:rPr>
            <w:rStyle w:val="Hypertextovprepojenie"/>
            <w:szCs w:val="22"/>
            <w:lang w:eastAsia="en-US"/>
          </w:rPr>
          <w:t xml:space="preserve">ods. 3 až ods. </w:t>
        </w:r>
        <w:r>
          <w:rPr>
            <w:rStyle w:val="Hypertextovprepojenie"/>
            <w:szCs w:val="22"/>
            <w:lang w:eastAsia="en-US"/>
          </w:rPr>
          <w:t>1</w:t>
        </w:r>
        <w:r w:rsidR="00E05864">
          <w:rPr>
            <w:rStyle w:val="Hypertextovprepojenie"/>
            <w:szCs w:val="22"/>
            <w:lang w:eastAsia="en-US"/>
          </w:rPr>
          <w:t>3</w:t>
        </w:r>
        <w:r w:rsidRPr="00BC4026">
          <w:rPr>
            <w:rStyle w:val="Hypertextovprepojenie"/>
            <w:szCs w:val="22"/>
            <w:lang w:eastAsia="en-US"/>
          </w:rPr>
          <w:t xml:space="preserve"> kapitoly 3.1.1</w:t>
        </w:r>
      </w:hyperlink>
      <w:r>
        <w:rPr>
          <w:szCs w:val="22"/>
          <w:lang w:eastAsia="en-US"/>
        </w:rPr>
        <w:t>.</w:t>
      </w:r>
    </w:p>
    <w:p w14:paraId="38F9AC8A" w14:textId="77777777" w:rsidR="00B650E5" w:rsidRDefault="00B650E5">
      <w:pPr>
        <w:jc w:val="both"/>
      </w:pPr>
    </w:p>
    <w:p w14:paraId="5D5CF2F6" w14:textId="77777777" w:rsidR="00B650E5" w:rsidRDefault="00B650E5">
      <w:pPr>
        <w:jc w:val="both"/>
      </w:pPr>
    </w:p>
    <w:p w14:paraId="51E1B67C" w14:textId="77777777" w:rsidR="00B650E5" w:rsidRDefault="00B650E5">
      <w:pPr>
        <w:jc w:val="both"/>
      </w:pPr>
    </w:p>
    <w:p w14:paraId="5B229B32" w14:textId="77777777" w:rsidR="00B650E5" w:rsidRDefault="00B650E5">
      <w:pPr>
        <w:jc w:val="both"/>
      </w:pPr>
    </w:p>
    <w:p w14:paraId="59A8B96F" w14:textId="77777777" w:rsidR="00B650E5" w:rsidRDefault="00B650E5">
      <w:pPr>
        <w:jc w:val="both"/>
      </w:pPr>
    </w:p>
    <w:p w14:paraId="38DEC339" w14:textId="77777777" w:rsidR="00B650E5" w:rsidRDefault="00B650E5">
      <w:pPr>
        <w:spacing w:before="120" w:after="120"/>
        <w:jc w:val="both"/>
        <w:rPr>
          <w:b/>
          <w:bCs/>
          <w:sz w:val="20"/>
          <w:szCs w:val="20"/>
        </w:rPr>
      </w:pPr>
      <w:bookmarkStart w:id="549" w:name="kapitola_37_tabulka_organov_EÚS"/>
      <w:r>
        <w:rPr>
          <w:b/>
          <w:bCs/>
          <w:sz w:val="20"/>
          <w:szCs w:val="20"/>
        </w:rPr>
        <w:lastRenderedPageBreak/>
        <w:t>Orgány zodpovedné za prípravu a implementáciu jednotlivých programov v rámci cieľa EÚS v programovom období 2014 – 2020 v podmienkach SR</w:t>
      </w:r>
    </w:p>
    <w:bookmarkEnd w:id="549"/>
    <w:p w14:paraId="54F42AC3" w14:textId="77777777" w:rsidR="00B650E5" w:rsidRDefault="00B650E5">
      <w:pPr>
        <w:spacing w:before="120" w:after="120"/>
        <w:jc w:val="both"/>
        <w:rPr>
          <w:b/>
          <w:bCs/>
          <w:sz w:val="20"/>
          <w:szCs w:val="20"/>
        </w:rPr>
      </w:pPr>
    </w:p>
    <w:tbl>
      <w:tblPr>
        <w:tblW w:w="0" w:type="auto"/>
        <w:jc w:val="center"/>
        <w:tblCellMar>
          <w:left w:w="0" w:type="dxa"/>
          <w:right w:w="0" w:type="dxa"/>
        </w:tblCellMar>
        <w:tblLook w:val="00A0" w:firstRow="1" w:lastRow="0" w:firstColumn="1" w:lastColumn="0" w:noHBand="0" w:noVBand="0"/>
      </w:tblPr>
      <w:tblGrid>
        <w:gridCol w:w="670"/>
        <w:gridCol w:w="5103"/>
        <w:gridCol w:w="3402"/>
      </w:tblGrid>
      <w:tr w:rsidR="00B650E5" w14:paraId="4A71CD57"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6195880" w14:textId="77777777" w:rsidR="00B650E5" w:rsidRDefault="00B650E5">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565024B" w14:textId="77777777" w:rsidR="00B650E5" w:rsidRDefault="00B650E5">
            <w:pPr>
              <w:spacing w:before="120" w:after="120"/>
              <w:jc w:val="center"/>
            </w:pPr>
            <w:r>
              <w:rPr>
                <w:b/>
                <w:bCs/>
              </w:rPr>
              <w:t>Operačný program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F1597EB" w14:textId="77777777" w:rsidR="00B650E5" w:rsidRDefault="00B650E5">
            <w:pPr>
              <w:spacing w:before="120" w:after="120"/>
              <w:jc w:val="center"/>
            </w:pPr>
            <w:r>
              <w:rPr>
                <w:b/>
                <w:bCs/>
              </w:rPr>
              <w:t>Orgán zodpovedný</w:t>
            </w:r>
            <w:r>
              <w:br/>
            </w:r>
            <w:r>
              <w:rPr>
                <w:b/>
                <w:bCs/>
              </w:rPr>
              <w:t>za prípravu a implementáciu</w:t>
            </w:r>
          </w:p>
        </w:tc>
      </w:tr>
      <w:tr w:rsidR="00B650E5" w14:paraId="444544C2" w14:textId="77777777">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0ADF5A93" w14:textId="77777777" w:rsidR="00B650E5" w:rsidRDefault="00B650E5">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35A27652" w14:textId="77777777" w:rsidR="00B650E5" w:rsidRDefault="00B650E5">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34A1F51E" w14:textId="77777777" w:rsidR="00B650E5" w:rsidRDefault="00B650E5">
            <w:pPr>
              <w:spacing w:before="120" w:after="120"/>
              <w:jc w:val="both"/>
            </w:pPr>
            <w:r>
              <w:t> </w:t>
            </w:r>
          </w:p>
        </w:tc>
      </w:tr>
      <w:tr w:rsidR="00B650E5" w14:paraId="52420DAE"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06B9D8B" w14:textId="77777777" w:rsidR="00B650E5" w:rsidRDefault="00B650E5">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B87B9E2" w14:textId="77777777" w:rsidR="00B650E5" w:rsidRDefault="00DE270A">
            <w:pPr>
              <w:spacing w:before="120" w:after="120"/>
            </w:pPr>
            <w:r>
              <w:t xml:space="preserve">Interreg V-A </w:t>
            </w:r>
            <w:r w:rsidR="00B650E5">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0F2EB85" w14:textId="77777777" w:rsidR="00B650E5" w:rsidRDefault="00B650E5">
            <w:pPr>
              <w:spacing w:before="120" w:after="120"/>
            </w:pPr>
            <w:r>
              <w:t>Ministerstvo pôdohospodárstva a rozvoja vidieka SR ako riadiaci orgán</w:t>
            </w:r>
          </w:p>
        </w:tc>
      </w:tr>
      <w:tr w:rsidR="00B650E5" w14:paraId="517954E5"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B13A72C" w14:textId="77777777" w:rsidR="00B650E5" w:rsidRDefault="00B650E5">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C013074" w14:textId="77777777" w:rsidR="00B650E5" w:rsidRDefault="00DE270A">
            <w:pPr>
              <w:spacing w:before="120" w:after="120"/>
            </w:pPr>
            <w:r>
              <w:t xml:space="preserve">Interreg V-A </w:t>
            </w:r>
            <w:r w:rsidR="00B650E5">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4ACBA70" w14:textId="77777777" w:rsidR="00B650E5" w:rsidRDefault="00B650E5">
            <w:pPr>
              <w:spacing w:before="120" w:after="120"/>
            </w:pPr>
            <w:r>
              <w:t>Ministerstvo pôdohospodárstva a rozvoja vidieka SR ako riadiaci orgán</w:t>
            </w:r>
          </w:p>
        </w:tc>
      </w:tr>
      <w:tr w:rsidR="00B650E5" w14:paraId="1435F152"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6BAB8D9" w14:textId="77777777" w:rsidR="00B650E5" w:rsidRDefault="00B650E5">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45226A3" w14:textId="77777777" w:rsidR="00B650E5" w:rsidRDefault="00DE270A">
            <w:pPr>
              <w:spacing w:before="120" w:after="120"/>
            </w:pPr>
            <w:r>
              <w:t xml:space="preserve">Interreg V-A </w:t>
            </w:r>
            <w:r w:rsidR="00B650E5">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EA111D5" w14:textId="77777777" w:rsidR="00B650E5" w:rsidRDefault="00B650E5">
            <w:pPr>
              <w:spacing w:before="120" w:after="120"/>
            </w:pPr>
            <w:r>
              <w:t>Ministerstvo pôdohospodárstva a rozvoja vidieka SR ako národný orgán</w:t>
            </w:r>
          </w:p>
        </w:tc>
      </w:tr>
      <w:tr w:rsidR="00B650E5" w14:paraId="284C5DDC"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477A191" w14:textId="77777777" w:rsidR="00B650E5" w:rsidRDefault="00B650E5">
            <w:pPr>
              <w:spacing w:before="120" w:after="120"/>
              <w:jc w:val="center"/>
            </w:pPr>
            <w:r>
              <w:t>4.</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C7E1C28" w14:textId="77777777" w:rsidR="00B650E5" w:rsidRDefault="00DE270A">
            <w:pPr>
              <w:spacing w:before="120" w:after="120"/>
            </w:pPr>
            <w:r>
              <w:t xml:space="preserve">Interreg V-A </w:t>
            </w:r>
            <w:r w:rsidR="00B971D8">
              <w:t xml:space="preserve">Slovenská republika - </w:t>
            </w:r>
            <w:r w:rsidR="00B650E5">
              <w:t xml:space="preserve">Maďarsko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D0AF455" w14:textId="77777777" w:rsidR="00B650E5" w:rsidRDefault="00B650E5">
            <w:pPr>
              <w:spacing w:before="120" w:after="120"/>
            </w:pPr>
            <w:r>
              <w:t>Ministerstvo pôdohospodárstva a rozvoja vidieka SR ako národný orgán</w:t>
            </w:r>
          </w:p>
        </w:tc>
      </w:tr>
      <w:tr w:rsidR="00B650E5" w14:paraId="49DAD6FA"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4B999DD" w14:textId="77777777" w:rsidR="00B650E5" w:rsidRDefault="00B650E5">
            <w:pPr>
              <w:spacing w:before="120" w:after="120"/>
              <w:jc w:val="center"/>
            </w:pPr>
            <w:r>
              <w:t>5.</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F507E11" w14:textId="77777777" w:rsidR="00B650E5" w:rsidRDefault="00B650E5">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E01104B" w14:textId="77777777" w:rsidR="00B650E5" w:rsidRDefault="00B650E5">
            <w:pPr>
              <w:spacing w:before="120" w:after="120"/>
            </w:pPr>
            <w:r>
              <w:t>Ministerstvo pôdohospodárstva a rozvoja vidieka SR ako národný orgán</w:t>
            </w:r>
          </w:p>
        </w:tc>
      </w:tr>
      <w:tr w:rsidR="00B650E5" w14:paraId="6BB5B110" w14:textId="77777777">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6B760477"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29964CA8" w14:textId="77777777" w:rsidR="00B650E5" w:rsidRDefault="00B650E5">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06079397" w14:textId="77777777" w:rsidR="00B650E5" w:rsidRDefault="00B650E5">
            <w:pPr>
              <w:spacing w:before="120" w:after="120"/>
            </w:pPr>
            <w:r>
              <w:t> </w:t>
            </w:r>
          </w:p>
        </w:tc>
      </w:tr>
      <w:tr w:rsidR="00B650E5" w14:paraId="1D649A6F"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456AF45" w14:textId="77777777" w:rsidR="00B650E5" w:rsidRDefault="00B650E5">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C8EB8AA" w14:textId="77777777" w:rsidR="00B650E5" w:rsidRDefault="00B650E5">
            <w:pPr>
              <w:spacing w:before="120" w:after="120"/>
            </w:pPr>
            <w:r>
              <w:t>INTERREG</w:t>
            </w:r>
            <w:r w:rsidR="00226058">
              <w:t xml:space="preserve"> </w:t>
            </w:r>
            <w:r w:rsidR="00226058" w:rsidRPr="00226058">
              <w:t>EUROPE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A4F405B" w14:textId="77777777" w:rsidR="00B650E5" w:rsidRDefault="00B650E5">
            <w:pPr>
              <w:spacing w:before="120" w:after="120"/>
            </w:pPr>
            <w:r>
              <w:t>Ministerstvo hospodárstva SR ako národný kontaktný bod</w:t>
            </w:r>
          </w:p>
        </w:tc>
      </w:tr>
      <w:tr w:rsidR="00B650E5" w14:paraId="5E5012BB"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78550B8" w14:textId="77777777" w:rsidR="00B650E5" w:rsidRDefault="00B650E5">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07665C2" w14:textId="77777777" w:rsidR="00B650E5" w:rsidRDefault="00B650E5">
            <w:pPr>
              <w:spacing w:before="120" w:after="120"/>
            </w:pPr>
            <w:r>
              <w:t xml:space="preserve">ESPON </w:t>
            </w:r>
            <w:r w:rsidR="00226058">
              <w:t>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92A7ED2" w14:textId="77777777" w:rsidR="00B650E5" w:rsidRDefault="00B650E5" w:rsidP="00341477">
            <w:pPr>
              <w:spacing w:before="120" w:after="120"/>
            </w:pPr>
            <w:r>
              <w:t>Ministerstvo dopravy</w:t>
            </w:r>
            <w:r w:rsidR="00341477">
              <w:t xml:space="preserve"> a</w:t>
            </w:r>
            <w:r>
              <w:t xml:space="preserve"> výstavby SR ako národný koordinátor programu</w:t>
            </w:r>
          </w:p>
        </w:tc>
      </w:tr>
      <w:tr w:rsidR="00B650E5" w14:paraId="28D0B613"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0EB84F9" w14:textId="77777777" w:rsidR="00B650E5" w:rsidRDefault="00B650E5">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65913A8" w14:textId="77777777" w:rsidR="00B650E5" w:rsidRDefault="00B650E5">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253EDA5" w14:textId="77777777" w:rsidR="00B650E5" w:rsidRDefault="00B650E5">
            <w:pPr>
              <w:spacing w:before="120" w:after="120"/>
            </w:pPr>
            <w:r>
              <w:rPr>
                <w:color w:val="000000"/>
              </w:rPr>
              <w:t>Bratislavský samosprávny kraj ako RO a Ministerstvo hospodárstva SR ako národný kontaktný bod</w:t>
            </w:r>
          </w:p>
        </w:tc>
      </w:tr>
      <w:tr w:rsidR="00B650E5" w14:paraId="5B1E27BC"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9E5B64A" w14:textId="77777777" w:rsidR="00B650E5" w:rsidRDefault="00B650E5">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C8F2859" w14:textId="77777777" w:rsidR="00B650E5" w:rsidRDefault="00B650E5">
            <w:pPr>
              <w:spacing w:before="120" w:after="120"/>
            </w:pPr>
            <w:r>
              <w:t xml:space="preserve">URBACT </w:t>
            </w:r>
            <w:r w:rsidR="00226058">
              <w:t>III</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B0BB4A7" w14:textId="77777777" w:rsidR="00B650E5" w:rsidRDefault="00B650E5" w:rsidP="00341477">
            <w:pPr>
              <w:spacing w:before="120" w:after="120"/>
            </w:pPr>
            <w:r>
              <w:t>Ministerstvo dopravy</w:t>
            </w:r>
            <w:r w:rsidR="00341477">
              <w:t xml:space="preserve"> a</w:t>
            </w:r>
            <w:r>
              <w:t xml:space="preserve"> výstavby SR ako národný orgán</w:t>
            </w:r>
          </w:p>
        </w:tc>
      </w:tr>
      <w:tr w:rsidR="00B650E5" w14:paraId="41977D23" w14:textId="77777777">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2EE73290" w14:textId="77777777" w:rsidR="00B650E5" w:rsidRDefault="00B650E5">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768B7AED" w14:textId="77777777" w:rsidR="00B650E5" w:rsidRDefault="00B650E5">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tcPr>
          <w:p w14:paraId="5FF7D446" w14:textId="77777777" w:rsidR="00B650E5" w:rsidRDefault="00B650E5">
            <w:pPr>
              <w:spacing w:before="120" w:after="120"/>
            </w:pPr>
            <w:r>
              <w:t> </w:t>
            </w:r>
          </w:p>
        </w:tc>
      </w:tr>
      <w:tr w:rsidR="00B650E5" w14:paraId="49BDB7B0"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BA87D48" w14:textId="77777777" w:rsidR="00B650E5" w:rsidRDefault="00B650E5">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9DB1DA1" w14:textId="77777777" w:rsidR="00B650E5" w:rsidRDefault="00B650E5">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60C87AD" w14:textId="77777777" w:rsidR="00B650E5" w:rsidRDefault="00B650E5">
            <w:pPr>
              <w:spacing w:before="120" w:after="120"/>
            </w:pPr>
            <w:r>
              <w:t>Úrad vlády SR ako národný orgán a národný kontaktný</w:t>
            </w:r>
            <w:r w:rsidRPr="00786989">
              <w:t xml:space="preserve"> bod</w:t>
            </w:r>
          </w:p>
        </w:tc>
      </w:tr>
      <w:tr w:rsidR="00B650E5" w14:paraId="45A66258"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E3CAB7D" w14:textId="77777777" w:rsidR="00B650E5" w:rsidRDefault="00B650E5">
            <w:pPr>
              <w:spacing w:before="120" w:after="120"/>
              <w:jc w:val="center"/>
            </w:pPr>
            <w:r>
              <w:lastRenderedPageBreak/>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88B9800" w14:textId="77777777" w:rsidR="00B650E5" w:rsidRDefault="00B650E5">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E531DAE" w14:textId="77777777" w:rsidR="00B650E5" w:rsidRDefault="00B650E5">
            <w:pPr>
              <w:spacing w:before="120" w:after="120"/>
            </w:pPr>
            <w:r>
              <w:t>Úrad vlády SR ako národný orgán a národný kontaktný</w:t>
            </w:r>
            <w:r w:rsidRPr="00786989">
              <w:t xml:space="preserve"> bod</w:t>
            </w:r>
          </w:p>
        </w:tc>
      </w:tr>
    </w:tbl>
    <w:p w14:paraId="1B17A469" w14:textId="77777777" w:rsidR="00B650E5" w:rsidRDefault="00B650E5">
      <w:bookmarkStart w:id="550" w:name="_Toc228868300"/>
      <w:bookmarkEnd w:id="550"/>
    </w:p>
    <w:p w14:paraId="750B0CD5" w14:textId="77777777" w:rsidR="00B650E5" w:rsidRDefault="00B650E5">
      <w:pPr>
        <w:spacing w:after="200" w:line="276" w:lineRule="auto"/>
      </w:pPr>
      <w:r>
        <w:br w:type="page"/>
      </w:r>
    </w:p>
    <w:p w14:paraId="43F84C87" w14:textId="77777777" w:rsidR="00B650E5" w:rsidRDefault="00B650E5" w:rsidP="00227685">
      <w:pPr>
        <w:pStyle w:val="SRK1"/>
      </w:pPr>
      <w:bookmarkStart w:id="551" w:name="_Toc453234094"/>
      <w:bookmarkStart w:id="552" w:name="_Toc501630141"/>
      <w:r>
        <w:lastRenderedPageBreak/>
        <w:t>Časť 4</w:t>
      </w:r>
      <w:bookmarkEnd w:id="547"/>
      <w:r>
        <w:t xml:space="preserve"> </w:t>
      </w:r>
      <w:bookmarkStart w:id="553" w:name="_Toc378947541"/>
      <w:r>
        <w:t>Monitorovanie a hodnotenie EŠIF</w:t>
      </w:r>
      <w:bookmarkEnd w:id="551"/>
      <w:bookmarkEnd w:id="552"/>
      <w:bookmarkEnd w:id="553"/>
    </w:p>
    <w:p w14:paraId="279CA858" w14:textId="77777777" w:rsidR="00B650E5" w:rsidRDefault="00B650E5">
      <w:pPr>
        <w:pStyle w:val="SRK2"/>
        <w:rPr>
          <w:rStyle w:val="Nadpis1Char"/>
          <w:bCs/>
          <w:sz w:val="36"/>
          <w:szCs w:val="26"/>
        </w:rPr>
      </w:pPr>
      <w:bookmarkStart w:id="554" w:name="_Toc378947542"/>
      <w:bookmarkStart w:id="555" w:name="_Toc453234095"/>
      <w:bookmarkStart w:id="556" w:name="_Toc501630142"/>
      <w:r>
        <w:rPr>
          <w:rStyle w:val="Nadpis1Char"/>
          <w:bCs/>
          <w:sz w:val="36"/>
          <w:szCs w:val="26"/>
        </w:rPr>
        <w:t>4.1 Monitorovanie EŠIF</w:t>
      </w:r>
      <w:bookmarkEnd w:id="554"/>
      <w:bookmarkEnd w:id="555"/>
      <w:bookmarkEnd w:id="556"/>
    </w:p>
    <w:p w14:paraId="3FF2EE8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
          <w:u w:val="single"/>
        </w:rPr>
      </w:pPr>
      <w:r>
        <w:rPr>
          <w:u w:val="single"/>
        </w:rPr>
        <w:t>Relevantná úprava v legislatíve EÚ:</w:t>
      </w:r>
    </w:p>
    <w:p w14:paraId="65B520C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4-7, 27, 33-36, 47-56, 70, 72, 96, 101, 106-108, 110-116, 124-125, 142 všeobecného nariadenia</w:t>
      </w:r>
    </w:p>
    <w:p w14:paraId="70B788E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3-10 nariadenia o EFRR</w:t>
      </w:r>
    </w:p>
    <w:p w14:paraId="4C0BBD24"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7, 10, 12, 19 nariadenia o ESF</w:t>
      </w:r>
    </w:p>
    <w:p w14:paraId="7963E2F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 8, 66-77, 85 nariadenia o EPFRV</w:t>
      </w:r>
    </w:p>
    <w:p w14:paraId="08073C9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107-114 nariadenia o ENRF </w:t>
      </w:r>
    </w:p>
    <w:p w14:paraId="18ABD69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10-15 delegovaného nariadenia Komisie (EÚ) č. 240/2014</w:t>
      </w:r>
    </w:p>
    <w:p w14:paraId="1354ADC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14 nariadenia o EÚS</w:t>
      </w:r>
    </w:p>
    <w:p w14:paraId="329CAC3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u w:val="single"/>
        </w:rPr>
      </w:pPr>
      <w:r>
        <w:rPr>
          <w:u w:val="single"/>
        </w:rPr>
        <w:t>Relevantná úprava v legislatíve SR:</w:t>
      </w:r>
    </w:p>
    <w:p w14:paraId="3F86FDBD"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38C11400" w14:textId="77777777" w:rsidR="00B650E5" w:rsidRDefault="00B650E5">
      <w:pPr>
        <w:pStyle w:val="Odsekzoznamu"/>
        <w:numPr>
          <w:ilvl w:val="6"/>
          <w:numId w:val="6"/>
        </w:numPr>
        <w:spacing w:before="120" w:after="120"/>
        <w:ind w:left="425" w:hanging="425"/>
        <w:contextualSpacing w:val="0"/>
        <w:jc w:val="both"/>
        <w:rPr>
          <w:lang w:eastAsia="en-US"/>
        </w:rPr>
      </w:pPr>
      <w:bookmarkStart w:id="557" w:name="_Toc378947544"/>
      <w:r>
        <w:rPr>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14:paraId="622923C2"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pokroku v dosahovaní cieľov a plnení výkonnostného rámca sa vykonáva prostredníctvom merateľných ukazovateľov na všetkých úrovniach riadenia.</w:t>
      </w:r>
    </w:p>
    <w:p w14:paraId="5F4DA88F"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poskytuje údaje v rámci implementácie EŠIF, a to hlavne v rámci oblastí plnenia cieľov, riadenia a koordinovania, rozhodovania, realizovania, prijímania a plnenia opatrení.</w:t>
      </w:r>
    </w:p>
    <w:p w14:paraId="4148630C"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Monitorovanie stavu, pokroku v plnení cieľov pri realizovaní OP v rámci EŠIF sa vykonáva na projektovej, programovej a národnej úrovni agregovaním údajov v nasledovných správach a informáciách:</w:t>
      </w:r>
    </w:p>
    <w:p w14:paraId="110C88D2" w14:textId="77777777" w:rsidR="00D57C7C" w:rsidRDefault="00B650E5">
      <w:pPr>
        <w:numPr>
          <w:ilvl w:val="0"/>
          <w:numId w:val="261"/>
        </w:numPr>
        <w:spacing w:before="120" w:after="120"/>
        <w:ind w:left="851" w:hanging="425"/>
        <w:jc w:val="both"/>
        <w:rPr>
          <w:lang w:eastAsia="en-US"/>
        </w:rPr>
      </w:pPr>
      <w:r>
        <w:rPr>
          <w:lang w:eastAsia="en-US"/>
        </w:rPr>
        <w:t>Informácia o stave implementácie EŠIF</w:t>
      </w:r>
      <w:r w:rsidR="00D57C7C">
        <w:rPr>
          <w:lang w:eastAsia="en-US"/>
        </w:rPr>
        <w:t>;</w:t>
      </w:r>
      <w:r>
        <w:rPr>
          <w:lang w:eastAsia="en-US"/>
        </w:rPr>
        <w:t xml:space="preserve"> </w:t>
      </w:r>
    </w:p>
    <w:p w14:paraId="28E9A261" w14:textId="77777777" w:rsidR="00B650E5" w:rsidRDefault="00B650E5">
      <w:pPr>
        <w:numPr>
          <w:ilvl w:val="0"/>
          <w:numId w:val="261"/>
        </w:numPr>
        <w:spacing w:before="120" w:after="120"/>
        <w:ind w:left="851" w:hanging="425"/>
        <w:jc w:val="both"/>
        <w:rPr>
          <w:lang w:eastAsia="en-US"/>
        </w:rPr>
      </w:pPr>
      <w:r>
        <w:rPr>
          <w:lang w:eastAsia="en-US"/>
        </w:rPr>
        <w:t>Správa o pokroku;</w:t>
      </w:r>
    </w:p>
    <w:p w14:paraId="26071EA9" w14:textId="77777777" w:rsidR="00B650E5" w:rsidRDefault="00B650E5">
      <w:pPr>
        <w:numPr>
          <w:ilvl w:val="0"/>
          <w:numId w:val="261"/>
        </w:numPr>
        <w:spacing w:before="120" w:after="120"/>
        <w:ind w:left="851" w:hanging="425"/>
        <w:jc w:val="both"/>
        <w:rPr>
          <w:lang w:eastAsia="en-US"/>
        </w:rPr>
      </w:pPr>
      <w:r>
        <w:rPr>
          <w:lang w:eastAsia="en-US"/>
        </w:rPr>
        <w:t>Výročná/záverečná správa o vykonávaní OP;</w:t>
      </w:r>
    </w:p>
    <w:p w14:paraId="7A2FEE71" w14:textId="77777777" w:rsidR="00B650E5" w:rsidRDefault="00B650E5">
      <w:pPr>
        <w:numPr>
          <w:ilvl w:val="0"/>
          <w:numId w:val="261"/>
        </w:numPr>
        <w:spacing w:before="120" w:after="120"/>
        <w:ind w:left="851" w:hanging="425"/>
        <w:jc w:val="both"/>
        <w:rPr>
          <w:lang w:eastAsia="en-US"/>
        </w:rPr>
      </w:pPr>
      <w:r>
        <w:rPr>
          <w:lang w:eastAsia="en-US"/>
        </w:rPr>
        <w:t>Záväzný plán OP;</w:t>
      </w:r>
    </w:p>
    <w:p w14:paraId="1BDB55F8" w14:textId="77777777" w:rsidR="00B650E5" w:rsidRDefault="00B650E5">
      <w:pPr>
        <w:numPr>
          <w:ilvl w:val="0"/>
          <w:numId w:val="261"/>
        </w:numPr>
        <w:spacing w:before="120" w:after="120"/>
        <w:ind w:left="851" w:hanging="425"/>
        <w:jc w:val="both"/>
        <w:rPr>
          <w:lang w:eastAsia="en-US"/>
        </w:rPr>
      </w:pPr>
      <w:r>
        <w:rPr>
          <w:lang w:eastAsia="en-US"/>
        </w:rPr>
        <w:t>Informácia o realizovaní OP.</w:t>
      </w:r>
    </w:p>
    <w:p w14:paraId="487DDABE"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Účelom týchto správ/informácií je poskytnúť informácie o aktuálnom dosiahnutom stave a predpokladanom vývoji implementácie EŠIF. Tieto správy popisujú, analyzujú a hodnotia implementáciu EŠIF za stanovené časové obdobie a slúžia ako podklad pre riadenie a koordináciu EŠIF.</w:t>
      </w:r>
    </w:p>
    <w:p w14:paraId="1F3D881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t>Výstupy monitorovania poskytujú relevantným subjektom informácie o implementácii EŠIF pre prijímanie rozhodnutí v oblasti riadenia.</w:t>
      </w:r>
    </w:p>
    <w:p w14:paraId="169A7E66" w14:textId="77777777" w:rsidR="00B650E5" w:rsidRDefault="00B650E5">
      <w:pPr>
        <w:pStyle w:val="Odsekzoznamu"/>
        <w:numPr>
          <w:ilvl w:val="6"/>
          <w:numId w:val="6"/>
        </w:numPr>
        <w:spacing w:before="120" w:after="120"/>
        <w:ind w:left="425" w:hanging="425"/>
        <w:contextualSpacing w:val="0"/>
        <w:jc w:val="both"/>
        <w:rPr>
          <w:lang w:eastAsia="en-US"/>
        </w:rPr>
      </w:pPr>
      <w:r>
        <w:rPr>
          <w:lang w:eastAsia="en-US"/>
        </w:rPr>
        <w:lastRenderedPageBreak/>
        <w:t>Povinnosť vypracovať uvedené správy/informácie vyplýva zo všeobecného nariadenia, PD, ako aj z rozhodnutia CKO s cieľom vytvoriť efektívny systém monitorovania EŠIF.</w:t>
      </w:r>
    </w:p>
    <w:p w14:paraId="3FEFD0B1" w14:textId="77777777" w:rsidR="00B650E5" w:rsidRDefault="00B650E5">
      <w:pPr>
        <w:pStyle w:val="SRK3"/>
      </w:pPr>
      <w:bookmarkStart w:id="558" w:name="_Toc390160798"/>
      <w:bookmarkStart w:id="559" w:name="_Toc391991994"/>
      <w:bookmarkStart w:id="560" w:name="_Toc453234096"/>
      <w:bookmarkStart w:id="561" w:name="_Toc501630143"/>
      <w:r>
        <w:t xml:space="preserve">4.1.1 Monitorovanie </w:t>
      </w:r>
      <w:bookmarkEnd w:id="558"/>
      <w:bookmarkEnd w:id="559"/>
      <w:r>
        <w:t>EŠIF</w:t>
      </w:r>
      <w:bookmarkEnd w:id="560"/>
      <w:bookmarkEnd w:id="561"/>
    </w:p>
    <w:p w14:paraId="6E25F4A2"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Monitorovanie implementácie EŠIF sa začína dňom schválenia PD zo strany EK a je vykonávané CKO a NMV.</w:t>
      </w:r>
    </w:p>
    <w:p w14:paraId="4126DEFE"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Predmetom monitorovania EŠIF je dôsledné a pravidelné sledovanie a sumarizácia informácií o</w:t>
      </w:r>
      <w:r w:rsidR="008520E6">
        <w:rPr>
          <w:lang w:eastAsia="en-US"/>
        </w:rPr>
        <w:t> </w:t>
      </w:r>
      <w:r>
        <w:rPr>
          <w:lang w:eastAsia="en-US"/>
        </w:rPr>
        <w:t>implementácii OP a následné vyhodnocovanie priebehu ich realizácie s využitím súboru merateľných ukazovateľov</w:t>
      </w:r>
      <w:r w:rsidR="00912275">
        <w:rPr>
          <w:lang w:eastAsia="en-US"/>
        </w:rPr>
        <w:t xml:space="preserve"> </w:t>
      </w:r>
      <w:r w:rsidR="00464039">
        <w:rPr>
          <w:lang w:eastAsia="en-US"/>
        </w:rPr>
        <w:t xml:space="preserve">a </w:t>
      </w:r>
      <w:r w:rsidR="00912275" w:rsidRPr="001B709E">
        <w:rPr>
          <w:lang w:eastAsia="en-US"/>
        </w:rPr>
        <w:t>systémových reportov</w:t>
      </w:r>
      <w:r w:rsidR="003870B7" w:rsidRPr="001B709E">
        <w:rPr>
          <w:lang w:eastAsia="en-US"/>
        </w:rPr>
        <w:t xml:space="preserve"> ITMS 2014+ (ide</w:t>
      </w:r>
      <w:r w:rsidR="00912275" w:rsidRPr="001B709E">
        <w:rPr>
          <w:lang w:eastAsia="en-US"/>
        </w:rPr>
        <w:t xml:space="preserve"> najmä</w:t>
      </w:r>
      <w:r w:rsidR="003870B7" w:rsidRPr="001B709E">
        <w:rPr>
          <w:lang w:eastAsia="en-US"/>
        </w:rPr>
        <w:t xml:space="preserve"> o</w:t>
      </w:r>
      <w:r w:rsidR="00912275" w:rsidRPr="001B709E">
        <w:rPr>
          <w:lang w:eastAsia="en-US"/>
        </w:rPr>
        <w:t xml:space="preserve"> prehľad </w:t>
      </w:r>
      <w:r w:rsidR="003870B7" w:rsidRPr="001B709E">
        <w:rPr>
          <w:lang w:eastAsia="en-US"/>
        </w:rPr>
        <w:t>výziev,</w:t>
      </w:r>
      <w:r w:rsidR="00912275" w:rsidRPr="001B709E">
        <w:rPr>
          <w:lang w:eastAsia="en-US"/>
        </w:rPr>
        <w:t xml:space="preserve"> projektov, ŽoNFP, ŽoP a štandardn</w:t>
      </w:r>
      <w:r w:rsidR="003870B7" w:rsidRPr="001B709E">
        <w:rPr>
          <w:lang w:eastAsia="en-US"/>
        </w:rPr>
        <w:t>ú</w:t>
      </w:r>
      <w:r w:rsidR="00912275" w:rsidRPr="001B709E">
        <w:rPr>
          <w:lang w:eastAsia="en-US"/>
        </w:rPr>
        <w:t xml:space="preserve"> monitorovac</w:t>
      </w:r>
      <w:r w:rsidR="003870B7" w:rsidRPr="001B709E">
        <w:rPr>
          <w:lang w:eastAsia="en-US"/>
        </w:rPr>
        <w:t>iu</w:t>
      </w:r>
      <w:r w:rsidR="00912275" w:rsidRPr="001B709E">
        <w:rPr>
          <w:lang w:eastAsia="en-US"/>
        </w:rPr>
        <w:t xml:space="preserve"> tabuľk</w:t>
      </w:r>
      <w:r w:rsidR="003870B7" w:rsidRPr="001B709E">
        <w:rPr>
          <w:lang w:eastAsia="en-US"/>
        </w:rPr>
        <w:t>u ako nástroj monitorovania základných fáz implementácie, v delení na prioritné osi OP)</w:t>
      </w:r>
      <w:r w:rsidRPr="0035413F">
        <w:rPr>
          <w:lang w:eastAsia="en-US"/>
        </w:rPr>
        <w:t>.</w:t>
      </w:r>
      <w:r>
        <w:rPr>
          <w:lang w:eastAsia="en-US"/>
        </w:rPr>
        <w:t xml:space="preserve"> Pozornosť monitorovania EŠIF sa sústreďuje aj na finančne náročné operácie (napr. veľké projekty) a operácie, ktoré si vyžadujú špecifický režim a administráciu (napr. globálne granty, finančné nástroje, integrované stratégie).</w:t>
      </w:r>
    </w:p>
    <w:p w14:paraId="0B457EBC"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 xml:space="preserve">Monitorovanie implementácie OP je nevyhnutným nástrojom na: </w:t>
      </w:r>
    </w:p>
    <w:p w14:paraId="041B9837"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vypracovanie a predkladanie správ/informácií – poskytuje informácie pre potreby informovania EK, vlády SR, NMV a ďalších subjektov zapojených do implementácie EŠIF   o stave realizácie OP; </w:t>
      </w:r>
    </w:p>
    <w:p w14:paraId="31AB2603"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riadenie – poskytuje informácie relevantným subjektom zodpovedným za rozhodovacie procesy a tvorbu návrhov nápravných opatrení; </w:t>
      </w:r>
    </w:p>
    <w:p w14:paraId="0DDE0521"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hodnotenie – poskytuje informácie pre hodnotenie plnenia cieľov EŠIF, ako aj hodnotenie procesov riadenia OP; </w:t>
      </w:r>
    </w:p>
    <w:p w14:paraId="197773C5" w14:textId="77777777" w:rsidR="00B650E5" w:rsidRDefault="00B650E5">
      <w:pPr>
        <w:numPr>
          <w:ilvl w:val="0"/>
          <w:numId w:val="3"/>
        </w:numPr>
        <w:autoSpaceDE w:val="0"/>
        <w:autoSpaceDN w:val="0"/>
        <w:adjustRightInd w:val="0"/>
        <w:spacing w:before="120" w:after="120"/>
        <w:ind w:left="851" w:hanging="425"/>
        <w:jc w:val="both"/>
        <w:rPr>
          <w:lang w:eastAsia="en-US"/>
        </w:rPr>
      </w:pPr>
      <w:r>
        <w:rPr>
          <w:lang w:eastAsia="en-US"/>
        </w:rPr>
        <w:t xml:space="preserve">metodickú činnosť – poskytuje informácie pre vypracovanie a aktualizáciu metodických predpisov určujúcich pravidlá pre realizovanie OP. </w:t>
      </w:r>
    </w:p>
    <w:p w14:paraId="16A10990" w14:textId="77777777" w:rsidR="00B650E5" w:rsidRDefault="00B650E5">
      <w:pPr>
        <w:pStyle w:val="Odsekzoznamu"/>
        <w:numPr>
          <w:ilvl w:val="0"/>
          <w:numId w:val="166"/>
        </w:numPr>
        <w:spacing w:before="120" w:after="120"/>
        <w:ind w:left="426" w:hanging="426"/>
        <w:contextualSpacing w:val="0"/>
        <w:jc w:val="both"/>
        <w:rPr>
          <w:lang w:eastAsia="en-US"/>
        </w:rPr>
      </w:pPr>
      <w:r>
        <w:rPr>
          <w:lang w:eastAsia="en-US"/>
        </w:rPr>
        <w:t xml:space="preserve">Pre zabezpečenie konzistentných, porovnateľných a aktuálnych kľúčových informácií                   o implementácii OP (vrátane informácií o implementácii projektov) na centrálnej úrovni, ako aj pre zabezpečenie transparentnosti, kontrolovateľnosti procesov implementácie EŠIF, sú RO povinné priebežne a bezodkladne evidovať požadované údaje v ITMS 2014+. </w:t>
      </w:r>
    </w:p>
    <w:p w14:paraId="3AF8873F" w14:textId="77777777" w:rsidR="00B650E5" w:rsidRDefault="00B650E5" w:rsidP="0045286B">
      <w:pPr>
        <w:pStyle w:val="SRK4"/>
      </w:pPr>
      <w:bookmarkStart w:id="562" w:name="_Toc391991995"/>
      <w:bookmarkStart w:id="563" w:name="_Toc453234097"/>
      <w:bookmarkStart w:id="564" w:name="_Toc501630144"/>
      <w:bookmarkStart w:id="565" w:name="kapitola_4111"/>
      <w:r>
        <w:t xml:space="preserve">4.1.1.1 </w:t>
      </w:r>
      <w:bookmarkEnd w:id="562"/>
      <w:bookmarkEnd w:id="563"/>
      <w:r w:rsidRPr="00C10E64">
        <w:rPr>
          <w:lang w:eastAsia="en-US"/>
        </w:rPr>
        <w:t xml:space="preserve"> </w:t>
      </w:r>
      <w:r>
        <w:rPr>
          <w:lang w:eastAsia="en-US"/>
        </w:rPr>
        <w:t>Informácia o stave implementácie EŠIF</w:t>
      </w:r>
      <w:bookmarkEnd w:id="564"/>
    </w:p>
    <w:bookmarkEnd w:id="565"/>
    <w:p w14:paraId="6B693C9F" w14:textId="77777777" w:rsidR="00B650E5" w:rsidRDefault="00B650E5">
      <w:pPr>
        <w:pStyle w:val="Odsekzoznamu"/>
        <w:numPr>
          <w:ilvl w:val="0"/>
          <w:numId w:val="167"/>
        </w:numPr>
        <w:spacing w:before="120" w:after="120"/>
        <w:ind w:left="426" w:hanging="426"/>
        <w:contextualSpacing w:val="0"/>
        <w:jc w:val="both"/>
        <w:rPr>
          <w:lang w:eastAsia="en-US"/>
        </w:rPr>
      </w:pPr>
      <w:r>
        <w:rPr>
          <w:lang w:eastAsia="en-US"/>
        </w:rPr>
        <w:t xml:space="preserve">CKO polročne, </w:t>
      </w:r>
      <w:r w:rsidR="00C93F30">
        <w:rPr>
          <w:lang w:eastAsia="en-US"/>
        </w:rPr>
        <w:t xml:space="preserve">t. j. </w:t>
      </w:r>
      <w:r>
        <w:rPr>
          <w:lang w:eastAsia="en-US"/>
        </w:rPr>
        <w:t>s údajmi k 30.6. a k 31.12. vypracuje Informáciu o stave implementácie EŠIF.</w:t>
      </w:r>
      <w:r w:rsidR="00011C3A">
        <w:rPr>
          <w:lang w:eastAsia="en-US"/>
        </w:rPr>
        <w:t xml:space="preserve"> </w:t>
      </w:r>
      <w:r w:rsidR="00011C3A" w:rsidRPr="00011C3A">
        <w:rPr>
          <w:lang w:eastAsia="en-US"/>
        </w:rPr>
        <w:t xml:space="preserve">CKO vypracuje </w:t>
      </w:r>
      <w:r w:rsidR="00011C3A">
        <w:rPr>
          <w:lang w:eastAsia="en-US"/>
        </w:rPr>
        <w:t>Informáciu o stave implementácie EŠIF</w:t>
      </w:r>
      <w:r w:rsidR="00011C3A" w:rsidRPr="00011C3A">
        <w:rPr>
          <w:lang w:eastAsia="en-US"/>
        </w:rPr>
        <w:t xml:space="preserve"> do 31.7. roku n s údajmi k 30.6. roku n  a do 31.1. </w:t>
      </w:r>
      <w:r w:rsidR="00011C3A">
        <w:rPr>
          <w:lang w:eastAsia="en-US"/>
        </w:rPr>
        <w:t xml:space="preserve">roku </w:t>
      </w:r>
      <w:r w:rsidR="00011C3A" w:rsidRPr="00011C3A">
        <w:rPr>
          <w:lang w:eastAsia="en-US"/>
        </w:rPr>
        <w:t>n+1 s údajmi k 31.12. roku n.</w:t>
      </w:r>
    </w:p>
    <w:p w14:paraId="3F479D91" w14:textId="77777777" w:rsidR="00B650E5" w:rsidRDefault="00B650E5" w:rsidP="001B709E">
      <w:pPr>
        <w:pStyle w:val="Odsekzoznamu"/>
        <w:numPr>
          <w:ilvl w:val="0"/>
          <w:numId w:val="167"/>
        </w:numPr>
        <w:spacing w:before="120" w:after="120"/>
        <w:ind w:left="426" w:hanging="426"/>
        <w:contextualSpacing w:val="0"/>
        <w:jc w:val="both"/>
      </w:pPr>
      <w:r>
        <w:rPr>
          <w:lang w:eastAsia="en-US"/>
        </w:rPr>
        <w:t>Informácia</w:t>
      </w:r>
      <w:r w:rsidR="00076317">
        <w:rPr>
          <w:lang w:eastAsia="en-US"/>
        </w:rPr>
        <w:t xml:space="preserve"> </w:t>
      </w:r>
      <w:r w:rsidR="001F129B">
        <w:rPr>
          <w:lang w:eastAsia="en-US"/>
        </w:rPr>
        <w:t xml:space="preserve">o stave implementácie EŠIF </w:t>
      </w:r>
      <w:r>
        <w:rPr>
          <w:lang w:eastAsia="en-US"/>
        </w:rPr>
        <w:t>poskytuje údaje najmä o jednotlivých etapách implementácie EŠIF ako celku a zároveň aj o stave implementácie jednotlivých programov.</w:t>
      </w:r>
      <w:bookmarkStart w:id="566" w:name="kapitola_4111_ods_3j_k"/>
    </w:p>
    <w:p w14:paraId="39749C9E" w14:textId="77777777" w:rsidR="00B650E5" w:rsidRDefault="00B650E5">
      <w:pPr>
        <w:pStyle w:val="Odsekzoznamu"/>
        <w:numPr>
          <w:ilvl w:val="0"/>
          <w:numId w:val="167"/>
        </w:numPr>
        <w:spacing w:before="120" w:after="120"/>
        <w:ind w:left="426" w:hanging="426"/>
        <w:contextualSpacing w:val="0"/>
        <w:jc w:val="both"/>
        <w:rPr>
          <w:lang w:eastAsia="en-US"/>
        </w:rPr>
      </w:pPr>
      <w:bookmarkStart w:id="567" w:name="kapitola_4111_ods_4"/>
      <w:bookmarkEnd w:id="566"/>
      <w:r>
        <w:rPr>
          <w:lang w:eastAsia="en-US"/>
        </w:rPr>
        <w:t xml:space="preserve">CKO pri príprave uvedenej </w:t>
      </w:r>
      <w:r w:rsidR="001F129B">
        <w:rPr>
          <w:lang w:eastAsia="en-US"/>
        </w:rPr>
        <w:t>I</w:t>
      </w:r>
      <w:r>
        <w:rPr>
          <w:lang w:eastAsia="en-US"/>
        </w:rPr>
        <w:t xml:space="preserve">nformácie </w:t>
      </w:r>
      <w:r w:rsidR="001F129B">
        <w:rPr>
          <w:lang w:eastAsia="en-US"/>
        </w:rPr>
        <w:t xml:space="preserve">o stave implementácie EŠIF </w:t>
      </w:r>
      <w:r>
        <w:rPr>
          <w:lang w:eastAsia="en-US"/>
        </w:rPr>
        <w:t>vychádza z mesačných Informáci</w:t>
      </w:r>
      <w:r w:rsidR="00D23AF3">
        <w:rPr>
          <w:lang w:eastAsia="en-US"/>
        </w:rPr>
        <w:t>í</w:t>
      </w:r>
      <w:r>
        <w:rPr>
          <w:lang w:eastAsia="en-US"/>
        </w:rPr>
        <w:t xml:space="preserve"> o realizovaní OP, z údajov z ITMS 2014+ a</w:t>
      </w:r>
      <w:r w:rsidR="00D23AF3">
        <w:rPr>
          <w:lang w:eastAsia="en-US"/>
        </w:rPr>
        <w:t xml:space="preserve"> v prípade potreby </w:t>
      </w:r>
      <w:r>
        <w:rPr>
          <w:lang w:eastAsia="en-US"/>
        </w:rPr>
        <w:t>z podkladov RO.</w:t>
      </w:r>
    </w:p>
    <w:p w14:paraId="49A9242D" w14:textId="77777777" w:rsidR="00B650E5" w:rsidRDefault="00B650E5" w:rsidP="0045286B">
      <w:pPr>
        <w:pStyle w:val="SRK4"/>
      </w:pPr>
      <w:bookmarkStart w:id="568" w:name="_Toc453234098"/>
      <w:bookmarkStart w:id="569" w:name="_Toc501630145"/>
      <w:bookmarkStart w:id="570" w:name="_Toc391991996"/>
      <w:bookmarkEnd w:id="567"/>
      <w:r>
        <w:t>4.1.1.2 Monitorovanie výkonnostného rámca</w:t>
      </w:r>
      <w:bookmarkEnd w:id="568"/>
      <w:bookmarkEnd w:id="569"/>
      <w:r>
        <w:t xml:space="preserve">  </w:t>
      </w:r>
      <w:bookmarkEnd w:id="570"/>
    </w:p>
    <w:p w14:paraId="78DDB6D3" w14:textId="77777777" w:rsidR="00B650E5" w:rsidRDefault="00B650E5">
      <w:pPr>
        <w:pStyle w:val="Odsekzoznamu"/>
        <w:numPr>
          <w:ilvl w:val="0"/>
          <w:numId w:val="168"/>
        </w:numPr>
        <w:spacing w:before="120" w:after="120"/>
        <w:ind w:left="426" w:hanging="426"/>
        <w:contextualSpacing w:val="0"/>
        <w:jc w:val="both"/>
        <w:rPr>
          <w:lang w:eastAsia="en-US"/>
        </w:rPr>
      </w:pPr>
      <w:r>
        <w:rPr>
          <w:lang w:eastAsia="en-US"/>
        </w:rPr>
        <w:t>CKO monitoruje stav plnenia čiastkových cieľov ukazovateľov do 31.12.2018 a stav plnenia zámerov ukazovateľov od roku 2019 do 31.12.2023  predstavujúcich výkonnostný rámec OP EŠIF za každý kalendárny rok realizovania programového obdobia 2014 - 2020 od roku 2014 až do roku 2023.</w:t>
      </w:r>
    </w:p>
    <w:p w14:paraId="6CBBACBE" w14:textId="77777777" w:rsidR="00761325" w:rsidRDefault="00B650E5" w:rsidP="001B709E">
      <w:pPr>
        <w:pStyle w:val="Odsekzoznamu"/>
        <w:numPr>
          <w:ilvl w:val="0"/>
          <w:numId w:val="168"/>
        </w:numPr>
        <w:spacing w:before="120" w:after="120"/>
        <w:ind w:left="426" w:hanging="426"/>
        <w:contextualSpacing w:val="0"/>
        <w:jc w:val="both"/>
        <w:rPr>
          <w:lang w:eastAsia="en-US"/>
        </w:rPr>
      </w:pPr>
      <w:r w:rsidRPr="00D349F1">
        <w:rPr>
          <w:lang w:eastAsia="en-US"/>
        </w:rPr>
        <w:t xml:space="preserve">CKO vypracováva súhrnnú informáciu o stave plnenia čiastkových cieľov ukazovateľov </w:t>
      </w:r>
      <w:r w:rsidRPr="00D349F1">
        <w:rPr>
          <w:lang w:eastAsia="en-US"/>
        </w:rPr>
        <w:br/>
        <w:t>do 31.12.2018 a o stave plnenia zámerov ukazovateľov od roku 2019 do 31.12.2023 za každý kalendárny rok realizovania programového obdobia 2014 – 2020</w:t>
      </w:r>
      <w:r>
        <w:rPr>
          <w:lang w:eastAsia="en-US"/>
        </w:rPr>
        <w:t>.</w:t>
      </w:r>
      <w:r w:rsidRPr="001C6862">
        <w:rPr>
          <w:lang w:eastAsia="en-US"/>
        </w:rPr>
        <w:t xml:space="preserve"> </w:t>
      </w:r>
    </w:p>
    <w:p w14:paraId="76DEEB08" w14:textId="77777777" w:rsidR="00B650E5" w:rsidRPr="001B709E" w:rsidRDefault="00B650E5" w:rsidP="00B5005C">
      <w:pPr>
        <w:pStyle w:val="SRK4"/>
      </w:pPr>
      <w:bookmarkStart w:id="571" w:name="_Toc391991997"/>
      <w:bookmarkStart w:id="572" w:name="_Toc453234099"/>
      <w:bookmarkStart w:id="573" w:name="_Toc501630146"/>
      <w:bookmarkStart w:id="574" w:name="kapitola_4113"/>
      <w:r>
        <w:lastRenderedPageBreak/>
        <w:t>4.1.1.3 Správa o pokroku</w:t>
      </w:r>
      <w:bookmarkEnd w:id="571"/>
      <w:bookmarkEnd w:id="572"/>
      <w:bookmarkEnd w:id="573"/>
      <w:r w:rsidRPr="001B709E">
        <w:t xml:space="preserve"> </w:t>
      </w:r>
    </w:p>
    <w:bookmarkEnd w:id="574"/>
    <w:p w14:paraId="60EB9567"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predloží do 31.08.2017 EK správu o pokroku pri vykonávaní PD (ďalej len „správa o pokroku“) k 31.12.2016 a do 31.08.2019 správu o pokroku k 31.12.2018. </w:t>
      </w:r>
    </w:p>
    <w:p w14:paraId="48CF883A"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Správu o pokroku vypracuje a predloží v elektronickej forme CKO v rozsahu a definovanej štruktúre prostredníctvom SFC2014. Zdrojom dát pre správu o pokroku je ITMS 2014+ a informačný systém Pôdohospodárskej platobnej agentúry a výročné správy o vykonávaní OP. Časový rozsah generovania dát a informácií pre spracovanie správy o pokroku musí byť nastavený tak, aby sa zosúladil a koordinoval zber dát platných k </w:t>
      </w:r>
      <w:r>
        <w:rPr>
          <w:lang w:eastAsia="en-US"/>
        </w:rPr>
        <w:br/>
        <w:t>31.12.2016, resp. k 31.12.2018</w:t>
      </w:r>
      <w:r w:rsidR="007324D5">
        <w:rPr>
          <w:lang w:eastAsia="en-US"/>
        </w:rPr>
        <w:t>,</w:t>
      </w:r>
      <w:r>
        <w:rPr>
          <w:lang w:eastAsia="en-US"/>
        </w:rPr>
        <w:t xml:space="preserve"> a to v rámci ITMS 2014+, IS PPA a ďalších externých zdrojov.</w:t>
      </w:r>
    </w:p>
    <w:p w14:paraId="5CAA03EB"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CKO zodpovedá za vypracovanie a predloženie správy o pokroku, pričom príslušné RO sú zodpovedné za rozsah, kvalitu, aktuálnosť a správnosť dát vkladaných do ITMS 2014+ </w:t>
      </w:r>
      <w:r>
        <w:rPr>
          <w:lang w:eastAsia="en-US"/>
        </w:rPr>
        <w:br/>
        <w:t>a v prípade EPFRV do IS PPA.</w:t>
      </w:r>
    </w:p>
    <w:p w14:paraId="016528F7"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 xml:space="preserve">Informácie k obsahu správy o pokroku </w:t>
      </w:r>
      <w:r w:rsidR="001A2595">
        <w:rPr>
          <w:lang w:eastAsia="en-US"/>
        </w:rPr>
        <w:t xml:space="preserve">upravuje </w:t>
      </w:r>
      <w:r>
        <w:rPr>
          <w:lang w:eastAsia="en-US"/>
        </w:rPr>
        <w:t>CKO v metodickom pokyne</w:t>
      </w:r>
      <w:r>
        <w:rPr>
          <w:rStyle w:val="Odkaznapoznmkupodiarou"/>
          <w:lang w:eastAsia="en-US"/>
        </w:rPr>
        <w:footnoteReference w:id="168"/>
      </w:r>
      <w:r>
        <w:rPr>
          <w:lang w:eastAsia="en-US"/>
        </w:rPr>
        <w:t xml:space="preserve">. </w:t>
      </w:r>
    </w:p>
    <w:p w14:paraId="20E12FFF" w14:textId="77777777" w:rsidR="00B650E5" w:rsidRDefault="00B650E5">
      <w:pPr>
        <w:pStyle w:val="Odsekzoznamu"/>
        <w:numPr>
          <w:ilvl w:val="0"/>
          <w:numId w:val="169"/>
        </w:numPr>
        <w:spacing w:before="120" w:after="120"/>
        <w:ind w:left="426" w:hanging="426"/>
        <w:contextualSpacing w:val="0"/>
        <w:jc w:val="both"/>
        <w:rPr>
          <w:lang w:eastAsia="en-US"/>
        </w:rPr>
      </w:pPr>
      <w:r>
        <w:rPr>
          <w:lang w:eastAsia="en-US"/>
        </w:rPr>
        <w:t>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 podmienky, že táto požiadavka nespôsobí neodôvodnené omeškanie a že EK odôvodní, prečo považuje úroveň kvality a spoľahlivosti za nedostatočné. CKO poskytne EK požadované informácie do troch mesiacov a v prípade potreby náležite upraví správu o pokroku.</w:t>
      </w:r>
    </w:p>
    <w:p w14:paraId="79FB202D" w14:textId="77777777" w:rsidR="00B650E5" w:rsidRDefault="00B650E5" w:rsidP="0045286B">
      <w:pPr>
        <w:pStyle w:val="SRK4"/>
      </w:pPr>
      <w:bookmarkStart w:id="575" w:name="_Toc453234100"/>
      <w:bookmarkStart w:id="576" w:name="_Toc501630147"/>
      <w:bookmarkStart w:id="577" w:name="_Toc391991998"/>
      <w:bookmarkStart w:id="578" w:name="kapitola_4114"/>
      <w:r>
        <w:t>4.1.1.4 Informácia o stave administratívnych kapacít subjektov zapojených do implementácie, riadenia a kontroly EŠIF</w:t>
      </w:r>
      <w:bookmarkEnd w:id="575"/>
      <w:bookmarkEnd w:id="576"/>
      <w:r>
        <w:t xml:space="preserve"> </w:t>
      </w:r>
      <w:bookmarkEnd w:id="577"/>
    </w:p>
    <w:bookmarkEnd w:id="578"/>
    <w:p w14:paraId="320E622F" w14:textId="77777777" w:rsidR="00B650E5" w:rsidRDefault="00B650E5">
      <w:pPr>
        <w:pStyle w:val="Odsekzoznamu"/>
        <w:numPr>
          <w:ilvl w:val="0"/>
          <w:numId w:val="170"/>
        </w:numPr>
        <w:spacing w:before="120" w:after="120"/>
        <w:ind w:left="425" w:hanging="425"/>
        <w:contextualSpacing w:val="0"/>
        <w:jc w:val="both"/>
        <w:rPr>
          <w:lang w:eastAsia="en-US"/>
        </w:rPr>
      </w:pPr>
      <w:r>
        <w:rPr>
          <w:lang w:eastAsia="en-US"/>
        </w:rPr>
        <w:t>ÚV SR vypracuje Informáciu o stave administratívnych kapacít subjektov zapojených do implementácie, riadenia a kontroly EŠIF</w:t>
      </w:r>
      <w:r>
        <w:t xml:space="preserve"> (ďalej len </w:t>
      </w:r>
      <w:r>
        <w:rPr>
          <w:lang w:eastAsia="en-US"/>
        </w:rPr>
        <w:t>„informácia o stave AK“) raz ročne za rok „n“.</w:t>
      </w:r>
    </w:p>
    <w:p w14:paraId="6CD982A8" w14:textId="77777777" w:rsidR="00B650E5" w:rsidRDefault="00B650E5">
      <w:pPr>
        <w:pStyle w:val="Odsekzoznamu"/>
        <w:numPr>
          <w:ilvl w:val="0"/>
          <w:numId w:val="170"/>
        </w:numPr>
        <w:spacing w:before="120" w:after="120"/>
        <w:ind w:left="425" w:hanging="425"/>
        <w:contextualSpacing w:val="0"/>
        <w:jc w:val="both"/>
        <w:rPr>
          <w:lang w:eastAsia="en-US"/>
        </w:rPr>
      </w:pPr>
      <w:r>
        <w:rPr>
          <w:lang w:eastAsia="en-US"/>
        </w:rPr>
        <w:t xml:space="preserve">Informácia o stave AK obsahuje prehľad o administratívnom zabezpečení subjektov zapojených do implementácie, riadenia a kontroly a auditu EŠIF a plnenie úloh vyplývajúcich </w:t>
      </w:r>
      <w:r w:rsidRPr="001B709E">
        <w:t>z Centrálneho plánu vzdelávania AK EŠIF na programové obdobie 2014 -</w:t>
      </w:r>
      <w:r w:rsidR="008520E6">
        <w:t xml:space="preserve"> </w:t>
      </w:r>
      <w:r w:rsidRPr="001B709E">
        <w:t>2020, účinného 1.3.2017</w:t>
      </w:r>
      <w:r w:rsidRPr="00803C14">
        <w:rPr>
          <w:lang w:eastAsia="en-US"/>
        </w:rPr>
        <w:t xml:space="preserve"> </w:t>
      </w:r>
      <w:r>
        <w:rPr>
          <w:lang w:eastAsia="en-US"/>
        </w:rPr>
        <w:t xml:space="preserve">v súlade s ustanoveniami PD. </w:t>
      </w:r>
    </w:p>
    <w:p w14:paraId="6F766236" w14:textId="77777777" w:rsidR="00B650E5" w:rsidRDefault="00460F21" w:rsidP="001B709E">
      <w:pPr>
        <w:pStyle w:val="Odsekzoznamu"/>
        <w:numPr>
          <w:ilvl w:val="0"/>
          <w:numId w:val="170"/>
        </w:numPr>
        <w:spacing w:before="120" w:after="120"/>
        <w:ind w:left="426" w:hanging="426"/>
        <w:contextualSpacing w:val="0"/>
        <w:jc w:val="both"/>
        <w:rPr>
          <w:lang w:eastAsia="en-US"/>
        </w:rPr>
      </w:pPr>
      <w:r>
        <w:rPr>
          <w:lang w:eastAsia="en-US"/>
        </w:rPr>
        <w:t xml:space="preserve">Informácia o stave AK EŠIF je po schválení vedúcim </w:t>
      </w:r>
      <w:r w:rsidR="00B650E5">
        <w:rPr>
          <w:lang w:eastAsia="en-US"/>
        </w:rPr>
        <w:t>ÚV SR zverejn</w:t>
      </w:r>
      <w:r>
        <w:rPr>
          <w:lang w:eastAsia="en-US"/>
        </w:rPr>
        <w:t>ená</w:t>
      </w:r>
      <w:r w:rsidR="00B650E5">
        <w:rPr>
          <w:lang w:eastAsia="en-US"/>
        </w:rPr>
        <w:t xml:space="preserve"> na webovom sídle </w:t>
      </w:r>
      <w:hyperlink r:id="rId214" w:history="1">
        <w:r w:rsidRPr="00E83E90">
          <w:rPr>
            <w:rStyle w:val="Hypertextovprepojenie"/>
          </w:rPr>
          <w:t>www.partnerskadohoda.gov.sk</w:t>
        </w:r>
      </w:hyperlink>
      <w:r>
        <w:t xml:space="preserve"> a na webovom sídle gestora AK EŠIF </w:t>
      </w:r>
      <w:r w:rsidRPr="00460F21">
        <w:t>https://cpv.vlada.gov.sk/</w:t>
      </w:r>
      <w:r w:rsidR="00B650E5">
        <w:rPr>
          <w:lang w:eastAsia="en-US"/>
        </w:rPr>
        <w:t>.</w:t>
      </w:r>
    </w:p>
    <w:p w14:paraId="2BA2A323" w14:textId="77777777" w:rsidR="00B650E5" w:rsidRDefault="00B650E5">
      <w:pPr>
        <w:pStyle w:val="Odsekzoznamu"/>
        <w:numPr>
          <w:ilvl w:val="0"/>
          <w:numId w:val="170"/>
        </w:numPr>
        <w:spacing w:before="120" w:after="120"/>
        <w:ind w:left="425" w:hanging="425"/>
        <w:contextualSpacing w:val="0"/>
        <w:jc w:val="both"/>
        <w:rPr>
          <w:lang w:eastAsia="en-US"/>
        </w:rPr>
      </w:pPr>
      <w:r>
        <w:rPr>
          <w:lang w:eastAsia="en-US"/>
        </w:rPr>
        <w:t>ÚOŠS v spolupráci so subjektmi zapojenými do implementácie, riadenia a kontroly EŠIF predložia ÚV SR údaje do informácie o stave AK</w:t>
      </w:r>
      <w:r w:rsidR="005E7791">
        <w:rPr>
          <w:lang w:eastAsia="en-US"/>
        </w:rPr>
        <w:t xml:space="preserve"> v termíne, stanovenom v metodickom pokyne</w:t>
      </w:r>
      <w:r>
        <w:rPr>
          <w:rStyle w:val="Odkaznapoznmkupodiarou"/>
          <w:lang w:eastAsia="en-US"/>
        </w:rPr>
        <w:footnoteReference w:id="169"/>
      </w:r>
      <w:r>
        <w:rPr>
          <w:lang w:eastAsia="en-US"/>
        </w:rPr>
        <w:t xml:space="preserve">. </w:t>
      </w:r>
    </w:p>
    <w:p w14:paraId="19593063" w14:textId="77777777" w:rsidR="00B650E5" w:rsidRDefault="00B650E5" w:rsidP="0045286B">
      <w:pPr>
        <w:pStyle w:val="SRK4"/>
      </w:pPr>
      <w:bookmarkStart w:id="579" w:name="_Toc453234101"/>
      <w:bookmarkStart w:id="580" w:name="_Toc501630148"/>
      <w:r>
        <w:t>4.1.1.5 Monitorovanie plnenia akčných plánov na splnenie ex ante kondicionalít</w:t>
      </w:r>
      <w:bookmarkEnd w:id="579"/>
      <w:bookmarkEnd w:id="580"/>
      <w:r>
        <w:t xml:space="preserve">    </w:t>
      </w:r>
    </w:p>
    <w:p w14:paraId="0DA20210" w14:textId="77777777" w:rsidR="00B650E5" w:rsidRPr="00625864" w:rsidRDefault="00B650E5">
      <w:pPr>
        <w:pStyle w:val="Odsekzoznamu"/>
        <w:numPr>
          <w:ilvl w:val="0"/>
          <w:numId w:val="388"/>
        </w:numPr>
        <w:spacing w:before="120" w:after="120"/>
        <w:ind w:left="425" w:hanging="425"/>
        <w:contextualSpacing w:val="0"/>
        <w:jc w:val="both"/>
        <w:rPr>
          <w:lang w:eastAsia="en-US"/>
        </w:rPr>
      </w:pPr>
      <w:r w:rsidRPr="00625864">
        <w:rPr>
          <w:lang w:eastAsia="en-US"/>
        </w:rPr>
        <w:t xml:space="preserve">CKO </w:t>
      </w:r>
      <w:r w:rsidR="001B709E" w:rsidRPr="00625864">
        <w:rPr>
          <w:lang w:eastAsia="en-US"/>
        </w:rPr>
        <w:t>monitor</w:t>
      </w:r>
      <w:r w:rsidR="001215D0">
        <w:rPr>
          <w:lang w:eastAsia="en-US"/>
        </w:rPr>
        <w:t>uje</w:t>
      </w:r>
      <w:r w:rsidR="001B709E" w:rsidRPr="00625864">
        <w:rPr>
          <w:lang w:eastAsia="en-US"/>
        </w:rPr>
        <w:t xml:space="preserve"> </w:t>
      </w:r>
      <w:r w:rsidRPr="00625864">
        <w:rPr>
          <w:lang w:eastAsia="en-US"/>
        </w:rPr>
        <w:t>plnenie akčných plánov na splnenie ex ante kondicionalít, ktoré neboli splnené k termínu schválenia PD, respektíve OP</w:t>
      </w:r>
      <w:r>
        <w:rPr>
          <w:lang w:eastAsia="en-US"/>
        </w:rPr>
        <w:t xml:space="preserve"> až do doby schválenia zo strany EK.</w:t>
      </w:r>
    </w:p>
    <w:p w14:paraId="1B35C6DA" w14:textId="77777777" w:rsidR="00B650E5" w:rsidRDefault="00B650E5" w:rsidP="001B709E">
      <w:pPr>
        <w:pStyle w:val="SRK4"/>
      </w:pPr>
      <w:bookmarkStart w:id="581" w:name="_Toc501630149"/>
      <w:r>
        <w:t>4.1.1.6 Monitorovanie plnenia Záväzných plánov</w:t>
      </w:r>
      <w:bookmarkEnd w:id="581"/>
      <w:r>
        <w:t xml:space="preserve"> </w:t>
      </w:r>
    </w:p>
    <w:p w14:paraId="791A6505" w14:textId="77777777" w:rsidR="00B650E5" w:rsidRPr="00922ACA" w:rsidRDefault="00B650E5" w:rsidP="008430F2">
      <w:pPr>
        <w:pStyle w:val="Odsekzoznamu"/>
        <w:numPr>
          <w:ilvl w:val="0"/>
          <w:numId w:val="410"/>
        </w:numPr>
        <w:spacing w:before="120" w:after="120"/>
        <w:ind w:left="425" w:hanging="425"/>
        <w:contextualSpacing w:val="0"/>
        <w:jc w:val="both"/>
        <w:rPr>
          <w:lang w:eastAsia="en-US"/>
        </w:rPr>
      </w:pPr>
      <w:r w:rsidRPr="00922ACA">
        <w:rPr>
          <w:lang w:eastAsia="en-US"/>
        </w:rPr>
        <w:t>CKO po konzultácii s RO schváli záväzný plán OP na rok n do 31.03. roku n.</w:t>
      </w:r>
    </w:p>
    <w:p w14:paraId="04A26A21"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lastRenderedPageBreak/>
        <w:t>CKO  priebežne monitoruje plnenie záväzných plánov jednotlivých OP.</w:t>
      </w:r>
    </w:p>
    <w:p w14:paraId="65CE2A76" w14:textId="77777777" w:rsidR="00B650E5" w:rsidRDefault="00B650E5" w:rsidP="008430F2">
      <w:pPr>
        <w:pStyle w:val="Odsekzoznamu"/>
        <w:numPr>
          <w:ilvl w:val="0"/>
          <w:numId w:val="410"/>
        </w:numPr>
        <w:spacing w:before="120" w:after="120"/>
        <w:ind w:left="425" w:hanging="425"/>
        <w:contextualSpacing w:val="0"/>
        <w:jc w:val="both"/>
        <w:rPr>
          <w:lang w:eastAsia="en-US"/>
        </w:rPr>
      </w:pPr>
      <w:r>
        <w:rPr>
          <w:lang w:eastAsia="en-US"/>
        </w:rPr>
        <w:t>CKO  každoročne vyhodnotí plnenie záväzných plánov jednotlivých OP.</w:t>
      </w:r>
    </w:p>
    <w:p w14:paraId="313FCCBB" w14:textId="77777777" w:rsidR="00B650E5" w:rsidRDefault="00B650E5">
      <w:pPr>
        <w:pStyle w:val="SRK3"/>
      </w:pPr>
      <w:bookmarkStart w:id="582" w:name="_Toc390160799"/>
      <w:bookmarkStart w:id="583" w:name="_Toc391991999"/>
      <w:bookmarkStart w:id="584" w:name="_Toc453234102"/>
      <w:bookmarkStart w:id="585" w:name="_Toc501630150"/>
      <w:r>
        <w:t>4.1.2 Monitorovanie na úrovni operačného programu</w:t>
      </w:r>
      <w:bookmarkEnd w:id="582"/>
      <w:bookmarkEnd w:id="583"/>
      <w:bookmarkEnd w:id="584"/>
      <w:bookmarkEnd w:id="585"/>
    </w:p>
    <w:p w14:paraId="779DEFEE" w14:textId="77777777" w:rsidR="00B650E5" w:rsidRDefault="00B650E5" w:rsidP="0045286B">
      <w:pPr>
        <w:pStyle w:val="SRK4"/>
      </w:pPr>
      <w:bookmarkStart w:id="586" w:name="_Toc391992000"/>
      <w:bookmarkStart w:id="587" w:name="_Toc453234103"/>
      <w:bookmarkStart w:id="588" w:name="_Toc501630151"/>
      <w:r>
        <w:t>4.1.2.1 Výročné hodnotiace zasadnutie</w:t>
      </w:r>
      <w:bookmarkEnd w:id="586"/>
      <w:bookmarkEnd w:id="587"/>
      <w:bookmarkEnd w:id="588"/>
      <w:r>
        <w:t xml:space="preserve"> </w:t>
      </w:r>
    </w:p>
    <w:p w14:paraId="010A810A"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EK a každého členského štátu organizuje EK každý rok od roku 2016 do roku 2023 vrátane, s cieľom preskúmať výkonnosť každého OP, pričom sa zoberú do úvahy výročné správy o vykonávaní OP a podľa potreby aj pripomienky a odporúčania EK. Členský štát a Komisia sa môžu dohodnúť, že nezorganizujú výročné hodnotiace zasadnutie týkajúce sa niektorého OP v iných rokoch než v rokoch 2017 a 2019.</w:t>
      </w:r>
    </w:p>
    <w:p w14:paraId="0B050E9D"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 hodnotiace zasadnutie sa môže týkať viacerých OP. V rokoch 2017 a 2019 sa výročné hodnotiace zasadnutia budú týkať všetkých OP v členskom štáte a zohľadnia aj predložené správy o  pokroku.</w:t>
      </w:r>
    </w:p>
    <w:p w14:paraId="5C0E566E"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Výročnému hodnotiacemu zasadnutiu predsedá EK alebo v prípade, keď EK požiada CKO, výročnému hodnotiacemu zasadnutiu predsedajú CKO a EK spolu.</w:t>
      </w:r>
    </w:p>
    <w:p w14:paraId="2D16A48C" w14:textId="77777777" w:rsidR="00B650E5" w:rsidRDefault="00B650E5">
      <w:pPr>
        <w:pStyle w:val="Odsekzoznamu"/>
        <w:numPr>
          <w:ilvl w:val="0"/>
          <w:numId w:val="171"/>
        </w:numPr>
        <w:spacing w:before="120" w:after="120"/>
        <w:ind w:left="425" w:hanging="425"/>
        <w:contextualSpacing w:val="0"/>
        <w:jc w:val="both"/>
        <w:rPr>
          <w:lang w:eastAsia="en-US"/>
        </w:rPr>
      </w:pPr>
      <w:r>
        <w:rPr>
          <w:lang w:eastAsia="en-US"/>
        </w:rPr>
        <w:t>CKO zabezpečí, aby sa všetky pripomienky EK po zasadnutí riadne preskúmali, a to vzhľadom na otázky, ktoré výrazným spôsobom ovplyvňujú vykonávanie OP a v prípade potreby informuje EK do troch mesiacov o prijatí opatrení.</w:t>
      </w:r>
    </w:p>
    <w:p w14:paraId="58B36447" w14:textId="77777777" w:rsidR="00B650E5" w:rsidRDefault="00B650E5" w:rsidP="0045286B">
      <w:pPr>
        <w:pStyle w:val="SRK4"/>
      </w:pPr>
      <w:bookmarkStart w:id="589" w:name="_Toc391992001"/>
      <w:bookmarkStart w:id="590" w:name="_Toc453234104"/>
      <w:bookmarkStart w:id="591" w:name="_Toc501630152"/>
      <w:r>
        <w:t>4.1.2.2 Výročná správa/záverečná správa o vykonávaní operačného programu</w:t>
      </w:r>
      <w:bookmarkEnd w:id="589"/>
      <w:bookmarkEnd w:id="590"/>
      <w:bookmarkEnd w:id="591"/>
      <w:r>
        <w:t xml:space="preserve"> </w:t>
      </w:r>
    </w:p>
    <w:p w14:paraId="751AD454" w14:textId="77777777" w:rsidR="00B650E5" w:rsidRDefault="00B650E5">
      <w:pPr>
        <w:pStyle w:val="Odsekzoznamu"/>
        <w:numPr>
          <w:ilvl w:val="3"/>
          <w:numId w:val="9"/>
        </w:numPr>
        <w:spacing w:before="120" w:after="120"/>
        <w:ind w:left="425" w:hanging="425"/>
        <w:contextualSpacing w:val="0"/>
        <w:jc w:val="both"/>
        <w:rPr>
          <w:lang w:eastAsia="en-US"/>
        </w:rPr>
      </w:pPr>
      <w:r>
        <w:rPr>
          <w:lang w:eastAsia="en-US"/>
        </w:rPr>
        <w:t>RO vypracuje výročnú/záverečnú správu o vykonávaní OP (ďalej len „výročná/záverečná správa“)</w:t>
      </w:r>
      <w:r>
        <w:rPr>
          <w:rStyle w:val="Odkaznapoznmkupodiarou"/>
          <w:lang w:eastAsia="en-US"/>
        </w:rPr>
        <w:footnoteReference w:id="170"/>
      </w:r>
      <w:r>
        <w:rPr>
          <w:lang w:eastAsia="en-US"/>
        </w:rPr>
        <w:t xml:space="preserve">. </w:t>
      </w:r>
    </w:p>
    <w:p w14:paraId="215080DF" w14:textId="77777777" w:rsidR="00B650E5" w:rsidRDefault="00B650E5">
      <w:pPr>
        <w:pStyle w:val="Odsekzoznamu"/>
        <w:numPr>
          <w:ilvl w:val="3"/>
          <w:numId w:val="9"/>
        </w:numPr>
        <w:spacing w:before="120" w:after="120"/>
        <w:ind w:left="425" w:hanging="425"/>
        <w:contextualSpacing w:val="0"/>
        <w:jc w:val="both"/>
        <w:rPr>
          <w:lang w:eastAsia="en-US"/>
        </w:rPr>
      </w:pPr>
      <w:r>
        <w:t>Výročná/záverečná správa hodnotí pokrok v implementácii OP na základe finančných údajov, hodnôt merateľných ukazovateľov, kvalitatívnej analýzy stavu implementácie vo vzťahu k</w:t>
      </w:r>
      <w:r w:rsidR="00AC25A3">
        <w:t> </w:t>
      </w:r>
      <w:r>
        <w:t xml:space="preserve">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finančné nástroje, zaradí do obsahu výročnej/záverečnej správy aj správu o vykonávaní finančných nástrojov. </w:t>
      </w:r>
    </w:p>
    <w:p w14:paraId="286CA349" w14:textId="77777777" w:rsidR="00B650E5" w:rsidRDefault="00B650E5">
      <w:pPr>
        <w:pStyle w:val="Odsekzoznamu"/>
        <w:numPr>
          <w:ilvl w:val="3"/>
          <w:numId w:val="9"/>
        </w:numPr>
        <w:spacing w:before="120" w:after="120"/>
        <w:ind w:left="425" w:hanging="425"/>
        <w:contextualSpacing w:val="0"/>
        <w:jc w:val="both"/>
        <w:rPr>
          <w:lang w:eastAsia="en-US"/>
        </w:rPr>
      </w:pPr>
      <w:r>
        <w:t>Údaje poskytované vo výročnej/záverečnej správe sa týkajú hodnôt ukazovateľov plne vykonaných operácií, a ak je to so zreteľom na štádium vykonávania možné, aj vybraných operácií, v prípade podpory z ESF budú vykazované údaje aj za neukončené operácie.</w:t>
      </w:r>
    </w:p>
    <w:p w14:paraId="6AC0EACE" w14:textId="77777777" w:rsidR="00B650E5" w:rsidRDefault="00B650E5">
      <w:pPr>
        <w:pStyle w:val="Odsekzoznamu"/>
        <w:numPr>
          <w:ilvl w:val="3"/>
          <w:numId w:val="9"/>
        </w:numPr>
        <w:spacing w:before="120" w:after="120"/>
        <w:ind w:left="425" w:hanging="425"/>
        <w:contextualSpacing w:val="0"/>
        <w:jc w:val="both"/>
        <w:rPr>
          <w:i/>
        </w:rPr>
      </w:pPr>
      <w:r>
        <w:t>Výročná/záverečná správa obsahuje:</w:t>
      </w:r>
    </w:p>
    <w:p w14:paraId="05FCBF06"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finančné údaje; </w:t>
      </w:r>
    </w:p>
    <w:p w14:paraId="4C390905"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 xml:space="preserve">spoločné a špecifické ukazovatele výstupov; </w:t>
      </w:r>
    </w:p>
    <w:p w14:paraId="431BD55D"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cieľové hodnoty ukazovateľov výsledkov, vrátane prípadných zmien;</w:t>
      </w:r>
    </w:p>
    <w:p w14:paraId="1DD534BE"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čiastkové ciele stanovené vo výkonnostnom rámci (počnúc výročnou správou za rok 2016);</w:t>
      </w:r>
    </w:p>
    <w:p w14:paraId="17551C57"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súhrn zistení všetkých hodnotení OP, ktoré sa stali dostupnými v predchádzajúcom rozpočtovom roku;</w:t>
      </w:r>
    </w:p>
    <w:p w14:paraId="372CFBBD"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lastRenderedPageBreak/>
        <w:t>problémy, ktoré ovplyvňujú výkonnosť OP a prijaté opatrenia;</w:t>
      </w:r>
    </w:p>
    <w:p w14:paraId="53C25C19"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opatrenia, ktoré boli prijaté s cieľom splniť ex ante kondicionality;</w:t>
      </w:r>
    </w:p>
    <w:p w14:paraId="62540E23"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pokroku dosiahnutom v rámci prípravy a realizácie veľkých projektov a SAP;</w:t>
      </w:r>
    </w:p>
    <w:p w14:paraId="4DAF3380"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finančných nástrojov;</w:t>
      </w:r>
    </w:p>
    <w:p w14:paraId="555786B9" w14:textId="77777777" w:rsidR="00B650E5" w:rsidRDefault="00B650E5">
      <w:pPr>
        <w:numPr>
          <w:ilvl w:val="0"/>
          <w:numId w:val="177"/>
        </w:numPr>
        <w:autoSpaceDE w:val="0"/>
        <w:autoSpaceDN w:val="0"/>
        <w:adjustRightInd w:val="0"/>
        <w:spacing w:before="120" w:after="120"/>
        <w:ind w:left="850" w:hanging="424"/>
        <w:jc w:val="both"/>
        <w:rPr>
          <w:color w:val="000000"/>
          <w:lang w:eastAsia="en-US"/>
        </w:rPr>
      </w:pPr>
      <w:r>
        <w:rPr>
          <w:color w:val="000000"/>
          <w:lang w:eastAsia="en-US"/>
        </w:rPr>
        <w:t>informácie o vykonávaní Iniciatívy na podporu zamestnanosti mladých ľudí.</w:t>
      </w:r>
    </w:p>
    <w:p w14:paraId="19D83D27" w14:textId="77777777" w:rsidR="00B650E5" w:rsidRDefault="00B650E5">
      <w:pPr>
        <w:autoSpaceDE w:val="0"/>
        <w:autoSpaceDN w:val="0"/>
        <w:adjustRightInd w:val="0"/>
        <w:spacing w:before="120" w:after="120"/>
        <w:ind w:left="426"/>
        <w:jc w:val="both"/>
        <w:rPr>
          <w:color w:val="000000"/>
          <w:lang w:eastAsia="en-US"/>
        </w:rPr>
      </w:pPr>
      <w:r>
        <w:rPr>
          <w:color w:val="000000"/>
          <w:lang w:eastAsia="en-US"/>
        </w:rPr>
        <w:t>RO predkladá EK pre každú PO alebo jej časť elektronicky štruktúrované údaje na podloženie Iniciatívy na podporu zamestnanosti mladých. Počiatočným termínom na predkladanie údajov je apríl 2015. RO predkladá uvedené údaje v rovnakom termíne ako výročnú správu. S výnimkou informácie predkladanej v roku 2015 sú tieto štruktúrované údaje predkladané ako súčasť výročnej správy.</w:t>
      </w:r>
    </w:p>
    <w:p w14:paraId="17AEC1C2" w14:textId="77777777" w:rsidR="00B650E5" w:rsidRDefault="00B650E5">
      <w:pPr>
        <w:spacing w:before="120" w:after="120"/>
        <w:ind w:left="426"/>
        <w:jc w:val="both"/>
      </w:pPr>
      <w:r>
        <w:t xml:space="preserve">Obsah výročných správ sa mení aj v závislosti na roku predkladania výročnej správy. </w:t>
      </w:r>
    </w:p>
    <w:p w14:paraId="264BF8FC" w14:textId="77777777" w:rsidR="00B650E5" w:rsidRDefault="00B650E5">
      <w:pPr>
        <w:pStyle w:val="Odsekzoznamu"/>
        <w:numPr>
          <w:ilvl w:val="3"/>
          <w:numId w:val="9"/>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14:paraId="4B9B964A"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pri plnení plánu hodnotenia a následných opatrení prijatých vzhľadom na zistenia hodnotení;</w:t>
      </w:r>
    </w:p>
    <w:p w14:paraId="2AE17E4F"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 xml:space="preserve">výsledky opatrení fondov na informovanie a publicitu realizovaných v rámci komunikačnej stratégie; </w:t>
      </w:r>
    </w:p>
    <w:p w14:paraId="27B765FB"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zapojenie partnerov do vykonávania, monitorovania a hodnotenia OP;</w:t>
      </w:r>
    </w:p>
    <w:p w14:paraId="41D01A63" w14:textId="77777777" w:rsidR="00B650E5" w:rsidRDefault="00B650E5">
      <w:pPr>
        <w:numPr>
          <w:ilvl w:val="0"/>
          <w:numId w:val="180"/>
        </w:numPr>
        <w:autoSpaceDE w:val="0"/>
        <w:autoSpaceDN w:val="0"/>
        <w:adjustRightInd w:val="0"/>
        <w:spacing w:before="120" w:after="120"/>
        <w:ind w:left="850" w:hanging="424"/>
        <w:jc w:val="both"/>
        <w:rPr>
          <w:color w:val="000000"/>
          <w:lang w:eastAsia="en-US"/>
        </w:rPr>
      </w:pPr>
      <w:r>
        <w:rPr>
          <w:color w:val="000000"/>
          <w:lang w:eastAsia="en-US"/>
        </w:rPr>
        <w:t>pokrok dosiahnutý v rámci prípravy a realizácie veľkých projektov a SAP.</w:t>
      </w:r>
    </w:p>
    <w:p w14:paraId="67911763" w14:textId="77777777" w:rsidR="00B650E5" w:rsidRDefault="00B650E5">
      <w:pPr>
        <w:pStyle w:val="Odsekzoznamu"/>
        <w:numPr>
          <w:ilvl w:val="3"/>
          <w:numId w:val="9"/>
        </w:numPr>
        <w:spacing w:before="120" w:after="120"/>
        <w:ind w:left="425" w:hanging="425"/>
        <w:contextualSpacing w:val="0"/>
        <w:jc w:val="both"/>
      </w:pPr>
      <w:r>
        <w:t>Výročná správa predkladaná v roku 2017 obsahuje aj informácie o:</w:t>
      </w:r>
    </w:p>
    <w:p w14:paraId="443B1F7C"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 xml:space="preserve">pokroku dosiahnutom pri dosahovaní cieľov OP, vrátane príspevku EŠIF      </w:t>
      </w:r>
      <w:r>
        <w:rPr>
          <w:color w:val="000000"/>
          <w:lang w:eastAsia="en-US"/>
        </w:rPr>
        <w:br/>
        <w:t>k zmenám hodnoty ukazovateľov výsledkov, ak o tom hodnotenia OP poskytujú dôkaz;</w:t>
      </w:r>
    </w:p>
    <w:p w14:paraId="2B33AED1"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opatreniach prijatých na podporu HP rovnosti mužov a žien, nediskriminácie, ako aj udržateľného rozvoja;</w:t>
      </w:r>
    </w:p>
    <w:p w14:paraId="78C64870"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úlohách partnerov v rámci vykonávania OP;</w:t>
      </w:r>
    </w:p>
    <w:p w14:paraId="69D5D996" w14:textId="77777777" w:rsidR="00B650E5" w:rsidRDefault="00B650E5">
      <w:pPr>
        <w:numPr>
          <w:ilvl w:val="0"/>
          <w:numId w:val="181"/>
        </w:numPr>
        <w:autoSpaceDE w:val="0"/>
        <w:autoSpaceDN w:val="0"/>
        <w:adjustRightInd w:val="0"/>
        <w:spacing w:before="120" w:after="120"/>
        <w:ind w:left="850" w:hanging="424"/>
        <w:jc w:val="both"/>
        <w:rPr>
          <w:color w:val="000000"/>
          <w:lang w:eastAsia="en-US"/>
        </w:rPr>
      </w:pPr>
      <w:r>
        <w:rPr>
          <w:color w:val="000000"/>
          <w:lang w:eastAsia="en-US"/>
        </w:rPr>
        <w:t>podpore použitej na ciele súvisiace so zmenou klímy.</w:t>
      </w:r>
    </w:p>
    <w:p w14:paraId="4C0934B8" w14:textId="77777777" w:rsidR="00B650E5" w:rsidRDefault="00B650E5">
      <w:pPr>
        <w:pStyle w:val="Odsekzoznamu"/>
        <w:numPr>
          <w:ilvl w:val="3"/>
          <w:numId w:val="9"/>
        </w:numPr>
        <w:spacing w:before="120" w:after="120"/>
        <w:ind w:left="425" w:hanging="425"/>
        <w:contextualSpacing w:val="0"/>
        <w:jc w:val="both"/>
      </w:pPr>
      <w:r>
        <w:t xml:space="preserve">Výročná správa predkladaná v roku 2019/záverečná správa obsahuje aj informácie o: </w:t>
      </w:r>
    </w:p>
    <w:p w14:paraId="18385FE5" w14:textId="77777777" w:rsidR="00B650E5" w:rsidRDefault="00B650E5">
      <w:pPr>
        <w:numPr>
          <w:ilvl w:val="0"/>
          <w:numId w:val="182"/>
        </w:numPr>
        <w:autoSpaceDE w:val="0"/>
        <w:autoSpaceDN w:val="0"/>
        <w:adjustRightInd w:val="0"/>
        <w:spacing w:before="120" w:after="120"/>
        <w:ind w:left="851" w:hanging="425"/>
        <w:jc w:val="both"/>
        <w:rPr>
          <w:color w:val="000000"/>
          <w:lang w:eastAsia="en-US"/>
        </w:rPr>
      </w:pPr>
      <w:r>
        <w:rPr>
          <w:color w:val="000000"/>
          <w:lang w:eastAsia="en-US"/>
        </w:rPr>
        <w:t>plnení cieľov OP a jeho príspevku k napĺňaniu stratégie Európa 2020 a posúdenie pokroku pri plnení týchto cieľov.</w:t>
      </w:r>
    </w:p>
    <w:p w14:paraId="45C3A0FE" w14:textId="77777777" w:rsidR="00B650E5" w:rsidRDefault="00B650E5">
      <w:pPr>
        <w:pStyle w:val="Odsekzoznamu"/>
        <w:numPr>
          <w:ilvl w:val="3"/>
          <w:numId w:val="9"/>
        </w:numPr>
        <w:spacing w:before="120" w:after="120"/>
        <w:ind w:left="425" w:hanging="425"/>
        <w:contextualSpacing w:val="0"/>
        <w:jc w:val="both"/>
      </w:pPr>
      <w:r>
        <w:t>Výročné správy predložené v rokoch 2017 a 2019 môžu v závislosti od obsahu cieľov OP stanoviť informácie a posúdiť nasledujúce:</w:t>
      </w:r>
    </w:p>
    <w:p w14:paraId="7D041114"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uplatnení integrovaného prístupu k územnému rozvoju vrátane rozvoja regiónov s nepriaznivými demografickými podmienkami a trvalými alebo prírodnými znevýhodneniami, UMR a CLLD podľa OP;</w:t>
      </w:r>
    </w:p>
    <w:p w14:paraId="2010202F"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opatrení na posilnenie kapacity orgánov členského štátu a prijímateľov na spravovanie a využívanie EŠIF;</w:t>
      </w:r>
    </w:p>
    <w:p w14:paraId="25AF5E8D"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realizovaní všetkých medziregionálnych a nadnárodných opatrení;</w:t>
      </w:r>
    </w:p>
    <w:p w14:paraId="53CB18E5"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v príslušných prípadoch príspevok k stratégiám pre makroregióny; </w:t>
      </w:r>
    </w:p>
    <w:p w14:paraId="3186E295"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 xml:space="preserve">osobitné opatrenia prijaté s cieľom podporiť rovnosť mužov a žien a predchádzať diskriminácii, najmä zabezpečenie prístupu pre osoby so zdravotným postihnutím; </w:t>
      </w:r>
    </w:p>
    <w:p w14:paraId="1EAF3C5B"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lastRenderedPageBreak/>
        <w:t xml:space="preserve">opatrenia prijaté na presadzovanie trvalo udržateľného rozvoja; </w:t>
      </w:r>
    </w:p>
    <w:p w14:paraId="43AB3AD0"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v príslušných prípadoch pokrok dosiahnutý pri vykonávaní opatrení v oblasti sociálnej inovácie;</w:t>
      </w:r>
    </w:p>
    <w:p w14:paraId="1AFC098B" w14:textId="77777777" w:rsidR="00B650E5" w:rsidRDefault="00B650E5">
      <w:pPr>
        <w:numPr>
          <w:ilvl w:val="0"/>
          <w:numId w:val="183"/>
        </w:numPr>
        <w:autoSpaceDE w:val="0"/>
        <w:autoSpaceDN w:val="0"/>
        <w:adjustRightInd w:val="0"/>
        <w:spacing w:before="120" w:after="120"/>
        <w:ind w:left="850" w:hanging="424"/>
        <w:jc w:val="both"/>
        <w:rPr>
          <w:color w:val="000000"/>
          <w:lang w:eastAsia="en-US"/>
        </w:rPr>
      </w:pPr>
      <w:r>
        <w:rPr>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marginalizované komunity, osoby so zdravotným postihnutím, dlhodobo nezamestnaných a nezamestnaných mladých ľudí, prípadne vrátane použitých finančných prostriedkov.</w:t>
      </w:r>
    </w:p>
    <w:p w14:paraId="5206D404" w14:textId="77777777" w:rsidR="00B650E5" w:rsidRDefault="00B650E5">
      <w:pPr>
        <w:pStyle w:val="Odsekzoznamu"/>
        <w:numPr>
          <w:ilvl w:val="3"/>
          <w:numId w:val="9"/>
        </w:numPr>
        <w:spacing w:before="120" w:after="120"/>
        <w:ind w:left="425" w:hanging="425"/>
        <w:contextualSpacing w:val="0"/>
        <w:jc w:val="both"/>
      </w:pPr>
      <w:r>
        <w:t xml:space="preserve">RO predkladá výročnú správu za rok n po schválení členmi MV cez systém SFC2014 EK </w:t>
      </w:r>
      <w:r>
        <w:br/>
        <w:t xml:space="preserve">do 31.05. roku n+1. Prvú správu predloží RO v roku 2016 a následne každý rok až do roku 2023 vrátane. Výročná správa predkladaná v roku 2016 sa týka rozpočtových rokov 2014 a 2015, ako aj obdobia od počiatočného dátumu oprávnenosti výdavkov do 31.12.2013. (v prípade výdavkov v rámci Iniciatívy na podporu zamestnanosti mladých, ktoré sú oprávnené </w:t>
      </w:r>
      <w:r>
        <w:br/>
        <w:t>od 01.09.2013).</w:t>
      </w:r>
    </w:p>
    <w:p w14:paraId="6B0071F8" w14:textId="77777777" w:rsidR="00B650E5" w:rsidRDefault="00B650E5">
      <w:pPr>
        <w:pStyle w:val="Odsekzoznamu"/>
        <w:numPr>
          <w:ilvl w:val="3"/>
          <w:numId w:val="9"/>
        </w:numPr>
        <w:spacing w:before="120" w:after="120"/>
        <w:ind w:left="425" w:hanging="425"/>
        <w:contextualSpacing w:val="0"/>
        <w:jc w:val="both"/>
      </w:pPr>
      <w:r>
        <w:t xml:space="preserve">Pre správy predkladané v roku 2017 a 2019 platí termín predloženia do 30.06. roku n+1. </w:t>
      </w:r>
    </w:p>
    <w:p w14:paraId="0B21331B" w14:textId="77777777" w:rsidR="00B650E5" w:rsidRDefault="00B650E5">
      <w:pPr>
        <w:pStyle w:val="Odsekzoznamu"/>
        <w:numPr>
          <w:ilvl w:val="3"/>
          <w:numId w:val="9"/>
        </w:numPr>
        <w:spacing w:before="120" w:after="120"/>
        <w:ind w:left="425" w:hanging="425"/>
        <w:contextualSpacing w:val="0"/>
        <w:jc w:val="both"/>
      </w:pPr>
      <w:r>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14:paraId="13B2379A" w14:textId="77777777" w:rsidR="00B650E5" w:rsidRDefault="00B650E5">
      <w:pPr>
        <w:pStyle w:val="Odsekzoznamu"/>
        <w:numPr>
          <w:ilvl w:val="3"/>
          <w:numId w:val="9"/>
        </w:numPr>
        <w:spacing w:before="120" w:after="120"/>
        <w:ind w:left="425" w:hanging="425"/>
        <w:contextualSpacing w:val="0"/>
        <w:jc w:val="both"/>
      </w:pPr>
      <w:r>
        <w:t>RO predkladá EK v prípade  fondov (</w:t>
      </w:r>
      <w:r w:rsidR="00C93F30">
        <w:t xml:space="preserve">t. j. </w:t>
      </w:r>
      <w:r>
        <w:t>EFRR, ESF a KF)  aj záverečnú správu po ukončení OP. V prípade EPFRV a ENRF predkladá RO iba výročnú správu do konca lehoty stanovenej v</w:t>
      </w:r>
      <w:r w:rsidR="00AC25A3">
        <w:t> </w:t>
      </w:r>
      <w:r>
        <w:t>nariadeniach týkajúcich sa jednotlivých fondov.</w:t>
      </w:r>
    </w:p>
    <w:p w14:paraId="370BC98A" w14:textId="77777777" w:rsidR="00B650E5" w:rsidRDefault="00B650E5">
      <w:pPr>
        <w:pStyle w:val="Odsekzoznamu"/>
        <w:numPr>
          <w:ilvl w:val="3"/>
          <w:numId w:val="9"/>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14:paraId="5A3F8E9E" w14:textId="77777777" w:rsidR="00B650E5" w:rsidRDefault="00B650E5">
      <w:pPr>
        <w:pStyle w:val="Odsekzoznamu"/>
        <w:numPr>
          <w:ilvl w:val="3"/>
          <w:numId w:val="9"/>
        </w:numPr>
        <w:spacing w:before="120" w:after="120"/>
        <w:ind w:left="425" w:hanging="425"/>
        <w:contextualSpacing w:val="0"/>
        <w:jc w:val="both"/>
      </w:pPr>
      <w:r>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14:paraId="534F3B48" w14:textId="77777777" w:rsidR="00B650E5" w:rsidRDefault="00B650E5">
      <w:pPr>
        <w:pStyle w:val="Odsekzoznamu"/>
        <w:numPr>
          <w:ilvl w:val="3"/>
          <w:numId w:val="9"/>
        </w:numPr>
        <w:spacing w:before="120" w:after="120"/>
        <w:ind w:left="425" w:hanging="425"/>
        <w:contextualSpacing w:val="0"/>
        <w:jc w:val="both"/>
      </w:pPr>
      <w:r>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14:paraId="21A22AF9" w14:textId="77777777" w:rsidR="00B650E5" w:rsidRDefault="00B650E5">
      <w:pPr>
        <w:pStyle w:val="Odsekzoznamu"/>
        <w:numPr>
          <w:ilvl w:val="3"/>
          <w:numId w:val="9"/>
        </w:numPr>
        <w:spacing w:before="120" w:after="120"/>
        <w:ind w:left="425" w:hanging="425"/>
        <w:contextualSpacing w:val="0"/>
        <w:jc w:val="both"/>
      </w:pPr>
      <w:r>
        <w:t>RO po prijatí prípadných pripomienok k výročnej/záverečnej správe zo strany EK bezodkladne informuje členov a pozorovateľov MV o týchto pripomienkach EK a aktuálnom stave schvaľovania výročnej/záverečnej správy a v súlade s predchádzajúcim odsekom ich v primeranom čase informuje o prijatých opatreniach.</w:t>
      </w:r>
    </w:p>
    <w:p w14:paraId="655768EC" w14:textId="77777777" w:rsidR="00B650E5" w:rsidRDefault="00B650E5">
      <w:pPr>
        <w:pStyle w:val="Odsekzoznamu"/>
        <w:numPr>
          <w:ilvl w:val="3"/>
          <w:numId w:val="9"/>
        </w:numPr>
        <w:spacing w:before="120" w:after="120"/>
        <w:ind w:left="425" w:hanging="425"/>
        <w:contextualSpacing w:val="0"/>
        <w:jc w:val="both"/>
      </w:pPr>
      <w:r>
        <w:t>Výročné a záverečné správy, ako aj zhrnutie ich obsahu pre občanov, sa zverejňujú na</w:t>
      </w:r>
      <w:r w:rsidR="00AC25A3">
        <w:t> </w:t>
      </w:r>
      <w:r>
        <w:t xml:space="preserve">príslušných webových sídlach jednotlivých RO.  </w:t>
      </w:r>
    </w:p>
    <w:p w14:paraId="65611719" w14:textId="77777777" w:rsidR="00B650E5" w:rsidRDefault="00B650E5" w:rsidP="0045286B">
      <w:pPr>
        <w:pStyle w:val="SRK4"/>
        <w:rPr>
          <w:u w:val="single"/>
          <w:lang w:eastAsia="en-US"/>
        </w:rPr>
      </w:pPr>
      <w:bookmarkStart w:id="592" w:name="_Toc391992002"/>
      <w:bookmarkStart w:id="593" w:name="_Toc453234105"/>
      <w:bookmarkStart w:id="594" w:name="_Toc501630153"/>
      <w:r>
        <w:t>4.1.2.3 Monitorovanie výkonnostného rámca  na úrovni operačných programov</w:t>
      </w:r>
      <w:bookmarkEnd w:id="592"/>
      <w:bookmarkEnd w:id="593"/>
      <w:bookmarkEnd w:id="594"/>
    </w:p>
    <w:p w14:paraId="58C01377" w14:textId="77777777" w:rsidR="00B650E5" w:rsidRDefault="00B650E5">
      <w:pPr>
        <w:pStyle w:val="Odsekzoznamu"/>
        <w:numPr>
          <w:ilvl w:val="0"/>
          <w:numId w:val="178"/>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14:paraId="5BB79FF5" w14:textId="77777777" w:rsidR="00B650E5" w:rsidRDefault="00B650E5">
      <w:pPr>
        <w:pStyle w:val="Odsekzoznamu"/>
        <w:numPr>
          <w:ilvl w:val="0"/>
          <w:numId w:val="178"/>
        </w:numPr>
        <w:spacing w:before="120" w:after="120"/>
        <w:ind w:left="426" w:hanging="426"/>
        <w:contextualSpacing w:val="0"/>
        <w:jc w:val="both"/>
      </w:pPr>
      <w:r>
        <w:t xml:space="preserve">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w:t>
      </w:r>
      <w:r>
        <w:lastRenderedPageBreak/>
        <w:t>a vytvorí efektívny detekčný a nápravný mechanizmus na dosahovanie čiastkových cieľov a zámerov ukazovateľov.</w:t>
      </w:r>
    </w:p>
    <w:p w14:paraId="2E807124" w14:textId="77777777" w:rsidR="00B650E5" w:rsidRDefault="00B650E5">
      <w:pPr>
        <w:pStyle w:val="Odsekzoznamu"/>
        <w:numPr>
          <w:ilvl w:val="0"/>
          <w:numId w:val="178"/>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w:t>
      </w:r>
      <w:r w:rsidRPr="00A262ED">
        <w:t xml:space="preserve">v rámci </w:t>
      </w:r>
      <w:r w:rsidRPr="000E286B">
        <w:t>odpočtu plnenia</w:t>
      </w:r>
      <w:r w:rsidRPr="00A262ED">
        <w:t xml:space="preserve"> záväzného plánu OP.</w:t>
      </w:r>
      <w:r>
        <w:t xml:space="preserve">   </w:t>
      </w:r>
    </w:p>
    <w:p w14:paraId="10814494" w14:textId="77777777" w:rsidR="00B650E5" w:rsidRDefault="00B650E5" w:rsidP="0045286B">
      <w:pPr>
        <w:pStyle w:val="SRK4"/>
      </w:pPr>
      <w:bookmarkStart w:id="595" w:name="_Toc391992003"/>
      <w:bookmarkStart w:id="596" w:name="_Toc453234106"/>
      <w:bookmarkStart w:id="597" w:name="_Toc501630154"/>
      <w:r>
        <w:t>4.1.2.4 Záväzný plán operačného programu</w:t>
      </w:r>
      <w:bookmarkEnd w:id="595"/>
      <w:bookmarkEnd w:id="596"/>
      <w:bookmarkEnd w:id="597"/>
      <w:r>
        <w:t xml:space="preserve"> </w:t>
      </w:r>
    </w:p>
    <w:p w14:paraId="4A3094B7" w14:textId="77777777" w:rsidR="00B650E5" w:rsidRDefault="00B650E5" w:rsidP="000E286B">
      <w:pPr>
        <w:pStyle w:val="Odsekzoznamu"/>
        <w:numPr>
          <w:ilvl w:val="0"/>
          <w:numId w:val="400"/>
        </w:numPr>
        <w:spacing w:before="120" w:after="120"/>
        <w:ind w:left="426" w:hanging="426"/>
        <w:contextualSpacing w:val="0"/>
        <w:jc w:val="both"/>
      </w:pPr>
      <w:r>
        <w:t>RO v zmysle nariadenia vlády Slovenskej republiky č. 247/2016 Z.</w:t>
      </w:r>
      <w:r w:rsidR="00A4267B">
        <w:t xml:space="preserve"> </w:t>
      </w:r>
      <w:r>
        <w:t xml:space="preserve">z. zo 17. augusta 2016, </w:t>
      </w:r>
      <w:r w:rsidRPr="00BD5FD5">
        <w:t>ktorým sa ustanovuje systém uplatňovania niektorých právomocí Úradu podpredsedu vlády Slovenskej republiky pre investície a</w:t>
      </w:r>
      <w:r>
        <w:t> </w:t>
      </w:r>
      <w:r w:rsidRPr="00BD5FD5">
        <w:t>informatizáciu</w:t>
      </w:r>
      <w:r>
        <w:t xml:space="preserve"> vypracuje a predloží CKO do 01.03. roku n záväzný plán operačného programu</w:t>
      </w:r>
      <w:r w:rsidRPr="00072EFF">
        <w:rPr>
          <w:rStyle w:val="Odkaznapoznmkupodiarou"/>
        </w:rPr>
        <w:footnoteReference w:id="171"/>
      </w:r>
      <w:r>
        <w:t xml:space="preserve"> na rok n (ďalej len „záväzný plán OP“). </w:t>
      </w:r>
    </w:p>
    <w:p w14:paraId="44C61E1A" w14:textId="77777777" w:rsidR="00B650E5" w:rsidRDefault="00B650E5" w:rsidP="000E286B">
      <w:pPr>
        <w:pStyle w:val="Odsekzoznamu"/>
        <w:numPr>
          <w:ilvl w:val="0"/>
          <w:numId w:val="400"/>
        </w:numPr>
        <w:spacing w:before="120" w:after="120"/>
        <w:ind w:left="426" w:hanging="426"/>
        <w:contextualSpacing w:val="0"/>
        <w:jc w:val="both"/>
        <w:rPr>
          <w:color w:val="000000"/>
          <w:lang w:eastAsia="en-US"/>
        </w:rPr>
      </w:pPr>
      <w:r>
        <w:t xml:space="preserve">Záväzný plán OP obsahuje časový harmonogram a finančný harmonogram poskytovania finančných prostriedkov určených pre OP a plán napĺňania cieľov OP. </w:t>
      </w:r>
    </w:p>
    <w:p w14:paraId="7F7D9B51" w14:textId="77777777" w:rsidR="00B650E5" w:rsidRPr="00922ACA" w:rsidRDefault="003C3BC7" w:rsidP="000E286B">
      <w:pPr>
        <w:pStyle w:val="Odsekzoznamu"/>
        <w:numPr>
          <w:ilvl w:val="0"/>
          <w:numId w:val="400"/>
        </w:numPr>
        <w:spacing w:before="120" w:after="120"/>
        <w:ind w:left="426" w:hanging="426"/>
        <w:contextualSpacing w:val="0"/>
        <w:jc w:val="both"/>
      </w:pPr>
      <w:r w:rsidRPr="00DD26F7">
        <w:rPr>
          <w:lang w:eastAsia="cs-CZ"/>
        </w:rPr>
        <w:t xml:space="preserve">Podklady potrebné k odpočtu </w:t>
      </w:r>
      <w:r>
        <w:rPr>
          <w:lang w:eastAsia="cs-CZ"/>
        </w:rPr>
        <w:t>ZP</w:t>
      </w:r>
      <w:r w:rsidRPr="00DD26F7">
        <w:rPr>
          <w:lang w:eastAsia="cs-CZ"/>
        </w:rPr>
        <w:t xml:space="preserve"> získava CKO z informačného monitorovacieho systému podľa </w:t>
      </w:r>
      <w:r w:rsidR="006E0204">
        <w:rPr>
          <w:lang w:eastAsia="cs-CZ"/>
        </w:rPr>
        <w:t xml:space="preserve">  </w:t>
      </w:r>
      <w:r w:rsidRPr="00DD26F7">
        <w:rPr>
          <w:lang w:eastAsia="cs-CZ"/>
        </w:rPr>
        <w:t xml:space="preserve">§ 49 </w:t>
      </w:r>
      <w:r>
        <w:rPr>
          <w:lang w:eastAsia="cs-CZ"/>
        </w:rPr>
        <w:t>zákona o príspevku z EŠIF</w:t>
      </w:r>
      <w:r w:rsidRPr="00640753">
        <w:rPr>
          <w:rFonts w:eastAsia="Calibri"/>
          <w:color w:val="365F91"/>
        </w:rPr>
        <w:t>.</w:t>
      </w:r>
      <w:r>
        <w:rPr>
          <w:rFonts w:eastAsia="Calibri"/>
          <w:color w:val="365F91"/>
        </w:rPr>
        <w:t xml:space="preserve"> </w:t>
      </w:r>
      <w:r w:rsidRPr="009712D1">
        <w:rPr>
          <w:lang w:eastAsia="cs-CZ"/>
        </w:rPr>
        <w:t>Podklady</w:t>
      </w:r>
      <w:r>
        <w:rPr>
          <w:lang w:eastAsia="cs-CZ"/>
        </w:rPr>
        <w:t>,</w:t>
      </w:r>
      <w:r w:rsidRPr="009712D1">
        <w:rPr>
          <w:lang w:eastAsia="cs-CZ"/>
        </w:rPr>
        <w:t xml:space="preserve"> </w:t>
      </w:r>
      <w:r w:rsidRPr="00F6668A">
        <w:rPr>
          <w:lang w:eastAsia="cs-CZ"/>
        </w:rPr>
        <w:t>ktoré nie sú evidované</w:t>
      </w:r>
      <w:r w:rsidRPr="00877BC3">
        <w:rPr>
          <w:lang w:eastAsia="cs-CZ"/>
        </w:rPr>
        <w:t xml:space="preserve"> v</w:t>
      </w:r>
      <w:r w:rsidR="00AF5FEB">
        <w:rPr>
          <w:lang w:eastAsia="cs-CZ"/>
        </w:rPr>
        <w:t> </w:t>
      </w:r>
      <w:r>
        <w:rPr>
          <w:lang w:eastAsia="cs-CZ"/>
        </w:rPr>
        <w:t>ITMS</w:t>
      </w:r>
      <w:r w:rsidR="00AF5FEB">
        <w:rPr>
          <w:lang w:eastAsia="cs-CZ"/>
        </w:rPr>
        <w:t xml:space="preserve"> 2014+</w:t>
      </w:r>
      <w:r>
        <w:rPr>
          <w:lang w:eastAsia="cs-CZ"/>
        </w:rPr>
        <w:t xml:space="preserve"> </w:t>
      </w:r>
      <w:r w:rsidRPr="009712D1">
        <w:rPr>
          <w:lang w:eastAsia="cs-CZ"/>
        </w:rPr>
        <w:t xml:space="preserve">predkladá </w:t>
      </w:r>
      <w:r>
        <w:rPr>
          <w:lang w:eastAsia="cs-CZ"/>
        </w:rPr>
        <w:t>riadiaci orgán CKO</w:t>
      </w:r>
      <w:r w:rsidRPr="00922ACA">
        <w:t>:</w:t>
      </w:r>
    </w:p>
    <w:p w14:paraId="10BC6465" w14:textId="77777777" w:rsidR="00B650E5" w:rsidRPr="000E286B" w:rsidRDefault="003C3BC7" w:rsidP="000E286B">
      <w:pPr>
        <w:numPr>
          <w:ilvl w:val="0"/>
          <w:numId w:val="401"/>
        </w:numPr>
        <w:autoSpaceDE w:val="0"/>
        <w:autoSpaceDN w:val="0"/>
        <w:adjustRightInd w:val="0"/>
        <w:spacing w:before="120" w:after="120"/>
        <w:ind w:left="851" w:hanging="425"/>
        <w:jc w:val="both"/>
        <w:rPr>
          <w:color w:val="000000"/>
          <w:lang w:eastAsia="en-US"/>
        </w:rPr>
      </w:pPr>
      <w:r w:rsidRPr="00922ACA">
        <w:t>s údajmi k 30.06</w:t>
      </w:r>
      <w:r>
        <w:t xml:space="preserve">. roku n, </w:t>
      </w:r>
      <w:r w:rsidR="00B650E5" w:rsidRPr="000E286B">
        <w:rPr>
          <w:color w:val="000000"/>
          <w:lang w:eastAsia="en-US"/>
        </w:rPr>
        <w:t>do 15.0</w:t>
      </w:r>
      <w:r w:rsidR="00B650E5">
        <w:rPr>
          <w:color w:val="000000"/>
          <w:lang w:eastAsia="en-US"/>
        </w:rPr>
        <w:t>8</w:t>
      </w:r>
      <w:r w:rsidR="00B650E5" w:rsidRPr="000E286B">
        <w:rPr>
          <w:color w:val="000000"/>
          <w:lang w:eastAsia="en-US"/>
        </w:rPr>
        <w:t>. roku n</w:t>
      </w:r>
      <w:r w:rsidR="00B650E5" w:rsidRPr="00922ACA">
        <w:rPr>
          <w:color w:val="000000"/>
          <w:lang w:eastAsia="en-US"/>
        </w:rPr>
        <w:t>;</w:t>
      </w:r>
      <w:r w:rsidR="00B650E5" w:rsidRPr="000E286B">
        <w:rPr>
          <w:color w:val="000000"/>
          <w:lang w:eastAsia="en-US"/>
        </w:rPr>
        <w:t>  </w:t>
      </w:r>
    </w:p>
    <w:p w14:paraId="266434CF" w14:textId="77777777" w:rsidR="00B650E5" w:rsidRPr="00922ACA" w:rsidRDefault="003C3BC7" w:rsidP="000E286B">
      <w:pPr>
        <w:numPr>
          <w:ilvl w:val="0"/>
          <w:numId w:val="401"/>
        </w:numPr>
        <w:autoSpaceDE w:val="0"/>
        <w:autoSpaceDN w:val="0"/>
        <w:adjustRightInd w:val="0"/>
        <w:spacing w:before="120" w:after="120"/>
        <w:ind w:left="850" w:hanging="424"/>
        <w:jc w:val="both"/>
        <w:rPr>
          <w:color w:val="000000"/>
          <w:lang w:eastAsia="en-US"/>
        </w:rPr>
      </w:pPr>
      <w:r w:rsidRPr="00922ACA">
        <w:t>s údajmi k 3</w:t>
      </w:r>
      <w:r>
        <w:t>1</w:t>
      </w:r>
      <w:r w:rsidRPr="00922ACA">
        <w:t>.</w:t>
      </w:r>
      <w:r>
        <w:t xml:space="preserve">12. roku n, </w:t>
      </w:r>
      <w:r w:rsidR="00B650E5" w:rsidRPr="000E286B">
        <w:rPr>
          <w:color w:val="000000"/>
          <w:lang w:eastAsia="en-US"/>
        </w:rPr>
        <w:t>do 15.02</w:t>
      </w:r>
      <w:r w:rsidR="00AC25A3">
        <w:rPr>
          <w:color w:val="000000"/>
          <w:lang w:eastAsia="en-US"/>
        </w:rPr>
        <w:t>.</w:t>
      </w:r>
      <w:r w:rsidR="00B650E5" w:rsidRPr="000E286B">
        <w:rPr>
          <w:color w:val="000000"/>
          <w:lang w:eastAsia="en-US"/>
        </w:rPr>
        <w:t xml:space="preserve"> roku n+1.</w:t>
      </w:r>
    </w:p>
    <w:p w14:paraId="6D4AB2ED" w14:textId="77777777" w:rsidR="00B650E5" w:rsidRDefault="00B650E5" w:rsidP="0045286B">
      <w:pPr>
        <w:pStyle w:val="SRK4"/>
      </w:pPr>
      <w:bookmarkStart w:id="598" w:name="_Toc391992004"/>
      <w:bookmarkStart w:id="599" w:name="_Toc453234107"/>
      <w:bookmarkStart w:id="600" w:name="_Toc501630155"/>
      <w:r>
        <w:t>4.1.2.5 Informácia o realizovaní operačného programu</w:t>
      </w:r>
      <w:bookmarkEnd w:id="598"/>
      <w:bookmarkEnd w:id="599"/>
      <w:bookmarkEnd w:id="600"/>
      <w:r>
        <w:t xml:space="preserve"> </w:t>
      </w:r>
    </w:p>
    <w:p w14:paraId="65BF241C" w14:textId="77777777" w:rsidR="00B650E5" w:rsidRDefault="00B650E5">
      <w:pPr>
        <w:pStyle w:val="Odsekzoznamu"/>
        <w:numPr>
          <w:ilvl w:val="0"/>
          <w:numId w:val="186"/>
        </w:numPr>
        <w:spacing w:before="120" w:after="120"/>
        <w:ind w:left="425" w:hanging="425"/>
        <w:contextualSpacing w:val="0"/>
        <w:jc w:val="both"/>
      </w:pPr>
      <w:r>
        <w:t xml:space="preserve">RO predkladá CKO do 5. kalendárneho dňa nasledujúceho mesiaca Informáciu o realizovaní OP (ďalej len „informácia“) s údajmi </w:t>
      </w:r>
      <w:r w:rsidR="00226058">
        <w:t>v</w:t>
      </w:r>
      <w:r w:rsidR="00AC25A3">
        <w:t> </w:t>
      </w:r>
      <w:r w:rsidR="00226058">
        <w:t>rozsahu</w:t>
      </w:r>
      <w:r w:rsidR="00AC25A3">
        <w:t>,</w:t>
      </w:r>
      <w:r w:rsidR="00226058">
        <w:t xml:space="preserve"> stanovenom v metodickom pokyne</w:t>
      </w:r>
      <w:r w:rsidR="00226058">
        <w:rPr>
          <w:rStyle w:val="Odkaznapoznmkupodiarou"/>
        </w:rPr>
        <w:footnoteReference w:id="172"/>
      </w:r>
      <w:r>
        <w:t>.</w:t>
      </w:r>
    </w:p>
    <w:p w14:paraId="70D9234E" w14:textId="77777777" w:rsidR="00B650E5" w:rsidRDefault="00B650E5">
      <w:pPr>
        <w:pStyle w:val="Odsekzoznamu"/>
        <w:numPr>
          <w:ilvl w:val="0"/>
          <w:numId w:val="186"/>
        </w:numPr>
        <w:spacing w:before="120" w:after="120"/>
        <w:ind w:left="425" w:hanging="425"/>
        <w:contextualSpacing w:val="0"/>
        <w:jc w:val="both"/>
      </w:pPr>
      <w:r>
        <w:t>Prvá informácia sa predkladá CKO za obdobie jedného kalendárneho mesiaca od schválenia príslušného OP EK.</w:t>
      </w:r>
    </w:p>
    <w:p w14:paraId="552C5F12" w14:textId="77777777" w:rsidR="00B650E5" w:rsidRDefault="00B650E5">
      <w:pPr>
        <w:pStyle w:val="Odsekzoznamu"/>
        <w:numPr>
          <w:ilvl w:val="0"/>
          <w:numId w:val="186"/>
        </w:numPr>
        <w:spacing w:before="120" w:after="120"/>
        <w:ind w:left="425" w:hanging="425"/>
        <w:contextualSpacing w:val="0"/>
        <w:jc w:val="both"/>
      </w:pPr>
      <w:r>
        <w:t xml:space="preserve">Informácia predstavuje jeden zo základných výstupov pravidelného monitorovania  implementácie OP. Účelom tohto materiálu je poskytnúť základné informácie o aktuálnom stave implementácie príslušného OP. Materiál slúži ako podklad pre efektívne riadenie OP z centrálnej úrovne, prostredníctvom ktorého je možné eliminovať včasne identifikované problémy, ktoré by mohli mať negatívny dopad na plnenie finančných a vecných cieľov OP. </w:t>
      </w:r>
    </w:p>
    <w:p w14:paraId="22481992" w14:textId="77777777" w:rsidR="00B650E5" w:rsidRDefault="00B650E5">
      <w:pPr>
        <w:pStyle w:val="Odsekzoznamu"/>
        <w:numPr>
          <w:ilvl w:val="0"/>
          <w:numId w:val="186"/>
        </w:numPr>
        <w:spacing w:before="120" w:after="120"/>
        <w:ind w:left="425" w:hanging="425"/>
        <w:contextualSpacing w:val="0"/>
        <w:jc w:val="both"/>
      </w:pPr>
      <w:r>
        <w:t>Informácia o realizovaní OP obsahuje najmä:</w:t>
      </w:r>
    </w:p>
    <w:p w14:paraId="4309BC52"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popis problémov v implementácii, ktoré sa vyskytli za sledované obdobie;</w:t>
      </w:r>
    </w:p>
    <w:p w14:paraId="678A7E29"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prijaté opatrenia na odstránenie problémov/identifikovaných rizík;</w:t>
      </w:r>
    </w:p>
    <w:p w14:paraId="4716EC12"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 xml:space="preserve">uskutočnené stretnutia a závery stretnutí RO a orgánov zapojených do implementácie EŠIF,  relevantných partnerov, zástupcov EK, JASPERS; </w:t>
      </w:r>
    </w:p>
    <w:p w14:paraId="556B4E12" w14:textId="77777777" w:rsidR="00B650E5" w:rsidRDefault="00B650E5">
      <w:pPr>
        <w:numPr>
          <w:ilvl w:val="0"/>
          <w:numId w:val="185"/>
        </w:numPr>
        <w:autoSpaceDE w:val="0"/>
        <w:autoSpaceDN w:val="0"/>
        <w:adjustRightInd w:val="0"/>
        <w:spacing w:before="120" w:after="120"/>
        <w:ind w:left="850" w:hanging="424"/>
        <w:jc w:val="both"/>
        <w:rPr>
          <w:color w:val="000000"/>
          <w:lang w:eastAsia="en-US"/>
        </w:rPr>
      </w:pPr>
      <w:r>
        <w:rPr>
          <w:color w:val="000000"/>
          <w:lang w:eastAsia="en-US"/>
        </w:rPr>
        <w:t>zahájenie, či ukončenie vládnych auditov, auditov EK a EDA.</w:t>
      </w:r>
    </w:p>
    <w:p w14:paraId="109EF916" w14:textId="77777777" w:rsidR="00B650E5" w:rsidRDefault="00B650E5" w:rsidP="0045286B">
      <w:pPr>
        <w:pStyle w:val="SRK4"/>
      </w:pPr>
      <w:bookmarkStart w:id="601" w:name="_Toc391992005"/>
      <w:bookmarkStart w:id="602" w:name="_Toc453234108"/>
      <w:bookmarkStart w:id="603" w:name="_Toc501630156"/>
      <w:r>
        <w:t xml:space="preserve">4.1.2.6 Kalendár </w:t>
      </w:r>
      <w:bookmarkEnd w:id="601"/>
      <w:r>
        <w:t>podujatí</w:t>
      </w:r>
      <w:bookmarkEnd w:id="602"/>
      <w:bookmarkEnd w:id="603"/>
      <w:r>
        <w:t xml:space="preserve"> </w:t>
      </w:r>
    </w:p>
    <w:p w14:paraId="3DC66DBA" w14:textId="77777777" w:rsidR="00B650E5" w:rsidRDefault="00B650E5">
      <w:pPr>
        <w:pStyle w:val="Odsekzoznamu"/>
        <w:numPr>
          <w:ilvl w:val="0"/>
          <w:numId w:val="187"/>
        </w:numPr>
        <w:spacing w:before="120" w:after="120"/>
        <w:ind w:left="426" w:hanging="426"/>
        <w:contextualSpacing w:val="0"/>
        <w:jc w:val="both"/>
      </w:pPr>
      <w:r>
        <w:t>Subjekty zodpovedné za implementáciu OP EŠIF zaznamenávajú v Kalendári podujatí informácie o plánovaných koordinačných stretnutiach medzi subjektmi zodpovednými za implementáciu OP EŠIF na národnej úrovni, resp. so zástupcami EK. Ide napr. o :</w:t>
      </w:r>
    </w:p>
    <w:p w14:paraId="006C3CE9" w14:textId="77777777" w:rsidR="00B650E5"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lastRenderedPageBreak/>
        <w:t>MV a iné výbory,</w:t>
      </w:r>
    </w:p>
    <w:p w14:paraId="53695CEF" w14:textId="77777777" w:rsidR="00226058" w:rsidRDefault="00B650E5">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koordinačné stretnutia</w:t>
      </w:r>
      <w:r w:rsidR="00226058">
        <w:rPr>
          <w:color w:val="000000"/>
          <w:lang w:eastAsia="en-US"/>
        </w:rPr>
        <w:t>,</w:t>
      </w:r>
    </w:p>
    <w:p w14:paraId="0C1F0FB3" w14:textId="77777777" w:rsidR="00226058" w:rsidRDefault="00226058">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štvrťročné monitorovacie stretnutia s EK,</w:t>
      </w:r>
    </w:p>
    <w:p w14:paraId="1EAA00EC" w14:textId="77777777" w:rsidR="00B650E5" w:rsidRDefault="00D23AF3">
      <w:pPr>
        <w:numPr>
          <w:ilvl w:val="0"/>
          <w:numId w:val="188"/>
        </w:numPr>
        <w:autoSpaceDE w:val="0"/>
        <w:autoSpaceDN w:val="0"/>
        <w:adjustRightInd w:val="0"/>
        <w:spacing w:before="120" w:after="120"/>
        <w:ind w:left="850" w:hanging="424"/>
        <w:jc w:val="both"/>
        <w:rPr>
          <w:color w:val="000000"/>
          <w:lang w:eastAsia="en-US"/>
        </w:rPr>
      </w:pPr>
      <w:r>
        <w:rPr>
          <w:color w:val="000000"/>
          <w:lang w:eastAsia="en-US"/>
        </w:rPr>
        <w:t>výročné stretnutia s EK</w:t>
      </w:r>
      <w:r w:rsidR="00B650E5">
        <w:rPr>
          <w:color w:val="000000"/>
          <w:lang w:eastAsia="en-US"/>
        </w:rPr>
        <w:t>.</w:t>
      </w:r>
    </w:p>
    <w:p w14:paraId="7AF22EBB" w14:textId="77777777" w:rsidR="00B650E5" w:rsidRDefault="00B650E5">
      <w:pPr>
        <w:pStyle w:val="SRK3"/>
      </w:pPr>
      <w:bookmarkStart w:id="604" w:name="_Toc453234109"/>
      <w:bookmarkStart w:id="605" w:name="_Toc501630157"/>
      <w:r>
        <w:t>4.1.3  Monitorovanie programov cieľa Európska územná spolupráca</w:t>
      </w:r>
      <w:bookmarkEnd w:id="604"/>
      <w:bookmarkEnd w:id="605"/>
    </w:p>
    <w:p w14:paraId="37F7A356" w14:textId="77777777" w:rsidR="00B650E5" w:rsidRDefault="00B650E5" w:rsidP="0045286B">
      <w:pPr>
        <w:pStyle w:val="SRK4"/>
      </w:pPr>
      <w:bookmarkStart w:id="606" w:name="_Toc453234110"/>
      <w:bookmarkStart w:id="607" w:name="_Toc501630158"/>
      <w:r>
        <w:t>4.1.3.1 Monitorovanie programov cieľa Európska územná spolupráca na úrovni partnerskej dohody</w:t>
      </w:r>
      <w:bookmarkEnd w:id="606"/>
      <w:bookmarkEnd w:id="607"/>
    </w:p>
    <w:p w14:paraId="3241E732"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Programy EÚS, ktorých RO sa nachádza na území SR, v prípade potreby predkladajú CKO podklady do Informácie o stave implementácie EŠIF v zmysle </w:t>
      </w:r>
      <w:hyperlink w:anchor="kapitola_4111_ods_4" w:tooltip="kapitoly 4.1.1.1, ods. 4" w:history="1">
        <w:r>
          <w:rPr>
            <w:rStyle w:val="Hypertextovprepojenie"/>
            <w:lang w:eastAsia="en-US"/>
          </w:rPr>
          <w:t xml:space="preserve">kapitoly 4.1.1.1, ods. </w:t>
        </w:r>
        <w:r w:rsidR="00443541">
          <w:rPr>
            <w:rStyle w:val="Hypertextovprepojenie"/>
            <w:lang w:eastAsia="en-US"/>
          </w:rPr>
          <w:t>3</w:t>
        </w:r>
      </w:hyperlink>
      <w:r>
        <w:t xml:space="preserve">. RO vypracujú záväzný plán OP a predkladajú ho CKO spolu s jeho odpočtom v zmysle </w:t>
      </w:r>
      <w:hyperlink w:anchor="kapitola_4124" w:tooltip="kapitoly 4.1.2.4" w:history="1">
        <w:r>
          <w:rPr>
            <w:rStyle w:val="Hypertextovprepojenie"/>
          </w:rPr>
          <w:t>kapitoly 4.1.2.4</w:t>
        </w:r>
      </w:hyperlink>
      <w:r>
        <w:t>.</w:t>
      </w:r>
    </w:p>
    <w:p w14:paraId="254F318C" w14:textId="77777777" w:rsidR="00B650E5" w:rsidRDefault="00B650E5">
      <w:pPr>
        <w:pStyle w:val="Odsekzoznamu"/>
        <w:numPr>
          <w:ilvl w:val="0"/>
          <w:numId w:val="356"/>
        </w:numPr>
        <w:autoSpaceDE w:val="0"/>
        <w:autoSpaceDN w:val="0"/>
        <w:adjustRightInd w:val="0"/>
        <w:spacing w:before="120" w:after="120"/>
        <w:ind w:left="425" w:hanging="425"/>
        <w:contextualSpacing w:val="0"/>
        <w:jc w:val="both"/>
        <w:rPr>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14:paraId="6A2C8D2A" w14:textId="77777777" w:rsidR="00B650E5" w:rsidRDefault="00B650E5">
      <w:pPr>
        <w:pStyle w:val="Odsekzoznamu"/>
        <w:numPr>
          <w:ilvl w:val="0"/>
          <w:numId w:val="356"/>
        </w:numPr>
        <w:autoSpaceDE w:val="0"/>
        <w:autoSpaceDN w:val="0"/>
        <w:adjustRightInd w:val="0"/>
        <w:spacing w:before="120" w:after="120"/>
        <w:ind w:left="426" w:hanging="426"/>
        <w:jc w:val="both"/>
        <w:rPr>
          <w:color w:val="000000"/>
          <w:lang w:eastAsia="en-US"/>
        </w:rPr>
      </w:pPr>
      <w:r>
        <w:t xml:space="preserve">RO/národné orgány/kontaktné body programov EÚS zašlú výročnú/záverečnú správu o vykonávaní programu na vedomie CKO.   </w:t>
      </w:r>
    </w:p>
    <w:p w14:paraId="4A308522" w14:textId="77777777" w:rsidR="00B650E5" w:rsidRDefault="00B650E5">
      <w:pPr>
        <w:pStyle w:val="Odsekzoznamu"/>
        <w:rPr>
          <w:color w:val="000000"/>
          <w:lang w:eastAsia="en-US"/>
        </w:rPr>
      </w:pPr>
    </w:p>
    <w:p w14:paraId="42705360" w14:textId="77777777" w:rsidR="00B650E5" w:rsidRDefault="00B650E5" w:rsidP="0045286B">
      <w:pPr>
        <w:pStyle w:val="SRK4"/>
      </w:pPr>
      <w:bookmarkStart w:id="608" w:name="_Toc453234111"/>
      <w:bookmarkStart w:id="609" w:name="_Toc501630159"/>
      <w:r>
        <w:t>4.1.3.2 Monitorovanie programov Európska územná spolupráca na úrovni programu</w:t>
      </w:r>
      <w:bookmarkEnd w:id="608"/>
      <w:bookmarkEnd w:id="609"/>
      <w:r>
        <w:t xml:space="preserve">  </w:t>
      </w:r>
    </w:p>
    <w:p w14:paraId="6A3B6489" w14:textId="77777777" w:rsidR="00B650E5" w:rsidRDefault="00B650E5" w:rsidP="00DE5D89">
      <w:pPr>
        <w:pStyle w:val="Odsekzoznamu"/>
        <w:numPr>
          <w:ilvl w:val="0"/>
          <w:numId w:val="357"/>
        </w:numPr>
        <w:autoSpaceDE w:val="0"/>
        <w:autoSpaceDN w:val="0"/>
        <w:adjustRightInd w:val="0"/>
        <w:spacing w:before="120" w:after="120"/>
        <w:ind w:left="426" w:hanging="426"/>
        <w:jc w:val="both"/>
        <w:rPr>
          <w:color w:val="000000"/>
          <w:lang w:eastAsia="en-US"/>
        </w:rPr>
      </w:pPr>
      <w:r>
        <w:t xml:space="preserve">Monitorovanie jednotlivých programov EÚS sa riadi pravidlami v zmysle </w:t>
      </w:r>
      <w:hyperlink w:anchor="kapitola_37" w:tooltip="kapitoly 3.7" w:history="1">
        <w:r>
          <w:rPr>
            <w:rStyle w:val="Hypertextovprepojenie"/>
          </w:rPr>
          <w:t>kapitoly 3.7</w:t>
        </w:r>
      </w:hyperlink>
      <w:r>
        <w:t>.</w:t>
      </w:r>
    </w:p>
    <w:p w14:paraId="038CD3BC" w14:textId="77777777" w:rsidR="00B650E5" w:rsidRDefault="00B650E5">
      <w:pPr>
        <w:pStyle w:val="SRK2"/>
      </w:pPr>
      <w:bookmarkStart w:id="610" w:name="_Toc390099903"/>
      <w:bookmarkStart w:id="611" w:name="_Toc391992006"/>
      <w:bookmarkStart w:id="612" w:name="_Toc453234112"/>
      <w:bookmarkStart w:id="613" w:name="_Toc501630160"/>
      <w:bookmarkStart w:id="614" w:name="_Toc390187685"/>
      <w:r>
        <w:t>4.2 Hodnotenie EŠIF, OP</w:t>
      </w:r>
      <w:bookmarkEnd w:id="610"/>
      <w:bookmarkEnd w:id="611"/>
      <w:bookmarkEnd w:id="612"/>
      <w:bookmarkEnd w:id="613"/>
      <w:r>
        <w:t xml:space="preserve"> </w:t>
      </w:r>
    </w:p>
    <w:p w14:paraId="4CA37F5B"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37599868"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22 (4),52, 54, 55, 56, 57 a čl. 114 všeobecného nariadenia</w:t>
      </w:r>
    </w:p>
    <w:p w14:paraId="0338992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19 (6) nariadenia o ESF</w:t>
      </w:r>
    </w:p>
    <w:p w14:paraId="2D588965"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čl. 16 delegovaného nariadenia Komisie (EÚ) č. 240/2014</w:t>
      </w:r>
    </w:p>
    <w:p w14:paraId="389BB6D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xml:space="preserve">čl. 115-118 nariadenia o ENRF </w:t>
      </w:r>
    </w:p>
    <w:p w14:paraId="48C15993"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3C963A96"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i/>
        </w:rPr>
      </w:pPr>
      <w:r>
        <w:rPr>
          <w:i/>
        </w:rPr>
        <w:t>§ 6 ods. 2, písm. f, § 7 zákona o príspevku z EŠIF</w:t>
      </w:r>
    </w:p>
    <w:p w14:paraId="6A5272B1" w14:textId="77777777" w:rsidR="00B650E5" w:rsidRDefault="00B650E5">
      <w:pPr>
        <w:pStyle w:val="SRK3"/>
      </w:pPr>
      <w:bookmarkStart w:id="615" w:name="_Toc390099904"/>
      <w:bookmarkStart w:id="616" w:name="_Toc391992007"/>
      <w:bookmarkStart w:id="617" w:name="_Toc453234113"/>
      <w:bookmarkStart w:id="618" w:name="_Toc501630161"/>
      <w:r>
        <w:t>4.2.1 Všeobecná časť</w:t>
      </w:r>
      <w:bookmarkEnd w:id="615"/>
      <w:bookmarkEnd w:id="616"/>
      <w:bookmarkEnd w:id="617"/>
      <w:bookmarkEnd w:id="618"/>
    </w:p>
    <w:p w14:paraId="7806E735" w14:textId="77777777" w:rsidR="00B650E5" w:rsidRDefault="00B650E5">
      <w:pPr>
        <w:numPr>
          <w:ilvl w:val="0"/>
          <w:numId w:val="207"/>
        </w:numPr>
        <w:autoSpaceDE w:val="0"/>
        <w:autoSpaceDN w:val="0"/>
        <w:adjustRightInd w:val="0"/>
        <w:spacing w:before="120" w:after="120"/>
        <w:ind w:left="425" w:hanging="425"/>
        <w:jc w:val="both"/>
      </w:pPr>
      <w:r>
        <w:t>Hodnotenie sa vykonáva podľa článku 54 až 57 a článku 114 všeobecného nariadenia.</w:t>
      </w:r>
    </w:p>
    <w:p w14:paraId="3BE0E692" w14:textId="77777777" w:rsidR="00B650E5" w:rsidRDefault="00B650E5">
      <w:pPr>
        <w:numPr>
          <w:ilvl w:val="0"/>
          <w:numId w:val="207"/>
        </w:numPr>
        <w:autoSpaceDE w:val="0"/>
        <w:autoSpaceDN w:val="0"/>
        <w:adjustRightInd w:val="0"/>
        <w:spacing w:before="120" w:after="120"/>
        <w:ind w:left="425" w:hanging="425"/>
        <w:jc w:val="both"/>
        <w:rPr>
          <w:b/>
          <w:bCs/>
          <w:i/>
          <w:iCs/>
          <w:color w:val="000000"/>
        </w:rPr>
      </w:pPr>
      <w:r>
        <w:rPr>
          <w:color w:val="000000"/>
        </w:rPr>
        <w:t>Hodnotenie je kvalitatívnym nástrojom riadenia a prostriedkom prispievajúcim k zvýšeniu kvality, efektívnosti a účinnosti implementácie EŠIF  a naplneniu ich cieľov,  posilneniu  politiky súdržnosti,  spoločnej poľnohospodárskej politiky a integrovanej námornej politiky EÚ.</w:t>
      </w:r>
    </w:p>
    <w:p w14:paraId="3DFA54DE" w14:textId="77777777" w:rsidR="00B650E5" w:rsidRDefault="00B650E5">
      <w:pPr>
        <w:numPr>
          <w:ilvl w:val="0"/>
          <w:numId w:val="207"/>
        </w:numPr>
        <w:autoSpaceDE w:val="0"/>
        <w:autoSpaceDN w:val="0"/>
        <w:adjustRightInd w:val="0"/>
        <w:spacing w:before="120" w:after="120"/>
        <w:ind w:left="425" w:hanging="425"/>
        <w:jc w:val="both"/>
      </w:pPr>
      <w:r>
        <w:t>Účelom hodnotenia je zhodnotiť dopady EŠIF na dosahovanie cieľov stratégie Európa 2020 najmä v súvislosti s národnými prioritami a prioritami EÚ.</w:t>
      </w:r>
    </w:p>
    <w:p w14:paraId="47969CB8" w14:textId="77777777" w:rsidR="00B650E5" w:rsidRDefault="00B650E5">
      <w:pPr>
        <w:numPr>
          <w:ilvl w:val="0"/>
          <w:numId w:val="207"/>
        </w:numPr>
        <w:autoSpaceDE w:val="0"/>
        <w:autoSpaceDN w:val="0"/>
        <w:adjustRightInd w:val="0"/>
        <w:spacing w:before="120" w:after="120"/>
        <w:ind w:left="425" w:hanging="425"/>
        <w:jc w:val="both"/>
      </w:pPr>
      <w:r>
        <w:lastRenderedPageBreak/>
        <w:t>Hlavným cieľom hodnotenia je zlepšiť kvalitu  programovania a implementácie EŠIF,  ako aj zhodnotiť ich relevantnosť, efektívnosť, účinnosť a dopad.</w:t>
      </w:r>
    </w:p>
    <w:p w14:paraId="78071109" w14:textId="77777777" w:rsidR="00B650E5" w:rsidRDefault="00B650E5">
      <w:pPr>
        <w:numPr>
          <w:ilvl w:val="0"/>
          <w:numId w:val="207"/>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14:paraId="42259070" w14:textId="77777777" w:rsidR="00B650E5" w:rsidRDefault="00B650E5">
      <w:pPr>
        <w:numPr>
          <w:ilvl w:val="0"/>
          <w:numId w:val="207"/>
        </w:numPr>
        <w:autoSpaceDE w:val="0"/>
        <w:autoSpaceDN w:val="0"/>
        <w:adjustRightInd w:val="0"/>
        <w:spacing w:before="120" w:after="120"/>
        <w:ind w:left="425" w:hanging="425"/>
        <w:jc w:val="both"/>
      </w:pPr>
      <w:r>
        <w:t xml:space="preserve">Základnými zdrojmi údajov pre vykonanie hodnotenia sú: </w:t>
      </w:r>
    </w:p>
    <w:p w14:paraId="3622F06E"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údaje z ITMS 2014+; </w:t>
      </w:r>
    </w:p>
    <w:p w14:paraId="756E7A55"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14:paraId="2A580EEF"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 xml:space="preserve">správy o vykonávaní OP; </w:t>
      </w:r>
    </w:p>
    <w:p w14:paraId="0F41AAA3"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14:paraId="653BF173"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ad hoc prieskumy;</w:t>
      </w:r>
    </w:p>
    <w:p w14:paraId="47AAB87F" w14:textId="77777777" w:rsidR="00B650E5" w:rsidRDefault="00B650E5">
      <w:pPr>
        <w:pStyle w:val="Odsekzoznamu"/>
        <w:numPr>
          <w:ilvl w:val="0"/>
          <w:numId w:val="263"/>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14:paraId="7B74B34E" w14:textId="77777777" w:rsidR="00B650E5" w:rsidRDefault="00B650E5">
      <w:pPr>
        <w:numPr>
          <w:ilvl w:val="0"/>
          <w:numId w:val="207"/>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14:paraId="470FA901" w14:textId="77777777" w:rsidR="00B650E5" w:rsidRDefault="00B650E5">
      <w:pPr>
        <w:spacing w:before="120" w:after="120"/>
        <w:jc w:val="center"/>
      </w:pPr>
    </w:p>
    <w:p w14:paraId="3ED353F8" w14:textId="77777777" w:rsidR="00B650E5" w:rsidRDefault="00B650E5">
      <w:pPr>
        <w:spacing w:before="120" w:after="120"/>
        <w:jc w:val="center"/>
      </w:pPr>
    </w:p>
    <w:p w14:paraId="4C492B4F" w14:textId="77777777" w:rsidR="00B650E5" w:rsidRDefault="00B650E5">
      <w:pPr>
        <w:spacing w:before="120" w:after="120"/>
        <w:jc w:val="center"/>
      </w:pPr>
    </w:p>
    <w:p w14:paraId="2E0F43DA" w14:textId="77777777" w:rsidR="00B650E5" w:rsidRDefault="00B650E5">
      <w:pPr>
        <w:spacing w:before="120" w:after="120"/>
        <w:jc w:val="center"/>
      </w:pPr>
    </w:p>
    <w:p w14:paraId="1AAAC6FB" w14:textId="77777777" w:rsidR="00B650E5" w:rsidRDefault="00B650E5">
      <w:pPr>
        <w:spacing w:before="120" w:after="120"/>
        <w:jc w:val="center"/>
      </w:pPr>
    </w:p>
    <w:p w14:paraId="24A05B49" w14:textId="77777777" w:rsidR="00B650E5" w:rsidRDefault="00B650E5">
      <w:pPr>
        <w:spacing w:before="120" w:after="120"/>
        <w:jc w:val="center"/>
      </w:pPr>
    </w:p>
    <w:p w14:paraId="36DAB9AA" w14:textId="77777777" w:rsidR="008430F2" w:rsidRDefault="008430F2">
      <w:pPr>
        <w:spacing w:before="120" w:after="120"/>
        <w:jc w:val="center"/>
      </w:pPr>
    </w:p>
    <w:p w14:paraId="001186CE" w14:textId="77777777" w:rsidR="008430F2" w:rsidRDefault="008430F2">
      <w:pPr>
        <w:spacing w:before="120" w:after="120"/>
        <w:jc w:val="center"/>
      </w:pPr>
    </w:p>
    <w:p w14:paraId="3B6D2A5C" w14:textId="77777777" w:rsidR="008430F2" w:rsidRDefault="008430F2">
      <w:pPr>
        <w:spacing w:before="120" w:after="120"/>
        <w:jc w:val="center"/>
      </w:pPr>
    </w:p>
    <w:p w14:paraId="65FED4A0" w14:textId="77777777" w:rsidR="008430F2" w:rsidRDefault="008430F2">
      <w:pPr>
        <w:spacing w:before="120" w:after="120"/>
        <w:jc w:val="center"/>
      </w:pPr>
    </w:p>
    <w:p w14:paraId="7C2FF75B" w14:textId="77777777" w:rsidR="008430F2" w:rsidRDefault="008430F2">
      <w:pPr>
        <w:spacing w:before="120" w:after="120"/>
        <w:jc w:val="center"/>
      </w:pPr>
    </w:p>
    <w:p w14:paraId="57315A37" w14:textId="77777777" w:rsidR="008430F2" w:rsidRDefault="008430F2">
      <w:pPr>
        <w:spacing w:before="120" w:after="120"/>
        <w:jc w:val="center"/>
      </w:pPr>
    </w:p>
    <w:p w14:paraId="1B5EC913" w14:textId="77777777" w:rsidR="008430F2" w:rsidRDefault="008430F2">
      <w:pPr>
        <w:spacing w:before="120" w:after="120"/>
        <w:jc w:val="center"/>
      </w:pPr>
    </w:p>
    <w:p w14:paraId="1E549042" w14:textId="77777777" w:rsidR="008430F2" w:rsidRDefault="008430F2">
      <w:pPr>
        <w:spacing w:before="120" w:after="120"/>
        <w:jc w:val="center"/>
      </w:pPr>
    </w:p>
    <w:p w14:paraId="2D2EE9DA" w14:textId="77777777" w:rsidR="008430F2" w:rsidRDefault="008430F2">
      <w:pPr>
        <w:spacing w:before="120" w:after="120"/>
        <w:jc w:val="center"/>
      </w:pPr>
    </w:p>
    <w:p w14:paraId="7BCE1AAC" w14:textId="77777777" w:rsidR="00B650E5" w:rsidRDefault="00B650E5">
      <w:pPr>
        <w:spacing w:before="120" w:after="120"/>
        <w:jc w:val="center"/>
      </w:pPr>
      <w:r>
        <w:t>Schéma č. 1</w:t>
      </w:r>
    </w:p>
    <w:p w14:paraId="2CE22774" w14:textId="77777777" w:rsidR="00B650E5" w:rsidRDefault="0053588C">
      <w:pPr>
        <w:spacing w:before="120" w:after="120"/>
        <w:jc w:val="center"/>
      </w:pPr>
      <w:r>
        <w:rPr>
          <w:noProof/>
        </w:rPr>
        <w:lastRenderedPageBreak/>
        <w:drawing>
          <wp:inline distT="0" distB="0" distL="0" distR="0" wp14:anchorId="1635D5B8" wp14:editId="2A54B64F">
            <wp:extent cx="4545965" cy="3157220"/>
            <wp:effectExtent l="19050" t="19050" r="26035" b="24130"/>
            <wp:docPr id="21" name="Obrázok 1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142"/>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0" y="0"/>
                      <a:ext cx="4545965" cy="3157220"/>
                    </a:xfrm>
                    <a:prstGeom prst="rect">
                      <a:avLst/>
                    </a:prstGeom>
                    <a:noFill/>
                    <a:ln w="9525" cmpd="sng">
                      <a:solidFill>
                        <a:srgbClr val="000000"/>
                      </a:solidFill>
                      <a:miter lim="800000"/>
                      <a:headEnd/>
                      <a:tailEnd/>
                    </a:ln>
                    <a:effectLst/>
                  </pic:spPr>
                </pic:pic>
              </a:graphicData>
            </a:graphic>
          </wp:inline>
        </w:drawing>
      </w:r>
    </w:p>
    <w:p w14:paraId="7B10676D" w14:textId="77777777" w:rsidR="00B650E5" w:rsidRDefault="00B650E5">
      <w:pPr>
        <w:spacing w:before="120" w:after="120"/>
        <w:jc w:val="center"/>
      </w:pPr>
    </w:p>
    <w:p w14:paraId="3F5CBC14" w14:textId="77777777" w:rsidR="00B650E5" w:rsidRDefault="00B650E5">
      <w:pPr>
        <w:spacing w:before="120" w:after="120"/>
        <w:jc w:val="center"/>
      </w:pPr>
      <w:r>
        <w:t>Schéma č. 2</w:t>
      </w:r>
    </w:p>
    <w:p w14:paraId="63A8324A" w14:textId="77777777" w:rsidR="00B650E5" w:rsidRDefault="0053588C">
      <w:pPr>
        <w:spacing w:before="120" w:after="120"/>
        <w:jc w:val="center"/>
      </w:pPr>
      <w:r>
        <w:rPr>
          <w:b/>
          <w:noProof/>
          <w:sz w:val="20"/>
          <w:szCs w:val="20"/>
        </w:rPr>
        <w:drawing>
          <wp:inline distT="0" distB="0" distL="0" distR="0" wp14:anchorId="0EE2AC99" wp14:editId="29043064">
            <wp:extent cx="4287520" cy="2880995"/>
            <wp:effectExtent l="19050" t="19050" r="17780" b="14605"/>
            <wp:docPr id="22" name="Picture 3">
              <a:hlinkClick xmlns:a="http://schemas.openxmlformats.org/drawingml/2006/main" r:id=""/>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a:hlinkClick r:id=""/>
                    </pic:cNvPr>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4287520" cy="2880995"/>
                    </a:xfrm>
                    <a:prstGeom prst="rect">
                      <a:avLst/>
                    </a:prstGeom>
                    <a:noFill/>
                    <a:ln w="9525" cmpd="sng">
                      <a:solidFill>
                        <a:srgbClr val="000000"/>
                      </a:solidFill>
                      <a:miter lim="800000"/>
                      <a:headEnd/>
                      <a:tailEnd/>
                    </a:ln>
                    <a:effectLst/>
                  </pic:spPr>
                </pic:pic>
              </a:graphicData>
            </a:graphic>
          </wp:inline>
        </w:drawing>
      </w:r>
    </w:p>
    <w:p w14:paraId="469E37B8" w14:textId="77777777" w:rsidR="00B650E5" w:rsidRDefault="00B650E5">
      <w:pPr>
        <w:numPr>
          <w:ilvl w:val="0"/>
          <w:numId w:val="207"/>
        </w:numPr>
        <w:autoSpaceDE w:val="0"/>
        <w:autoSpaceDN w:val="0"/>
        <w:adjustRightInd w:val="0"/>
        <w:spacing w:before="120" w:after="120"/>
        <w:ind w:left="426" w:hanging="426"/>
        <w:jc w:val="both"/>
      </w:pPr>
      <w:r>
        <w:t xml:space="preserve">Hodnotenie sa vykonáva ako predbežné (ex ante) hodnotenie, priebežné (on going) hodnotenie a následné (ex post) hodnotenie. </w:t>
      </w:r>
    </w:p>
    <w:p w14:paraId="3ECC6AD5" w14:textId="77777777" w:rsidR="00B650E5" w:rsidRDefault="00B650E5">
      <w:pPr>
        <w:numPr>
          <w:ilvl w:val="0"/>
          <w:numId w:val="207"/>
        </w:numPr>
        <w:autoSpaceDE w:val="0"/>
        <w:autoSpaceDN w:val="0"/>
        <w:adjustRightInd w:val="0"/>
        <w:spacing w:before="120" w:after="120"/>
        <w:ind w:left="426" w:hanging="426"/>
        <w:jc w:val="both"/>
      </w:pPr>
      <w:r>
        <w:t xml:space="preserve">Ex ante hodnotenie je neoddeliteľnou súčasťou procesu prípravy strategických dokumentov pre politiku súdržnosti v programovom období 2014 – 2020, ktorého závery a relevantné odporúčania sú zapracované do PD a OP. </w:t>
      </w:r>
    </w:p>
    <w:p w14:paraId="432B30D1" w14:textId="77777777" w:rsidR="00B650E5" w:rsidRDefault="00B650E5">
      <w:pPr>
        <w:numPr>
          <w:ilvl w:val="0"/>
          <w:numId w:val="207"/>
        </w:numPr>
        <w:autoSpaceDE w:val="0"/>
        <w:autoSpaceDN w:val="0"/>
        <w:adjustRightInd w:val="0"/>
        <w:spacing w:before="120" w:after="120"/>
        <w:ind w:left="426" w:hanging="426"/>
        <w:jc w:val="both"/>
      </w:pPr>
      <w:r>
        <w:t>Cieľom  ex  ante  hodnotenia  je  v súlade  s čl. 55  všeobecného  nariadenia  zlepšiť  kvalitu  prípravy a implementácie  strategických  dokumentov, ako aj zhodnotiť ich účinnosť a dopad  a zároveň posúdiť stratégiu OP, merateľné ukazovatele, systém monitorovania a hodnotenia, konzistenciu finančných alokácií, príspevok k stratégii Európa 2020.</w:t>
      </w:r>
    </w:p>
    <w:p w14:paraId="6AFC87AF" w14:textId="77777777" w:rsidR="00B650E5" w:rsidRDefault="00B650E5" w:rsidP="008363F7">
      <w:pPr>
        <w:numPr>
          <w:ilvl w:val="0"/>
          <w:numId w:val="207"/>
        </w:numPr>
        <w:autoSpaceDE w:val="0"/>
        <w:autoSpaceDN w:val="0"/>
        <w:adjustRightInd w:val="0"/>
        <w:spacing w:before="120" w:after="120"/>
        <w:jc w:val="both"/>
      </w:pPr>
      <w:r w:rsidRPr="008363F7">
        <w:lastRenderedPageBreak/>
        <w:t>Priebežné hodnotenie sa realizuje podľa plánu hodnotení na programové obdobie 2014 - 2020 vytvoreného v súlade s čl. 56 a čl. 114 všeobecného nariadenia</w:t>
      </w:r>
      <w:r>
        <w:t>.</w:t>
      </w:r>
    </w:p>
    <w:p w14:paraId="74EE2288" w14:textId="77777777" w:rsidR="00B650E5" w:rsidRDefault="00B650E5">
      <w:pPr>
        <w:numPr>
          <w:ilvl w:val="0"/>
          <w:numId w:val="207"/>
        </w:numPr>
        <w:autoSpaceDE w:val="0"/>
        <w:autoSpaceDN w:val="0"/>
        <w:adjustRightInd w:val="0"/>
        <w:spacing w:before="120" w:after="120"/>
        <w:ind w:left="426" w:hanging="426"/>
        <w:jc w:val="both"/>
      </w:pPr>
      <w:bookmarkStart w:id="619" w:name="kapitola_421_ods_12"/>
      <w:bookmarkEnd w:id="619"/>
      <w:r>
        <w:t>Plán hodnotení je rozdelený do 3 častí:</w:t>
      </w:r>
    </w:p>
    <w:p w14:paraId="6EAFB337" w14:textId="77777777" w:rsidR="00B650E5" w:rsidRDefault="00B650E5">
      <w:pPr>
        <w:numPr>
          <w:ilvl w:val="0"/>
          <w:numId w:val="264"/>
        </w:numPr>
        <w:spacing w:before="120" w:after="120"/>
        <w:ind w:left="851" w:hanging="425"/>
      </w:pPr>
      <w:r>
        <w:t xml:space="preserve">ciele, rozsah, koordinácia; </w:t>
      </w:r>
    </w:p>
    <w:p w14:paraId="657B2FE7" w14:textId="77777777" w:rsidR="00B650E5" w:rsidRDefault="00B650E5">
      <w:pPr>
        <w:numPr>
          <w:ilvl w:val="0"/>
          <w:numId w:val="264"/>
        </w:numPr>
        <w:spacing w:before="120" w:after="120"/>
        <w:ind w:left="851" w:hanging="425"/>
        <w:jc w:val="both"/>
      </w:pPr>
      <w:r>
        <w:t xml:space="preserve">rámec hodnotenia – definovaná zodpovednosť za zostavenie plánu hodnotení, za koordináciu, monitorovanie a kvalitu hodnotení v priebehu celého hodnotiaceho cyklu; partneri, experti, možnosti vzdelávania, využitie hodnotení a informovanosť a publicita; </w:t>
      </w:r>
    </w:p>
    <w:p w14:paraId="41E9928D" w14:textId="77777777" w:rsidR="00B650E5" w:rsidRDefault="00B650E5">
      <w:pPr>
        <w:numPr>
          <w:ilvl w:val="0"/>
          <w:numId w:val="264"/>
        </w:numPr>
        <w:spacing w:before="120" w:after="120"/>
        <w:ind w:left="851" w:hanging="425"/>
        <w:jc w:val="both"/>
      </w:pPr>
      <w:r>
        <w:t>indikatívny zoznam hodnotení, ktorý obsahuje najmä:</w:t>
      </w:r>
    </w:p>
    <w:p w14:paraId="38A7F8B3" w14:textId="77777777" w:rsidR="00B650E5" w:rsidRDefault="00B650E5">
      <w:pPr>
        <w:pStyle w:val="Odsekzoznamu"/>
        <w:numPr>
          <w:ilvl w:val="0"/>
          <w:numId w:val="368"/>
        </w:numPr>
        <w:spacing w:before="120" w:after="120"/>
        <w:ind w:left="1276" w:hanging="425"/>
        <w:contextualSpacing w:val="0"/>
        <w:jc w:val="both"/>
      </w:pPr>
      <w:r>
        <w:t xml:space="preserve">predmet a zdôvodnenie, </w:t>
      </w:r>
    </w:p>
    <w:p w14:paraId="1EFCBDD3" w14:textId="77777777" w:rsidR="00B650E5" w:rsidRDefault="00B650E5">
      <w:pPr>
        <w:pStyle w:val="Odsekzoznamu"/>
        <w:numPr>
          <w:ilvl w:val="0"/>
          <w:numId w:val="368"/>
        </w:numPr>
        <w:spacing w:before="120" w:after="120"/>
        <w:ind w:left="1276" w:hanging="425"/>
        <w:contextualSpacing w:val="0"/>
        <w:jc w:val="both"/>
      </w:pPr>
      <w:r>
        <w:t>predpokladané metódy, ktoré sa použijú pre jednotlivé hodnotenia, a ich požiadavky na zber potrebných údajov,</w:t>
      </w:r>
    </w:p>
    <w:p w14:paraId="610B167A" w14:textId="77777777" w:rsidR="00B650E5" w:rsidRDefault="00B650E5">
      <w:pPr>
        <w:pStyle w:val="Odsekzoznamu"/>
        <w:numPr>
          <w:ilvl w:val="0"/>
          <w:numId w:val="368"/>
        </w:numPr>
        <w:spacing w:before="120" w:after="120"/>
        <w:ind w:left="1276" w:hanging="425"/>
        <w:contextualSpacing w:val="0"/>
        <w:jc w:val="both"/>
      </w:pPr>
      <w:r>
        <w:t xml:space="preserve">indikatívny časový harmonogram, </w:t>
      </w:r>
    </w:p>
    <w:p w14:paraId="016A2376" w14:textId="77777777" w:rsidR="00B650E5" w:rsidRDefault="00B650E5">
      <w:pPr>
        <w:pStyle w:val="Odsekzoznamu"/>
        <w:numPr>
          <w:ilvl w:val="0"/>
          <w:numId w:val="368"/>
        </w:numPr>
        <w:spacing w:before="120" w:after="120"/>
        <w:ind w:left="1276" w:hanging="425"/>
        <w:contextualSpacing w:val="0"/>
        <w:jc w:val="both"/>
      </w:pPr>
      <w:r>
        <w:t>indikatívny rozpočet pre vykonanie jednotlivých hodnotení</w:t>
      </w:r>
    </w:p>
    <w:p w14:paraId="5FDF10E0" w14:textId="77777777" w:rsidR="00B650E5" w:rsidRDefault="00B650E5">
      <w:pPr>
        <w:numPr>
          <w:ilvl w:val="0"/>
          <w:numId w:val="207"/>
        </w:numPr>
        <w:autoSpaceDE w:val="0"/>
        <w:autoSpaceDN w:val="0"/>
        <w:adjustRightInd w:val="0"/>
        <w:spacing w:before="120" w:after="120"/>
        <w:ind w:left="425" w:hanging="425"/>
        <w:jc w:val="both"/>
      </w:pPr>
      <w:r>
        <w:t xml:space="preserve">Priebežné hodnotenie sa vykoná v priebehu programového obdobia ako hodnotenie zamerané na implementáciu; hodnotenie relevantnosti, efektívnosti a  účinnosti každého OP/HP alebo hodnotenie dopadov. Priebežné hodnotenie sa vykoná internou, externou alebo kombinovanou formou, čo sa uvedie aj v pláne hodnotení. </w:t>
      </w:r>
    </w:p>
    <w:p w14:paraId="0B974542" w14:textId="77777777" w:rsidR="00B650E5" w:rsidRDefault="00B650E5">
      <w:pPr>
        <w:numPr>
          <w:ilvl w:val="0"/>
          <w:numId w:val="207"/>
        </w:numPr>
        <w:autoSpaceDE w:val="0"/>
        <w:autoSpaceDN w:val="0"/>
        <w:adjustRightInd w:val="0"/>
        <w:spacing w:before="120" w:after="120"/>
        <w:ind w:left="425" w:hanging="425"/>
        <w:jc w:val="both"/>
      </w:pPr>
      <w:r>
        <w:t xml:space="preserve">Následné/ex post hodnotenie vykoná EK v spolupráci so SR po skončení programového obdobia 2014 – 2020, najneskôr do  31.12.2024. </w:t>
      </w:r>
    </w:p>
    <w:p w14:paraId="4548B8C9" w14:textId="77777777" w:rsidR="00B650E5" w:rsidRDefault="00B650E5">
      <w:pPr>
        <w:numPr>
          <w:ilvl w:val="0"/>
          <w:numId w:val="207"/>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Interné hodnotenie OP/HP vykonávajú zamestnanci RO, zamestnanci gestora HP alebo zamestnanci iného útvaru ÚPPVII/ministerstva,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 implementáciu EŠIF. Hodnotenie OP/HP je možné vykonávať aj kombinovanou formou, pričom hodnotenie vykonávajú zamestnanci RO, zamestnanci gestora HP alebo zamestnanci iného útvaru ÚPPVII/ministerstva, v organizačnej pôsobnosti ktorého je RO/gestor HP s využitím externej odbornej podpory.</w:t>
      </w:r>
    </w:p>
    <w:p w14:paraId="11E5DF9F" w14:textId="77777777" w:rsidR="00B650E5" w:rsidRDefault="00B650E5">
      <w:pPr>
        <w:numPr>
          <w:ilvl w:val="0"/>
          <w:numId w:val="207"/>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14:paraId="3AC0A01E" w14:textId="77777777" w:rsidR="00B650E5" w:rsidRDefault="00B650E5">
      <w:pPr>
        <w:numPr>
          <w:ilvl w:val="0"/>
          <w:numId w:val="207"/>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14:paraId="0ACB7213" w14:textId="77777777" w:rsidR="00B650E5" w:rsidRDefault="00B650E5">
      <w:pPr>
        <w:numPr>
          <w:ilvl w:val="0"/>
          <w:numId w:val="207"/>
        </w:numPr>
        <w:autoSpaceDE w:val="0"/>
        <w:autoSpaceDN w:val="0"/>
        <w:spacing w:before="120" w:after="120"/>
        <w:ind w:left="425" w:hanging="425"/>
        <w:jc w:val="both"/>
      </w:pPr>
      <w:r>
        <w:t xml:space="preserve">Predmetom hodnotenia dopadu je hodnotenie podpory z EŠIF v nadväznosti na plnenie cieľov EÚ na zabezpečenie inteligentného, udržateľného a inkluzívneho rastu a zvýšenie zamestnanosti, produktivity a sociálnej súdržnosti s národnými prioritami; zhodnotenie dopadov realizácie OP v hospodárskej oblasti, sociálnej oblasti, regionálnej oblasti a environmentálnej oblasti. Pri vykonávaní hodnotení dopadov sa posudzujú strategické aspekty, napr. ako prispela  politika súdržnosti k dosiahnutiu cieľov stratégie Európa 2020; makroekonomický dopad pomoci z EŠIF. Hodnotenia dopadov môžu byť zamerané na špecifické témy, ktoré sú strategicky dôležité pre </w:t>
      </w:r>
      <w:r>
        <w:lastRenderedPageBreak/>
        <w:t xml:space="preserve">dosiahnutie cieľov OP (napr. inovácie,  inteligentná špecializácia,  zamestnávanie mladých a pod.) alebo na HP. </w:t>
      </w:r>
    </w:p>
    <w:p w14:paraId="39E3E7D8" w14:textId="77777777" w:rsidR="00B650E5" w:rsidRDefault="00B650E5">
      <w:pPr>
        <w:numPr>
          <w:ilvl w:val="0"/>
          <w:numId w:val="207"/>
        </w:numPr>
        <w:spacing w:before="120" w:after="120"/>
        <w:ind w:left="425" w:hanging="425"/>
        <w:jc w:val="both"/>
      </w:pPr>
      <w:r>
        <w:t xml:space="preserve">Hodnotenie dopadu vyžaduje údaje aj z iných zdrojov, ako sú  monitorovacie systémy (napr. sociálne zabezpečenie, záznamy v nezamestnanosti alebo daňovej evidencie). V súlade s platnou legislatívou sa pri plánovaní takýchto hodnotení zohľadňuje  ochrana údajov, osobitne ochrana osobných údajov. </w:t>
      </w:r>
    </w:p>
    <w:p w14:paraId="774211FF" w14:textId="77777777" w:rsidR="00B650E5" w:rsidRDefault="00B650E5">
      <w:pPr>
        <w:numPr>
          <w:ilvl w:val="0"/>
          <w:numId w:val="207"/>
        </w:numPr>
        <w:spacing w:before="120" w:after="120"/>
        <w:ind w:left="425" w:hanging="425"/>
        <w:jc w:val="both"/>
      </w:pPr>
      <w:r>
        <w:t>Zhodnotenie príspevku OP k plneniu stanovených cieľov, a to na úrovni každej PO prostredníctvom hodnotenia dopadov, sa vykoná minimálne raz za programové obdobie.</w:t>
      </w:r>
    </w:p>
    <w:p w14:paraId="3CB95D3F" w14:textId="77777777" w:rsidR="00B650E5" w:rsidRDefault="00B650E5">
      <w:pPr>
        <w:numPr>
          <w:ilvl w:val="0"/>
          <w:numId w:val="207"/>
        </w:numPr>
        <w:autoSpaceDE w:val="0"/>
        <w:autoSpaceDN w:val="0"/>
        <w:spacing w:before="120" w:after="120"/>
        <w:ind w:left="425" w:hanging="425"/>
        <w:jc w:val="both"/>
      </w:pPr>
      <w:r>
        <w:t xml:space="preserve">V súlade s čl. 56 ods. 3 všeobecného nariadenia budú vykonané hodnotenia preskúmané NMV pre EŠIF alebo MV pre OP a zaslané na EK.  </w:t>
      </w:r>
    </w:p>
    <w:p w14:paraId="2E3B0C3C" w14:textId="77777777" w:rsidR="00B650E5" w:rsidRDefault="00B650E5">
      <w:pPr>
        <w:numPr>
          <w:ilvl w:val="0"/>
          <w:numId w:val="207"/>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14:paraId="2A51252D" w14:textId="77777777" w:rsidR="00B650E5" w:rsidRDefault="00B650E5">
      <w:pPr>
        <w:numPr>
          <w:ilvl w:val="0"/>
          <w:numId w:val="207"/>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14:paraId="060BFEDA" w14:textId="77777777" w:rsidR="00B650E5" w:rsidRDefault="00B650E5">
      <w:pPr>
        <w:numPr>
          <w:ilvl w:val="0"/>
          <w:numId w:val="207"/>
        </w:numPr>
        <w:autoSpaceDE w:val="0"/>
        <w:autoSpaceDN w:val="0"/>
        <w:spacing w:before="120" w:after="120"/>
        <w:ind w:left="425" w:hanging="425"/>
        <w:jc w:val="both"/>
        <w:rPr>
          <w:color w:val="000000"/>
        </w:rPr>
      </w:pPr>
      <w:r>
        <w:rPr>
          <w:color w:val="000000"/>
        </w:rPr>
        <w:t xml:space="preserve">V súlade s čl. 56 ods. 2 všeobecného nariadenia príslušné zodpovedné orgány zabezpečia pre realizáciu hodnotenia vybudovanie a posilnenie kvalifikovaných AK v oblasti hodnotenia. </w:t>
      </w:r>
    </w:p>
    <w:p w14:paraId="153C99F6" w14:textId="77777777" w:rsidR="00B650E5" w:rsidRDefault="00B650E5">
      <w:pPr>
        <w:numPr>
          <w:ilvl w:val="0"/>
          <w:numId w:val="207"/>
        </w:numPr>
        <w:autoSpaceDE w:val="0"/>
        <w:autoSpaceDN w:val="0"/>
        <w:spacing w:before="120" w:after="120"/>
        <w:ind w:left="425" w:hanging="425"/>
        <w:jc w:val="both"/>
        <w:rPr>
          <w:color w:val="000000"/>
        </w:rPr>
      </w:pPr>
      <w:r>
        <w:rPr>
          <w:color w:val="000000"/>
        </w:rPr>
        <w:t>Kvalifikovanosť a odbornosť manažérov hodnotenia sa zabezpečuje prostredníctvom priebežného odborného vzdelávania.</w:t>
      </w:r>
      <w:bookmarkStart w:id="620" w:name="_Toc390099905"/>
    </w:p>
    <w:p w14:paraId="50EB1EA6" w14:textId="77777777" w:rsidR="00B650E5" w:rsidRDefault="00B650E5">
      <w:pPr>
        <w:pStyle w:val="SRK3"/>
      </w:pPr>
      <w:bookmarkStart w:id="621" w:name="_Toc391992008"/>
      <w:bookmarkStart w:id="622" w:name="_Toc453234114"/>
      <w:bookmarkStart w:id="623" w:name="_Toc501630162"/>
      <w:r>
        <w:t>4.2.2 Úlohy CKO v oblasti hodnotenia</w:t>
      </w:r>
      <w:bookmarkEnd w:id="620"/>
      <w:bookmarkEnd w:id="621"/>
      <w:bookmarkEnd w:id="622"/>
      <w:bookmarkEnd w:id="623"/>
    </w:p>
    <w:p w14:paraId="6703AD8E" w14:textId="77777777" w:rsidR="00B650E5" w:rsidRDefault="00B650E5">
      <w:pPr>
        <w:numPr>
          <w:ilvl w:val="0"/>
          <w:numId w:val="208"/>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14:paraId="132605F8" w14:textId="77777777" w:rsidR="00B650E5" w:rsidRDefault="00B650E5">
      <w:pPr>
        <w:numPr>
          <w:ilvl w:val="0"/>
          <w:numId w:val="208"/>
        </w:numPr>
        <w:autoSpaceDE w:val="0"/>
        <w:autoSpaceDN w:val="0"/>
        <w:adjustRightInd w:val="0"/>
        <w:spacing w:before="120" w:after="120"/>
        <w:ind w:left="425" w:hanging="425"/>
        <w:jc w:val="both"/>
      </w:pPr>
      <w:r>
        <w:t xml:space="preserve">CKO vypracúva a aktualizuje v priebehu programového obdobia 2014 </w:t>
      </w:r>
      <w:r w:rsidR="00341477">
        <w:t xml:space="preserve">- </w:t>
      </w:r>
      <w:r>
        <w:t>2020 metodické usmernenia pre procesy hodnotenia na národnej úrovni, ktoré sú nevyhnutné  pre vykonanie kvalitných hodnotení v zmysle príslušných usmernení EK.</w:t>
      </w:r>
    </w:p>
    <w:p w14:paraId="34BFA55B" w14:textId="77777777" w:rsidR="00B650E5" w:rsidRDefault="00B650E5">
      <w:pPr>
        <w:numPr>
          <w:ilvl w:val="0"/>
          <w:numId w:val="208"/>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14:paraId="3737589E" w14:textId="77777777" w:rsidR="00B650E5" w:rsidRDefault="00B650E5">
      <w:pPr>
        <w:numPr>
          <w:ilvl w:val="0"/>
          <w:numId w:val="208"/>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14:paraId="614F86F4" w14:textId="77777777" w:rsidR="00B650E5" w:rsidRDefault="00B650E5">
      <w:pPr>
        <w:numPr>
          <w:ilvl w:val="0"/>
          <w:numId w:val="208"/>
        </w:numPr>
        <w:autoSpaceDE w:val="0"/>
        <w:autoSpaceDN w:val="0"/>
        <w:adjustRightInd w:val="0"/>
        <w:spacing w:before="120" w:after="120"/>
        <w:ind w:left="426" w:hanging="426"/>
        <w:jc w:val="both"/>
      </w:pPr>
      <w:r>
        <w:t xml:space="preserve">CKO vypracuje Plán hodnotení EŠIF na programové obdobie 2014 – 2020; viď </w:t>
      </w:r>
      <w:hyperlink w:anchor="kapitola_421_ods_12" w:tooltip="kapitola 4.2.1, ods. 12" w:history="1">
        <w:r>
          <w:rPr>
            <w:rStyle w:val="Hypertextovprepojenie"/>
          </w:rPr>
          <w:t>kapitola 4.2.1, ods. 12</w:t>
        </w:r>
      </w:hyperlink>
      <w:r>
        <w:t>)  na národnej úrovni v súlade s čl. 56 a čl. 114 všeobecného nariadenia, metodickým usmernením EK - Monitorovanie a hodnotenie európskej politiky súdržnosti (ESF) a Usmernenie o monitorovaní a hodnotení (EFRR a KF).</w:t>
      </w:r>
    </w:p>
    <w:p w14:paraId="42F92B83" w14:textId="77777777" w:rsidR="00B650E5" w:rsidRDefault="00B650E5">
      <w:pPr>
        <w:numPr>
          <w:ilvl w:val="0"/>
          <w:numId w:val="208"/>
        </w:numPr>
        <w:autoSpaceDE w:val="0"/>
        <w:autoSpaceDN w:val="0"/>
        <w:adjustRightInd w:val="0"/>
        <w:spacing w:before="120" w:after="120"/>
        <w:ind w:left="425" w:hanging="425"/>
        <w:jc w:val="both"/>
      </w:pPr>
      <w:r>
        <w:t>Plán hodnotení EŠIF na programové obdobie 2014 – 2020 obsahuje aj hodnotenia zamerané na</w:t>
      </w:r>
      <w:r w:rsidR="00E60ECF">
        <w:t> </w:t>
      </w:r>
      <w:r>
        <w:t>hodnotenie HP.</w:t>
      </w:r>
    </w:p>
    <w:p w14:paraId="6C071781" w14:textId="77777777" w:rsidR="00B650E5" w:rsidRDefault="00B650E5">
      <w:pPr>
        <w:numPr>
          <w:ilvl w:val="0"/>
          <w:numId w:val="208"/>
        </w:numPr>
        <w:autoSpaceDE w:val="0"/>
        <w:autoSpaceDN w:val="0"/>
        <w:adjustRightInd w:val="0"/>
        <w:spacing w:before="120" w:after="120"/>
        <w:ind w:left="425" w:hanging="425"/>
        <w:jc w:val="both"/>
      </w:pPr>
      <w:r>
        <w:t>CKO vypracuje Plán hodnotení EŠIF na programové obdobie 2014 – 2020 po prijatí PD Európskou komisiou a predloží ho členom NMV pre EŠIF na schválenie.</w:t>
      </w:r>
    </w:p>
    <w:p w14:paraId="671DA4AD" w14:textId="77777777" w:rsidR="00B650E5" w:rsidRDefault="00B650E5">
      <w:pPr>
        <w:numPr>
          <w:ilvl w:val="0"/>
          <w:numId w:val="208"/>
        </w:numPr>
        <w:autoSpaceDE w:val="0"/>
        <w:autoSpaceDN w:val="0"/>
        <w:adjustRightInd w:val="0"/>
        <w:spacing w:before="120" w:after="120"/>
        <w:ind w:left="425" w:hanging="425"/>
        <w:jc w:val="both"/>
      </w:pPr>
      <w:r>
        <w:t xml:space="preserve">CKO aktualizuje v prípade potreby naplánované hodnotenia schválené v Pláne hodnotení EŠIF na programové obdobie 2014 – 2020 a  predkladá formou „Aktualizácie plánovaných hodnotení EŠIF na programové obdobie 2014 – 2020 č. XY“ členom NMV pre EŠIF na schválenie. </w:t>
      </w:r>
    </w:p>
    <w:p w14:paraId="77436194" w14:textId="77777777" w:rsidR="00B650E5" w:rsidRDefault="00B650E5" w:rsidP="001A75B5">
      <w:pPr>
        <w:numPr>
          <w:ilvl w:val="0"/>
          <w:numId w:val="208"/>
        </w:numPr>
        <w:autoSpaceDE w:val="0"/>
        <w:autoSpaceDN w:val="0"/>
        <w:adjustRightInd w:val="0"/>
        <w:spacing w:before="120" w:after="120"/>
        <w:ind w:left="425" w:hanging="425"/>
        <w:jc w:val="both"/>
      </w:pPr>
      <w:r>
        <w:lastRenderedPageBreak/>
        <w:t>Aktualizácia plánovaných hodnotení EŠIF na programové obdobie 2014 – 2020 č. XY obsahuje okrem plánovaných hodnotení EŠIF v súlade s Plánom hodnotení EŠIF na programové obdobie 2014 – 2020 aj nové hodnotenia</w:t>
      </w:r>
      <w:r w:rsidR="00E60ECF">
        <w:t>,</w:t>
      </w:r>
      <w:r>
        <w:t xml:space="preserve"> zohľadňujúce reálne potreby RO pri implementácii OP. V prípade neaktuálnosti naplánovaných hodnotení, resp. z iných dôvodov je možné takéto hodnotenia z aktualizácie plánovaných hodnotení vypustiť.</w:t>
      </w:r>
    </w:p>
    <w:p w14:paraId="6F0357B5" w14:textId="77777777" w:rsidR="00B650E5" w:rsidRDefault="00B650E5">
      <w:pPr>
        <w:numPr>
          <w:ilvl w:val="0"/>
          <w:numId w:val="208"/>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resp. pri jeho aktualizácii, spolupracuje s členmi Pracovnej skupiny pre hodnotenie a vecne príslušnými partnermi.</w:t>
      </w:r>
    </w:p>
    <w:p w14:paraId="6E48BF26" w14:textId="77777777" w:rsidR="00B650E5" w:rsidRDefault="00B650E5">
      <w:pPr>
        <w:numPr>
          <w:ilvl w:val="0"/>
          <w:numId w:val="208"/>
        </w:numPr>
        <w:autoSpaceDE w:val="0"/>
        <w:autoSpaceDN w:val="0"/>
        <w:adjustRightInd w:val="0"/>
        <w:spacing w:before="120" w:after="120"/>
        <w:ind w:left="425" w:hanging="425"/>
        <w:jc w:val="both"/>
      </w:pPr>
      <w:r>
        <w:t>CKO vykonáva počas programového obdobia 2014 – 2020 hodnotenie zamerané na implementáciu EŠIF, pri ktorom sa posúdi relevantnosť, efektívnosť, účinnosť implementácie EŠIF.</w:t>
      </w:r>
    </w:p>
    <w:p w14:paraId="77DA1381" w14:textId="77777777" w:rsidR="00B650E5" w:rsidRDefault="00B650E5">
      <w:pPr>
        <w:numPr>
          <w:ilvl w:val="0"/>
          <w:numId w:val="208"/>
        </w:numPr>
        <w:autoSpaceDE w:val="0"/>
        <w:autoSpaceDN w:val="0"/>
        <w:adjustRightInd w:val="0"/>
        <w:spacing w:before="120" w:after="120"/>
        <w:ind w:left="425" w:hanging="425"/>
        <w:jc w:val="both"/>
      </w:pPr>
      <w:r>
        <w:t>CKO vykonáva hodnotenie ako podklad pre správu o pokroku, ktorú je SR, v súlade s čl. 52 všeobecného nariadenia, povinná predložiť EK v termíne do 31.08.2017 a do 31.08.2019.</w:t>
      </w:r>
    </w:p>
    <w:p w14:paraId="042B4210" w14:textId="77777777" w:rsidR="00B650E5" w:rsidRDefault="00B650E5">
      <w:pPr>
        <w:numPr>
          <w:ilvl w:val="0"/>
          <w:numId w:val="208"/>
        </w:numPr>
        <w:autoSpaceDE w:val="0"/>
        <w:autoSpaceDN w:val="0"/>
        <w:adjustRightInd w:val="0"/>
        <w:spacing w:before="120" w:after="120"/>
        <w:ind w:left="425" w:hanging="425"/>
        <w:jc w:val="both"/>
      </w:pPr>
      <w:r>
        <w:t>CKO vykoná hodnotenie ako podklad pre prípravu návrhu na prerozdelenie výkonnostnej rezervy PO, ktoré nedosiahli stanovené čiastkové ciele (v súlade s čl.22 ods.4 všeobecného nariadenia) a  tento zašle EK. Hodnotenie bude vykonané do 30.06.2019 a bude zohľadňovať potreby a priority SR</w:t>
      </w:r>
      <w:r w:rsidR="006F3B93">
        <w:t xml:space="preserve">, </w:t>
      </w:r>
      <w:r>
        <w:t xml:space="preserve"> ako aj implementačnú schopnosť jednotlivých OP.</w:t>
      </w:r>
    </w:p>
    <w:p w14:paraId="0A921F94" w14:textId="77777777" w:rsidR="00B650E5" w:rsidRDefault="00B650E5">
      <w:pPr>
        <w:numPr>
          <w:ilvl w:val="0"/>
          <w:numId w:val="208"/>
        </w:numPr>
        <w:autoSpaceDE w:val="0"/>
        <w:autoSpaceDN w:val="0"/>
        <w:adjustRightInd w:val="0"/>
        <w:spacing w:before="120" w:after="120"/>
        <w:ind w:left="425" w:hanging="425"/>
        <w:jc w:val="both"/>
      </w:pPr>
      <w:r>
        <w:t>CKO predkladá členom NMV pre EŠIF, partnerom a EK odpočet z plnenia plánu hodnotení</w:t>
      </w:r>
      <w:r w:rsidR="006F3B93">
        <w:t xml:space="preserve">, </w:t>
      </w:r>
      <w:r>
        <w:t xml:space="preserve"> ako aj výstupy z jednotlivých hodnotení formou súhrnných správ o aktivitách hodnotenia a výsledkoch hodnotení EŠIF aspoň raz za kalendárny rok.</w:t>
      </w:r>
    </w:p>
    <w:p w14:paraId="22D23A59" w14:textId="77777777" w:rsidR="00B650E5" w:rsidRDefault="00B650E5">
      <w:pPr>
        <w:numPr>
          <w:ilvl w:val="0"/>
          <w:numId w:val="208"/>
        </w:numPr>
        <w:autoSpaceDE w:val="0"/>
        <w:autoSpaceDN w:val="0"/>
        <w:adjustRightInd w:val="0"/>
        <w:spacing w:before="120" w:after="120"/>
        <w:ind w:left="425" w:hanging="425"/>
        <w:jc w:val="both"/>
      </w:pPr>
      <w:r>
        <w:t xml:space="preserve">CKO zriadi na webovom sídle </w:t>
      </w:r>
      <w:hyperlink r:id="rId217" w:history="1">
        <w:r w:rsidRPr="00673252">
          <w:rPr>
            <w:rStyle w:val="Hypertextovprepojenie"/>
          </w:rPr>
          <w:t>www.partnerskadohoda.gov.sk</w:t>
        </w:r>
      </w:hyperlink>
      <w:r>
        <w:t xml:space="preserve"> verejne dostupnú databázu záverečných hodnotiacich správ, kde budú zverejnené záverečné hodnotiace správy z interných,  externých a kombinovaných hodnotení vrátane stručného zhrnutia vypracovaného v anglickom jazyku. </w:t>
      </w:r>
    </w:p>
    <w:p w14:paraId="76152A0B" w14:textId="77777777" w:rsidR="00B650E5" w:rsidRDefault="00B650E5" w:rsidP="000622ED">
      <w:pPr>
        <w:numPr>
          <w:ilvl w:val="0"/>
          <w:numId w:val="208"/>
        </w:numPr>
        <w:autoSpaceDE w:val="0"/>
        <w:autoSpaceDN w:val="0"/>
        <w:adjustRightInd w:val="0"/>
        <w:spacing w:before="120" w:after="120"/>
        <w:ind w:left="425" w:hanging="425"/>
        <w:jc w:val="both"/>
      </w:pPr>
      <w:r>
        <w:t>CKO vypracováva Súhrnnú správu o aktivitách hodnotenia a výsledkoch hodnotení EŠIF za</w:t>
      </w:r>
      <w:r w:rsidR="00E60ECF">
        <w:t> </w:t>
      </w:r>
      <w:r>
        <w:t>predchádzajúci kalendárny rok v termíne do 31. mája kalendárneho roka, ktorú predkladá členom NMV pre EŠIF a partnerom ako informatívny dokument. Uvedená súhrnná správa obsahuje najmä:</w:t>
      </w:r>
    </w:p>
    <w:p w14:paraId="24FACD4D"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proces zabezpečenia výkonu hodnotení v rámci EŠIF, </w:t>
      </w:r>
    </w:p>
    <w:p w14:paraId="44A2CCA1"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prehľad aktivít hodnotenia, výsledky hodnotení a ich implementáciu,</w:t>
      </w:r>
    </w:p>
    <w:p w14:paraId="3491052B"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personálne zabezpečenie hodnotení,</w:t>
      </w:r>
    </w:p>
    <w:p w14:paraId="3A8023CE"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prehľad aktivít hodnotenia, zahŕňajúc rozpracované, zrealizované a nezrealizované aktivity</w:t>
      </w:r>
      <w:r>
        <w:t>,</w:t>
      </w:r>
    </w:p>
    <w:p w14:paraId="60EA5FDD"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výsledky</w:t>
      </w:r>
      <w:r>
        <w:t xml:space="preserve"> hodnotení a ich implementácia,</w:t>
      </w:r>
    </w:p>
    <w:p w14:paraId="1A6C8CCF"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rsidRPr="009E3284">
        <w:t>informácie o odporúčaniach hodnotiteľov z vykonaných hodnotení</w:t>
      </w:r>
      <w:r>
        <w:t>,</w:t>
      </w:r>
    </w:p>
    <w:p w14:paraId="5162ADC6" w14:textId="77777777" w:rsidR="00B650E5" w:rsidRDefault="00B650E5" w:rsidP="003120E4">
      <w:pPr>
        <w:pStyle w:val="Odsekzoznamu"/>
        <w:numPr>
          <w:ilvl w:val="1"/>
          <w:numId w:val="208"/>
        </w:numPr>
        <w:autoSpaceDE w:val="0"/>
        <w:autoSpaceDN w:val="0"/>
        <w:adjustRightInd w:val="0"/>
        <w:spacing w:before="120" w:after="120"/>
        <w:ind w:left="851" w:hanging="425"/>
        <w:contextualSpacing w:val="0"/>
        <w:jc w:val="both"/>
      </w:pPr>
      <w:r>
        <w:t xml:space="preserve"> informácie o odpočte  implementácie odporúčaní hodnotiteľov z vykonaných hodnotení.</w:t>
      </w:r>
    </w:p>
    <w:p w14:paraId="51B17732" w14:textId="77777777" w:rsidR="00B650E5" w:rsidRDefault="00B650E5" w:rsidP="000622ED">
      <w:pPr>
        <w:numPr>
          <w:ilvl w:val="0"/>
          <w:numId w:val="208"/>
        </w:numPr>
        <w:autoSpaceDE w:val="0"/>
        <w:autoSpaceDN w:val="0"/>
        <w:adjustRightInd w:val="0"/>
        <w:spacing w:before="120" w:after="120"/>
        <w:ind w:left="425" w:hanging="425"/>
        <w:jc w:val="both"/>
      </w:pPr>
      <w:r>
        <w:t>CKO vypracuje, v súlade s  čl. 114 ods. 2  všeobecného nariadenia, súhrnnú správu o realizácii hodnotení v programovom období 2014 - 2020</w:t>
      </w:r>
      <w:r>
        <w:rPr>
          <w:noProof/>
        </w:rPr>
        <w:t>, v ktorej zhrnie všetky zistenia hodnotení uskutočnených počas celého programového obdobia a predloží ju EK v termíne do                        31. decembra 2022</w:t>
      </w:r>
      <w:r>
        <w:t>.</w:t>
      </w:r>
    </w:p>
    <w:p w14:paraId="20369315" w14:textId="77777777" w:rsidR="00B650E5" w:rsidRDefault="00B650E5">
      <w:pPr>
        <w:numPr>
          <w:ilvl w:val="0"/>
          <w:numId w:val="208"/>
        </w:numPr>
        <w:autoSpaceDE w:val="0"/>
        <w:autoSpaceDN w:val="0"/>
        <w:adjustRightInd w:val="0"/>
        <w:spacing w:before="120" w:after="120"/>
        <w:ind w:left="425" w:hanging="425"/>
        <w:jc w:val="both"/>
      </w:pPr>
      <w:r>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14:paraId="68B53EE7" w14:textId="77777777" w:rsidR="00B650E5" w:rsidRDefault="00B650E5">
      <w:pPr>
        <w:numPr>
          <w:ilvl w:val="0"/>
          <w:numId w:val="208"/>
        </w:numPr>
        <w:autoSpaceDE w:val="0"/>
        <w:autoSpaceDN w:val="0"/>
        <w:adjustRightInd w:val="0"/>
        <w:spacing w:before="120" w:after="120"/>
        <w:ind w:left="425" w:hanging="425"/>
        <w:jc w:val="both"/>
      </w:pPr>
      <w:r>
        <w:lastRenderedPageBreak/>
        <w:t xml:space="preserve">CKO spolupracuje s príslušnými útvarmi generálnych riaditeľstiev EK zameraných na hodnotenie a pravidelne sa zúčastňuje na pracovných skupinách pre hodnotenie organizovaných príslušnými generálnymi riaditeľstvami EK. </w:t>
      </w:r>
    </w:p>
    <w:p w14:paraId="0C3B1F8E" w14:textId="77777777" w:rsidR="00B650E5" w:rsidRDefault="00B650E5">
      <w:pPr>
        <w:numPr>
          <w:ilvl w:val="0"/>
          <w:numId w:val="208"/>
        </w:numPr>
        <w:autoSpaceDE w:val="0"/>
        <w:autoSpaceDN w:val="0"/>
        <w:adjustRightInd w:val="0"/>
        <w:spacing w:before="120" w:after="120"/>
        <w:ind w:left="425" w:hanging="425"/>
        <w:jc w:val="both"/>
      </w:pPr>
      <w:r>
        <w:t>CKO v spolupráci s ÚV SR zabezpečuje jednotné prehlbovanie kvalifikácie manažérov hodnotenia RO/gestorov HP prostredníctvom školení vyplývajúcich z Centrálneho plánu vzdelávania.</w:t>
      </w:r>
      <w:bookmarkStart w:id="624" w:name="_Toc390099906"/>
    </w:p>
    <w:p w14:paraId="533632D2" w14:textId="77777777" w:rsidR="00B650E5" w:rsidRDefault="00B650E5">
      <w:pPr>
        <w:pStyle w:val="SRK3"/>
      </w:pPr>
      <w:bookmarkStart w:id="625" w:name="_Toc391992009"/>
      <w:bookmarkStart w:id="626" w:name="_Toc453234115"/>
      <w:bookmarkStart w:id="627" w:name="_Toc501630163"/>
      <w:r>
        <w:t>4.2.3 Úlohy riadiaceho orgánu/gestorov HP v oblasti hodnotenia</w:t>
      </w:r>
      <w:bookmarkEnd w:id="624"/>
      <w:bookmarkEnd w:id="625"/>
      <w:bookmarkEnd w:id="626"/>
      <w:bookmarkEnd w:id="627"/>
    </w:p>
    <w:p w14:paraId="614890E2"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14:paraId="37EB0BD6" w14:textId="77777777" w:rsidR="00B650E5" w:rsidRDefault="00B650E5">
      <w:pPr>
        <w:numPr>
          <w:ilvl w:val="0"/>
          <w:numId w:val="209"/>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14:paraId="4F31F37F"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pre programové obdobie 2014 – 2020 (ďalej len „Plán hodnotení OP“) na programovej úrovni v súlade s čl. 56 a čl. 114 všeobecného nariadenia a metodickým usmernením EK - Monitorovanie a hodnotenie európskej politiky súdržnosti  (ESF) a Usmernenie o monitorovaní a hodnotení (EFRR a KF). </w:t>
      </w:r>
    </w:p>
    <w:p w14:paraId="4A573869"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14:paraId="0F1BF5DB" w14:textId="77777777" w:rsidR="00B650E5" w:rsidRDefault="00B650E5">
      <w:pPr>
        <w:numPr>
          <w:ilvl w:val="0"/>
          <w:numId w:val="209"/>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14:paraId="3EB380A4" w14:textId="77777777" w:rsidR="00B650E5" w:rsidRDefault="00B650E5">
      <w:pPr>
        <w:numPr>
          <w:ilvl w:val="0"/>
          <w:numId w:val="209"/>
        </w:numPr>
        <w:suppressAutoHyphens/>
        <w:autoSpaceDE w:val="0"/>
        <w:autoSpaceDN w:val="0"/>
        <w:spacing w:before="120" w:after="120"/>
        <w:ind w:left="426" w:hanging="426"/>
        <w:jc w:val="both"/>
        <w:textAlignment w:val="baseline"/>
      </w:pPr>
      <w:bookmarkStart w:id="628" w:name="kapitola_423_ods_6"/>
      <w:bookmarkEnd w:id="628"/>
      <w:r w:rsidRPr="00803B7E">
        <w:t xml:space="preserve">RO predkladá Plán hodnotení OP na posúdenie CKO pred jeho predložením MV. RO zasiela CKO Plán hodnotení OP schválený MV prostredníctvom e-mailu na adresu </w:t>
      </w:r>
      <w:hyperlink r:id="rId218" w:history="1">
        <w:r w:rsidRPr="00673252">
          <w:rPr>
            <w:rStyle w:val="Hypertextovprepojenie"/>
          </w:rPr>
          <w:t>hodnotenie.cko@vicepremier.gov.sk</w:t>
        </w:r>
      </w:hyperlink>
      <w:r>
        <w:t>.</w:t>
      </w:r>
    </w:p>
    <w:p w14:paraId="075AE242" w14:textId="77777777" w:rsidR="00B650E5" w:rsidRPr="00803B7E" w:rsidRDefault="00B650E5" w:rsidP="000E286B">
      <w:pPr>
        <w:numPr>
          <w:ilvl w:val="0"/>
          <w:numId w:val="209"/>
        </w:numPr>
        <w:suppressAutoHyphens/>
        <w:autoSpaceDE w:val="0"/>
        <w:autoSpaceDN w:val="0"/>
        <w:spacing w:before="120" w:after="120"/>
        <w:ind w:left="426" w:hanging="426"/>
        <w:jc w:val="both"/>
        <w:textAlignment w:val="baseline"/>
      </w:pPr>
      <w:r w:rsidRPr="00781C23">
        <w:t xml:space="preserve">RO aktualizuje Plán hodnotení OP podľa reálnej potreby RO pri implementácii OP, a to formou jeho doplnenia, preformulovania, vypustenia hodnotení alebo textu. Štruktúra a forma aktualizovaného Plánu hodnotení OP je rovnaká ako v prípade schváleného Plánu hodnotení OP na programové obdobie 2014 – 2020 v zmysle </w:t>
      </w:r>
      <w:r>
        <w:t>metodického pokynu CKO</w:t>
      </w:r>
      <w:r>
        <w:rPr>
          <w:rStyle w:val="Odkaznapoznmkupodiarou"/>
        </w:rPr>
        <w:footnoteReference w:id="173"/>
      </w:r>
      <w:r w:rsidRPr="00781C23">
        <w:t>.</w:t>
      </w:r>
      <w:r w:rsidRPr="00D1122E">
        <w:t xml:space="preserve"> </w:t>
      </w:r>
      <w:r>
        <w:t>Aktualizovaný Plán hodnotení OP schvaľuje MV.</w:t>
      </w:r>
      <w:r w:rsidRPr="000A2A83">
        <w:t xml:space="preserve"> </w:t>
      </w:r>
      <w:r w:rsidRPr="00F81DB5">
        <w:rPr>
          <w:bCs/>
        </w:rPr>
        <w:t>Následne</w:t>
      </w:r>
      <w:r>
        <w:rPr>
          <w:bCs/>
        </w:rPr>
        <w:t xml:space="preserve"> RO</w:t>
      </w:r>
      <w:r w:rsidRPr="00F81DB5">
        <w:rPr>
          <w:bCs/>
        </w:rPr>
        <w:t xml:space="preserve"> </w:t>
      </w:r>
      <w:r>
        <w:rPr>
          <w:bCs/>
        </w:rPr>
        <w:t xml:space="preserve">zasiela </w:t>
      </w:r>
      <w:r w:rsidRPr="00F81DB5">
        <w:rPr>
          <w:bCs/>
        </w:rPr>
        <w:t xml:space="preserve">CKO </w:t>
      </w:r>
      <w:r>
        <w:rPr>
          <w:bCs/>
        </w:rPr>
        <w:t xml:space="preserve">informáciu </w:t>
      </w:r>
      <w:r w:rsidRPr="00F81DB5">
        <w:rPr>
          <w:bCs/>
        </w:rPr>
        <w:t>o schválen</w:t>
      </w:r>
      <w:r w:rsidR="003C3BC7">
        <w:rPr>
          <w:bCs/>
        </w:rPr>
        <w:t>om</w:t>
      </w:r>
      <w:r w:rsidRPr="00F81DB5">
        <w:rPr>
          <w:bCs/>
        </w:rPr>
        <w:t xml:space="preserve"> aktualiz</w:t>
      </w:r>
      <w:r w:rsidR="003C3BC7">
        <w:rPr>
          <w:bCs/>
        </w:rPr>
        <w:t>ovanom</w:t>
      </w:r>
      <w:r>
        <w:rPr>
          <w:bCs/>
        </w:rPr>
        <w:t xml:space="preserve"> </w:t>
      </w:r>
      <w:r w:rsidR="003C3BC7">
        <w:rPr>
          <w:bCs/>
        </w:rPr>
        <w:t xml:space="preserve">Pláne hodnotení OP </w:t>
      </w:r>
      <w:r>
        <w:rPr>
          <w:bCs/>
        </w:rPr>
        <w:t xml:space="preserve">prostredníctvom e-mailu na adresu </w:t>
      </w:r>
      <w:hyperlink r:id="rId219" w:history="1">
        <w:r w:rsidRPr="0017155C">
          <w:rPr>
            <w:rStyle w:val="Hypertextovprepojenie"/>
          </w:rPr>
          <w:t>hodnotenie.cko@vicepremier.gov.sk</w:t>
        </w:r>
      </w:hyperlink>
      <w:r w:rsidR="00E60ECF">
        <w:rPr>
          <w:bCs/>
        </w:rPr>
        <w:t>.</w:t>
      </w:r>
    </w:p>
    <w:p w14:paraId="44A6A6D0" w14:textId="77777777" w:rsidR="00B650E5" w:rsidRDefault="00B650E5" w:rsidP="00803B7E">
      <w:pPr>
        <w:numPr>
          <w:ilvl w:val="0"/>
          <w:numId w:val="209"/>
        </w:numPr>
        <w:suppressAutoHyphens/>
        <w:autoSpaceDE w:val="0"/>
        <w:autoSpaceDN w:val="0"/>
        <w:spacing w:before="120" w:after="120"/>
        <w:ind w:left="426" w:hanging="426"/>
        <w:jc w:val="both"/>
        <w:textAlignment w:val="baseline"/>
      </w:pPr>
      <w:r>
        <w:t>MV</w:t>
      </w:r>
      <w:r>
        <w:rPr>
          <w:spacing w:val="1"/>
        </w:rPr>
        <w:t xml:space="preserve"> sleduje v súlade s čl. 49 ods. 2 plnenie Plánu </w:t>
      </w:r>
      <w:r>
        <w:t xml:space="preserve">hodnotení a v prípade potreby sa vyjadruje k hodnoteniu programu a odpočtu zapracovania jeho požiadaviek. Ak sa jeden MV zaoberá viac ako jedným OP, Plán hodnotení OP sa môže týkať všetkých príslušných OP. RO v prípade potreby </w:t>
      </w:r>
      <w:r w:rsidRPr="001F1092">
        <w:t xml:space="preserve">aktualizuje </w:t>
      </w:r>
      <w:r>
        <w:t xml:space="preserve">Plán hodnotení OP, pričom je potrebné dodržať ustanovenie </w:t>
      </w:r>
      <w:hyperlink w:anchor="kapitola_423_ods_6" w:tooltip="ods. 6 tejto kapitoly" w:history="1">
        <w:r w:rsidRPr="00803B7E">
          <w:rPr>
            <w:rStyle w:val="Hypertextovprepojenie"/>
          </w:rPr>
          <w:t>ods. 6 tejto kapitoly</w:t>
        </w:r>
      </w:hyperlink>
      <w:r>
        <w:t xml:space="preserve">. </w:t>
      </w:r>
    </w:p>
    <w:p w14:paraId="485A532D" w14:textId="77777777" w:rsidR="00B650E5" w:rsidRDefault="00B650E5">
      <w:pPr>
        <w:numPr>
          <w:ilvl w:val="0"/>
          <w:numId w:val="209"/>
        </w:numPr>
        <w:suppressAutoHyphens/>
        <w:autoSpaceDE w:val="0"/>
        <w:autoSpaceDN w:val="0"/>
        <w:spacing w:before="120" w:after="120"/>
        <w:ind w:left="426" w:hanging="426"/>
        <w:jc w:val="both"/>
        <w:textAlignment w:val="baseline"/>
      </w:pPr>
      <w:r>
        <w:t>RO, ktorý implementuje Iniciatívu na podporu zamestnanosti mladých ľudí, vykoná najmenej dvakrát v priebehu programového obdobia hodnotenie zamerané na posúdenie účinnosti, efektívnosti a vplyvu spoločnej podpory z ESF a osobitne vyčlenených prostriedkov na túto iniciatívu, a to aj na vykonávanie systému záruk pre mladých ľudí. Prvé hodnotenie sa vykoná v súlade s čl. 19, ods. 6 nariadenia o ESF do 31. decembra 2015 a druhé hodnotenie do 31. decembra 2018.</w:t>
      </w:r>
    </w:p>
    <w:p w14:paraId="4C35C87A" w14:textId="77777777" w:rsidR="00B650E5" w:rsidRDefault="00B650E5">
      <w:pPr>
        <w:numPr>
          <w:ilvl w:val="0"/>
          <w:numId w:val="209"/>
        </w:numPr>
        <w:suppressAutoHyphens/>
        <w:autoSpaceDE w:val="0"/>
        <w:autoSpaceDN w:val="0"/>
        <w:spacing w:before="120" w:after="120"/>
        <w:ind w:left="426" w:hanging="426"/>
        <w:jc w:val="both"/>
        <w:textAlignment w:val="baseline"/>
      </w:pPr>
      <w:r>
        <w:lastRenderedPageBreak/>
        <w:t>RO poskytuje údaje potrebné pre hodnotenie HP príslušným gestorom HP a hodnotiteľovi HP v</w:t>
      </w:r>
      <w:r w:rsidR="00E60ECF">
        <w:t> </w:t>
      </w:r>
      <w:r>
        <w:t xml:space="preserve">prípade vykonávania hodnotenia HP v rámci OP, skupiny vybraných OP alebo všetkých OP. </w:t>
      </w:r>
    </w:p>
    <w:p w14:paraId="4658D613"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14:paraId="59196401" w14:textId="77777777" w:rsidR="00B650E5" w:rsidRDefault="00B650E5">
      <w:pPr>
        <w:numPr>
          <w:ilvl w:val="0"/>
          <w:numId w:val="209"/>
        </w:numPr>
        <w:suppressAutoHyphens/>
        <w:autoSpaceDE w:val="0"/>
        <w:autoSpaceDN w:val="0"/>
        <w:spacing w:before="120" w:after="120"/>
        <w:ind w:left="426" w:hanging="426"/>
        <w:jc w:val="both"/>
        <w:textAlignment w:val="baseline"/>
      </w:pPr>
      <w:r>
        <w:t>RO  môže zriadiť a zabezpečiť fungovanie pracovnej skupiny pre riadenie hodnotenia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14:paraId="3E1E50AE"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zabezpečuje a realizuje procesy hodnotenia prostredníctvom manažérov hodnotenia. </w:t>
      </w:r>
    </w:p>
    <w:p w14:paraId="2C0A06A4"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informuje CKO o začatí hodnotenia a o ukončení hodnotenia. </w:t>
      </w:r>
    </w:p>
    <w:p w14:paraId="17AD9CD8"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vykoná pred začatím procesu hodnotenia overenie funkčnej nezávislosti hodnotiteľov v každom jednotlivom prípade. V súlade s článkom 54 ods. 3 všeobecného nariadenia sa za funkčnú nezávislosť interného a externého hodnotiteľa považuje funkčná nezávislosť od orgánov zodpovedných za implementáciu OP/HP. </w:t>
      </w:r>
    </w:p>
    <w:p w14:paraId="7A66C715"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zabezpečuje zdroje údajov, zber a spracovanie údajov potrebných pre monitorovanie a hodnotenie v oblasti poskytovania finančnej pomoci z EŠIF v spolupráci so Štatistickým úradom SR, Sociálnou poisťovňou a ďalšími relevantnými inštitúciami. </w:t>
      </w:r>
    </w:p>
    <w:p w14:paraId="53F06ECF"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zabezpečí potrebnú súčinnosť s hodnotiteľom tak, aby proces hodnotenia a záverečná hodnotiaca správa splnili stanovené kritéria kvality. </w:t>
      </w:r>
    </w:p>
    <w:p w14:paraId="49D7D08B" w14:textId="77777777" w:rsidR="00B650E5" w:rsidRDefault="00B650E5">
      <w:pPr>
        <w:numPr>
          <w:ilvl w:val="0"/>
          <w:numId w:val="209"/>
        </w:numPr>
        <w:suppressAutoHyphens/>
        <w:autoSpaceDE w:val="0"/>
        <w:autoSpaceDN w:val="0"/>
        <w:spacing w:before="120" w:after="120"/>
        <w:ind w:left="426" w:hanging="426"/>
        <w:jc w:val="both"/>
        <w:textAlignment w:val="baseline"/>
      </w:pPr>
      <w:r>
        <w:t>RO/gestor HP zabezpečuje kvalitu hodnotiacich činností, ktorá sú založená na princípoch ako sú transparentnosť, nezávislosť, partnerstvo, šírenie výsledkov a pod.</w:t>
      </w:r>
    </w:p>
    <w:p w14:paraId="77683A10"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je povinný  informovať o výsledkoch hodnotenia CKO, EK  a relevantných partnerov a zverejňovať záverečné hodnotiace správy z interného, externého alebo kombinovaného hodnotenia na webovom sídle príslušného RO/gestora HP vrátane stručného zhrnutia vypracovaného v anglickom jazyku do jedného mesiaca od ukončenia procesu hodnotenia. </w:t>
      </w:r>
    </w:p>
    <w:p w14:paraId="74886248"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14:paraId="2F2F68B5" w14:textId="77777777" w:rsidR="00B650E5" w:rsidRDefault="00B650E5" w:rsidP="00A2629E">
      <w:pPr>
        <w:numPr>
          <w:ilvl w:val="0"/>
          <w:numId w:val="209"/>
        </w:numPr>
        <w:suppressAutoHyphens/>
        <w:autoSpaceDE w:val="0"/>
        <w:autoSpaceDN w:val="0"/>
        <w:spacing w:before="120" w:after="120"/>
        <w:ind w:left="426" w:hanging="426"/>
        <w:jc w:val="both"/>
        <w:textAlignment w:val="baseline"/>
      </w:pPr>
      <w:r>
        <w:t xml:space="preserve">RO/gestor HP vkladá do centrálnej databázy hodnotení základné informácie o ukončenom hodnotení spolu s vykonaným hodnotením a s odpočtom plnenia zistení a odporúčaní. Centrálna databáza hodnotení bude zverejnená na webovom sídle </w:t>
      </w:r>
      <w:hyperlink r:id="rId220" w:tooltip="www.partnerskadohoda.gov.sk" w:history="1">
        <w:r>
          <w:rPr>
            <w:rStyle w:val="Hypertextovprepojenie"/>
          </w:rPr>
          <w:t>www.partnerskadohoda.gov.sk</w:t>
        </w:r>
      </w:hyperlink>
      <w:r>
        <w:t xml:space="preserve"> v záložke Hodnotenie EŠIF.</w:t>
      </w:r>
    </w:p>
    <w:p w14:paraId="3237DDB5" w14:textId="3F2E4618" w:rsidR="00B650E5" w:rsidRDefault="00B650E5" w:rsidP="008D24EF">
      <w:pPr>
        <w:numPr>
          <w:ilvl w:val="0"/>
          <w:numId w:val="209"/>
        </w:numPr>
        <w:suppressAutoHyphens/>
        <w:autoSpaceDE w:val="0"/>
        <w:autoSpaceDN w:val="0"/>
        <w:spacing w:before="120" w:after="120"/>
        <w:ind w:left="426" w:hanging="426"/>
        <w:jc w:val="both"/>
        <w:textAlignment w:val="baseline"/>
        <w:rPr>
          <w:bCs/>
          <w:color w:val="000000"/>
          <w:lang w:eastAsia="en-US"/>
        </w:rPr>
      </w:pPr>
      <w:r>
        <w:t xml:space="preserve">RO/gestor HP vypracuje a predloží CKO v termíne do 31. marca každého kalendárneho roka v rámci programového obdobia 2014 – 2020 Súhrnnú správu o aktivitách hodnotenia a výsledkoch hodnotení OP/HP za predchádzajúci kalendárny rok, ktorá obsahuje </w:t>
      </w:r>
      <w:r w:rsidR="008D24EF">
        <w:t xml:space="preserve">ucelenú informáciu o činnostiach RO/gestora HP v oblasti hodnotenia v zmysle dokumentu „Štruktúra Súhrnnej správy o aktivitách hodnotenia a výsledkoch hodnotení OP/HP za rok 20XX“, ktorý je zverejnený na webovom sídle </w:t>
      </w:r>
      <w:hyperlink r:id="rId221" w:history="1">
        <w:r w:rsidR="008D24EF" w:rsidRPr="00307D2E">
          <w:rPr>
            <w:rStyle w:val="Hypertextovprepojenie"/>
          </w:rPr>
          <w:t>www.partnerskadohoda.gov.sk</w:t>
        </w:r>
      </w:hyperlink>
      <w:r w:rsidR="008D24EF">
        <w:t xml:space="preserve"> v záložke „Hodnotenie EŠIF“</w:t>
      </w:r>
      <w:r>
        <w:rPr>
          <w:bCs/>
          <w:color w:val="000000"/>
          <w:lang w:eastAsia="en-US"/>
        </w:rPr>
        <w:t xml:space="preserve">. </w:t>
      </w:r>
    </w:p>
    <w:p w14:paraId="2441454B" w14:textId="77777777" w:rsidR="00B650E5" w:rsidRDefault="00B650E5">
      <w:pPr>
        <w:numPr>
          <w:ilvl w:val="0"/>
          <w:numId w:val="209"/>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14:paraId="770C0E3B" w14:textId="77777777" w:rsidR="00B650E5" w:rsidRDefault="00B650E5">
      <w:pPr>
        <w:numPr>
          <w:ilvl w:val="0"/>
          <w:numId w:val="209"/>
        </w:numPr>
        <w:suppressAutoHyphens/>
        <w:autoSpaceDE w:val="0"/>
        <w:autoSpaceDN w:val="0"/>
        <w:spacing w:before="120" w:after="120"/>
        <w:ind w:left="426" w:hanging="426"/>
        <w:jc w:val="both"/>
        <w:textAlignment w:val="baseline"/>
      </w:pPr>
      <w:r>
        <w:lastRenderedPageBreak/>
        <w:t>RO/gestor HP zabezpečuje prehlbovanie kvalifikácie manažérov hodnotenia prostredníctvom priebežného odborného vzdelávania.</w:t>
      </w:r>
      <w:bookmarkEnd w:id="614"/>
    </w:p>
    <w:p w14:paraId="248AF249" w14:textId="77777777" w:rsidR="00B650E5" w:rsidRDefault="00B650E5">
      <w:pPr>
        <w:spacing w:after="200" w:line="276" w:lineRule="auto"/>
        <w:rPr>
          <w:bCs/>
          <w:color w:val="365F91"/>
          <w:spacing w:val="5"/>
          <w:kern w:val="28"/>
          <w:sz w:val="52"/>
          <w:szCs w:val="52"/>
        </w:rPr>
      </w:pPr>
      <w:r>
        <w:br w:type="page"/>
      </w:r>
    </w:p>
    <w:p w14:paraId="017D8FF3" w14:textId="77777777" w:rsidR="00B650E5" w:rsidRDefault="00B650E5" w:rsidP="00227685">
      <w:pPr>
        <w:pStyle w:val="SRK1"/>
      </w:pPr>
      <w:bookmarkStart w:id="629" w:name="_Toc453234116"/>
      <w:bookmarkStart w:id="630" w:name="_Toc501630164"/>
      <w:bookmarkEnd w:id="557"/>
      <w:r>
        <w:lastRenderedPageBreak/>
        <w:t xml:space="preserve">Časť 5 </w:t>
      </w:r>
      <w:bookmarkStart w:id="631" w:name="_Toc378947545"/>
      <w:r>
        <w:t>Informovanie a komunikácia</w:t>
      </w:r>
      <w:bookmarkEnd w:id="629"/>
      <w:bookmarkEnd w:id="630"/>
      <w:bookmarkEnd w:id="631"/>
    </w:p>
    <w:p w14:paraId="4907FDF2"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52A60E3F"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115, 116 a 117 všeobecného nariadenia</w:t>
      </w:r>
    </w:p>
    <w:p w14:paraId="477D6A5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119 nariadenia o ENRF</w:t>
      </w:r>
    </w:p>
    <w:p w14:paraId="316480B1"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77A9C2EA" w14:textId="77777777" w:rsidR="00B650E5" w:rsidRDefault="00B650E5">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7, 8 a 48 zákona o príspevku z EŠIF</w:t>
      </w:r>
    </w:p>
    <w:p w14:paraId="46A78930" w14:textId="77777777" w:rsidR="00B650E5" w:rsidRDefault="00B650E5">
      <w:pPr>
        <w:pStyle w:val="SRK2"/>
      </w:pPr>
      <w:bookmarkStart w:id="632" w:name="_Toc453234117"/>
      <w:bookmarkStart w:id="633" w:name="_Toc501630165"/>
      <w:bookmarkStart w:id="634" w:name="_Toc378947549"/>
      <w:r>
        <w:rPr>
          <w:rStyle w:val="Nadpis1Char"/>
          <w:sz w:val="36"/>
          <w:szCs w:val="26"/>
        </w:rPr>
        <w:t>5.1 Všeobecná charakteristika</w:t>
      </w:r>
      <w:bookmarkEnd w:id="632"/>
      <w:bookmarkEnd w:id="633"/>
    </w:p>
    <w:p w14:paraId="2446CBC8" w14:textId="77777777" w:rsidR="00B650E5" w:rsidRDefault="00B650E5">
      <w:pPr>
        <w:pStyle w:val="Odsekzoznamu"/>
        <w:numPr>
          <w:ilvl w:val="0"/>
          <w:numId w:val="189"/>
        </w:numPr>
        <w:spacing w:before="120" w:after="120"/>
        <w:ind w:left="425" w:hanging="425"/>
        <w:contextualSpacing w:val="0"/>
        <w:jc w:val="both"/>
      </w:pPr>
      <w:r>
        <w:t>Predmetná časť definuje náležitosti informačných a komunikačných opatrení v oblasti informovania a komunikácie.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14:paraId="4B048D39" w14:textId="77777777" w:rsidR="00B650E5" w:rsidRDefault="00B650E5">
      <w:pPr>
        <w:pStyle w:val="Odsekzoznamu"/>
        <w:numPr>
          <w:ilvl w:val="0"/>
          <w:numId w:val="189"/>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14:paraId="08AAAE2F" w14:textId="77777777" w:rsidR="00B650E5" w:rsidRDefault="00B650E5">
      <w:pPr>
        <w:pStyle w:val="Odsekzoznamu"/>
        <w:numPr>
          <w:ilvl w:val="0"/>
          <w:numId w:val="189"/>
        </w:numPr>
        <w:spacing w:before="120" w:after="120"/>
        <w:ind w:left="425" w:hanging="425"/>
        <w:contextualSpacing w:val="0"/>
        <w:jc w:val="both"/>
      </w:pPr>
      <w:r>
        <w:t>Vzor</w:t>
      </w:r>
      <w:r>
        <w:rPr>
          <w:rStyle w:val="Odkaznapoznmkupodiarou"/>
        </w:rPr>
        <w:footnoteReference w:id="174"/>
      </w:r>
      <w:r>
        <w:t xml:space="preserve"> komunikačnej stratégie, ktorá je vyjadrením spôsobu, akým bude RO uvádzať komunikačné plány do praxe v programovom období 2014 – 2020 </w:t>
      </w:r>
      <w:r w:rsidR="00F953F6">
        <w:t xml:space="preserve"> </w:t>
      </w:r>
      <w:r w:rsidR="000E1145">
        <w:t>vydáva ÚV</w:t>
      </w:r>
      <w:r w:rsidR="00BF106A">
        <w:t> </w:t>
      </w:r>
      <w:r w:rsidR="000E1145">
        <w:t>SR.</w:t>
      </w:r>
      <w:r>
        <w:t xml:space="preserve"> </w:t>
      </w:r>
      <w:r w:rsidR="000E1145">
        <w:t>Vzor komunikačnej stratégie schvaľuje Steering committee.</w:t>
      </w:r>
    </w:p>
    <w:p w14:paraId="16E8F8D3" w14:textId="77777777" w:rsidR="00B650E5" w:rsidRDefault="00B650E5">
      <w:pPr>
        <w:pStyle w:val="Odsekzoznamu"/>
        <w:numPr>
          <w:ilvl w:val="0"/>
          <w:numId w:val="189"/>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Pr>
          <w:rStyle w:val="Odkaznapoznmkupodiarou"/>
        </w:rPr>
        <w:footnoteReference w:id="175"/>
      </w:r>
      <w:r>
        <w:t>, ktorý vydá ÚV SR v metodickom pokyne</w:t>
      </w:r>
      <w:r>
        <w:rPr>
          <w:rStyle w:val="Odkaznapoznmkupodiarou"/>
        </w:rPr>
        <w:footnoteReference w:id="176"/>
      </w:r>
      <w:r>
        <w:t>.</w:t>
      </w:r>
      <w:r w:rsidR="000E1145">
        <w:t xml:space="preserve"> Metodický pokyn podlieha schvaľovaniu Steering committee.</w:t>
      </w:r>
    </w:p>
    <w:p w14:paraId="029E6F87" w14:textId="77777777" w:rsidR="00B650E5" w:rsidRDefault="00B650E5">
      <w:pPr>
        <w:pStyle w:val="SRK2"/>
      </w:pPr>
      <w:bookmarkStart w:id="635" w:name="_Toc453234118"/>
      <w:bookmarkStart w:id="636" w:name="_Toc501630166"/>
      <w:r>
        <w:rPr>
          <w:rStyle w:val="Nadpis1Char"/>
          <w:sz w:val="36"/>
          <w:szCs w:val="26"/>
        </w:rPr>
        <w:t xml:space="preserve">5.2 </w:t>
      </w:r>
      <w:r>
        <w:rPr>
          <w:rStyle w:val="Nadpis1Char"/>
          <w:bCs/>
          <w:sz w:val="36"/>
          <w:szCs w:val="26"/>
        </w:rPr>
        <w:t>Špecifikácia informovania a komunikácie v SR</w:t>
      </w:r>
      <w:bookmarkEnd w:id="635"/>
      <w:bookmarkEnd w:id="636"/>
      <w:r>
        <w:rPr>
          <w:rStyle w:val="Nadpis1Char"/>
          <w:sz w:val="36"/>
          <w:szCs w:val="26"/>
        </w:rPr>
        <w:t xml:space="preserve"> </w:t>
      </w:r>
    </w:p>
    <w:p w14:paraId="13293C5A" w14:textId="77777777" w:rsidR="00B650E5" w:rsidRDefault="00B650E5">
      <w:pPr>
        <w:pStyle w:val="Odsekzoznamu"/>
        <w:numPr>
          <w:ilvl w:val="0"/>
          <w:numId w:val="192"/>
        </w:numPr>
        <w:spacing w:before="120" w:after="120"/>
        <w:ind w:left="425" w:hanging="425"/>
        <w:contextualSpacing w:val="0"/>
        <w:jc w:val="both"/>
      </w:pPr>
      <w:r>
        <w:t xml:space="preserve">Cieľom zabezpečenia informovania a komunikácie je: </w:t>
      </w:r>
    </w:p>
    <w:p w14:paraId="2FFD05EA"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dosiahnutie maximálnej dostupnosti informácií o úlohe EÚ, partnerstve, OP, ako aj o celkovej pomoci EŠIF; </w:t>
      </w:r>
    </w:p>
    <w:p w14:paraId="18D8BBD9"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prehlbovanie informovanosti o stanovených cieľoch a možnostiach pomoci poskytovanej z</w:t>
      </w:r>
      <w:r w:rsidR="00E60ECF">
        <w:rPr>
          <w:color w:val="000000"/>
          <w:lang w:eastAsia="en-US"/>
        </w:rPr>
        <w:t> </w:t>
      </w:r>
      <w:r>
        <w:rPr>
          <w:color w:val="000000"/>
          <w:lang w:eastAsia="en-US"/>
        </w:rPr>
        <w:t xml:space="preserve">EŠIF;  </w:t>
      </w:r>
    </w:p>
    <w:p w14:paraId="4DAB4581"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zvýšenie transparentnosti v súvislosti s využívaním  EŠIF;  </w:t>
      </w:r>
    </w:p>
    <w:p w14:paraId="3E963F41"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lastRenderedPageBreak/>
        <w:t xml:space="preserve">vytvorenie podmienok na maximálne možnú úspešnosť implementácie schválených projektov a na zvyšovanie kvality predkladaných projektov v rámci jednotlivých OP; </w:t>
      </w:r>
    </w:p>
    <w:p w14:paraId="25056ED7" w14:textId="77777777" w:rsidR="00B650E5" w:rsidRDefault="00B650E5">
      <w:pPr>
        <w:numPr>
          <w:ilvl w:val="0"/>
          <w:numId w:val="190"/>
        </w:numPr>
        <w:autoSpaceDE w:val="0"/>
        <w:autoSpaceDN w:val="0"/>
        <w:adjustRightInd w:val="0"/>
        <w:spacing w:before="120" w:after="120"/>
        <w:ind w:left="850" w:hanging="424"/>
        <w:jc w:val="both"/>
        <w:rPr>
          <w:color w:val="000000"/>
          <w:lang w:eastAsia="en-US"/>
        </w:rPr>
      </w:pPr>
      <w:r>
        <w:rPr>
          <w:color w:val="000000"/>
          <w:lang w:eastAsia="en-US"/>
        </w:rPr>
        <w:t xml:space="preserve">posilňovanie absorpčnej kapacity. </w:t>
      </w:r>
    </w:p>
    <w:p w14:paraId="5C79F9DB" w14:textId="77777777" w:rsidR="00B650E5" w:rsidRDefault="00B650E5">
      <w:pPr>
        <w:pStyle w:val="Odsekzoznamu"/>
        <w:numPr>
          <w:ilvl w:val="0"/>
          <w:numId w:val="192"/>
        </w:numPr>
        <w:spacing w:before="120" w:after="120"/>
        <w:ind w:left="425" w:hanging="425"/>
        <w:contextualSpacing w:val="0"/>
        <w:jc w:val="both"/>
      </w:pPr>
      <w:r>
        <w:t xml:space="preserve">Nástrojmi posilňovania absorpčnej kapacity sú: </w:t>
      </w:r>
    </w:p>
    <w:p w14:paraId="4E7338E6"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vytvorenie možností na šírenie príkladov osvedčenej praxe; </w:t>
      </w:r>
    </w:p>
    <w:p w14:paraId="355AB070"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zabezpečovanie školení a seminárov na výmenu skúseností; </w:t>
      </w:r>
    </w:p>
    <w:p w14:paraId="732F8D34"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podpora partnerstva a vzájomnej spolupráce pri príprave a realizácii projektov; </w:t>
      </w:r>
    </w:p>
    <w:p w14:paraId="0248FFE7" w14:textId="77777777" w:rsidR="00B650E5" w:rsidRDefault="00B650E5">
      <w:pPr>
        <w:numPr>
          <w:ilvl w:val="0"/>
          <w:numId w:val="191"/>
        </w:numPr>
        <w:autoSpaceDE w:val="0"/>
        <w:autoSpaceDN w:val="0"/>
        <w:adjustRightInd w:val="0"/>
        <w:spacing w:before="120" w:after="120"/>
        <w:ind w:left="850" w:hanging="424"/>
        <w:jc w:val="both"/>
        <w:rPr>
          <w:color w:val="000000"/>
          <w:lang w:eastAsia="en-US"/>
        </w:rPr>
      </w:pPr>
      <w:r>
        <w:rPr>
          <w:color w:val="000000"/>
          <w:lang w:eastAsia="en-US"/>
        </w:rPr>
        <w:t xml:space="preserve">zaisťovanie aktivít na sledovanie a vyhodnocovanie tejto oblasti. </w:t>
      </w:r>
    </w:p>
    <w:p w14:paraId="458DE5B5" w14:textId="77777777" w:rsidR="00B650E5" w:rsidRDefault="00B650E5">
      <w:pPr>
        <w:pStyle w:val="Odsekzoznamu"/>
        <w:numPr>
          <w:ilvl w:val="0"/>
          <w:numId w:val="192"/>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14:paraId="6FB231B6" w14:textId="77777777" w:rsidR="00B650E5" w:rsidRDefault="00B650E5" w:rsidP="000E286B">
      <w:pPr>
        <w:pStyle w:val="SRK2"/>
      </w:pPr>
      <w:bookmarkStart w:id="637" w:name="_Toc501630167"/>
      <w:bookmarkStart w:id="638" w:name="_Toc453234119"/>
      <w:r>
        <w:rPr>
          <w:rStyle w:val="Nadpis1Char"/>
          <w:sz w:val="36"/>
          <w:szCs w:val="26"/>
        </w:rPr>
        <w:t>5.3 Zabezpečovanie informovania a komunikácie na horizontálnej úrovni</w:t>
      </w:r>
      <w:bookmarkEnd w:id="637"/>
      <w:r>
        <w:rPr>
          <w:rStyle w:val="Nadpis1Char"/>
          <w:sz w:val="36"/>
          <w:szCs w:val="26"/>
        </w:rPr>
        <w:t xml:space="preserve"> </w:t>
      </w:r>
      <w:bookmarkEnd w:id="638"/>
    </w:p>
    <w:p w14:paraId="222A059C" w14:textId="77777777" w:rsidR="000E1145" w:rsidRDefault="000E1145" w:rsidP="001B709E">
      <w:pPr>
        <w:pStyle w:val="Odsekzoznamu"/>
        <w:numPr>
          <w:ilvl w:val="0"/>
          <w:numId w:val="193"/>
        </w:numPr>
        <w:spacing w:before="120" w:after="120"/>
        <w:ind w:left="426" w:hanging="426"/>
        <w:contextualSpacing w:val="0"/>
        <w:jc w:val="both"/>
      </w:pPr>
      <w:r>
        <w:t>Informovanie a komunikáciu zabezpečujú na národnej úrovni:</w:t>
      </w:r>
    </w:p>
    <w:p w14:paraId="4125FA21" w14:textId="77777777" w:rsidR="000E1145" w:rsidRDefault="000E1145" w:rsidP="001B709E">
      <w:pPr>
        <w:pStyle w:val="Odsekzoznamu"/>
        <w:numPr>
          <w:ilvl w:val="1"/>
          <w:numId w:val="412"/>
        </w:numPr>
        <w:spacing w:before="120" w:after="120"/>
        <w:ind w:left="851" w:hanging="425"/>
        <w:contextualSpacing w:val="0"/>
        <w:jc w:val="both"/>
      </w:pPr>
      <w:r>
        <w:t>Steering committee;</w:t>
      </w:r>
    </w:p>
    <w:p w14:paraId="68F99043" w14:textId="77777777" w:rsidR="000E1145" w:rsidRDefault="000E1145" w:rsidP="001B709E">
      <w:pPr>
        <w:pStyle w:val="Odsekzoznamu"/>
        <w:numPr>
          <w:ilvl w:val="1"/>
          <w:numId w:val="412"/>
        </w:numPr>
        <w:spacing w:before="120" w:after="120"/>
        <w:ind w:left="851" w:hanging="425"/>
        <w:contextualSpacing w:val="0"/>
        <w:jc w:val="both"/>
      </w:pPr>
      <w:r>
        <w:t>ÚV SR;</w:t>
      </w:r>
    </w:p>
    <w:p w14:paraId="49205718" w14:textId="77777777" w:rsidR="000E1145" w:rsidRDefault="000E1145" w:rsidP="001B709E">
      <w:pPr>
        <w:pStyle w:val="Odsekzoznamu"/>
        <w:numPr>
          <w:ilvl w:val="1"/>
          <w:numId w:val="412"/>
        </w:numPr>
        <w:spacing w:before="120" w:after="120"/>
        <w:ind w:left="851" w:hanging="425"/>
        <w:contextualSpacing w:val="0"/>
        <w:jc w:val="both"/>
      </w:pPr>
      <w:r>
        <w:t>Úradník pre informovanie a komunikáciu;</w:t>
      </w:r>
    </w:p>
    <w:p w14:paraId="78BA1E1D" w14:textId="77777777" w:rsidR="000E1145" w:rsidRDefault="000E1145" w:rsidP="001B709E">
      <w:pPr>
        <w:pStyle w:val="Odsekzoznamu"/>
        <w:numPr>
          <w:ilvl w:val="1"/>
          <w:numId w:val="412"/>
        </w:numPr>
        <w:spacing w:before="120" w:after="120"/>
        <w:ind w:left="851" w:hanging="425"/>
        <w:contextualSpacing w:val="0"/>
        <w:jc w:val="both"/>
      </w:pPr>
      <w:r>
        <w:t>CKO.</w:t>
      </w:r>
    </w:p>
    <w:p w14:paraId="17223C0B" w14:textId="77777777" w:rsidR="000E1145" w:rsidRDefault="000E1145" w:rsidP="001B709E">
      <w:pPr>
        <w:pStyle w:val="Odsekzoznamu"/>
        <w:numPr>
          <w:ilvl w:val="0"/>
          <w:numId w:val="193"/>
        </w:numPr>
        <w:spacing w:before="120" w:after="120"/>
        <w:ind w:left="426" w:hanging="426"/>
        <w:contextualSpacing w:val="0"/>
        <w:jc w:val="both"/>
      </w:pPr>
      <w:r>
        <w:t>Steering committee v oblasti zabezpečovania informovania a komunikácie najmä:</w:t>
      </w:r>
    </w:p>
    <w:p w14:paraId="17662F11" w14:textId="77777777" w:rsidR="000E1145" w:rsidRDefault="000E1145" w:rsidP="001B709E">
      <w:pPr>
        <w:pStyle w:val="Odsekzoznamu"/>
        <w:numPr>
          <w:ilvl w:val="1"/>
          <w:numId w:val="193"/>
        </w:numPr>
        <w:spacing w:before="120" w:after="120"/>
        <w:ind w:left="851" w:hanging="425"/>
        <w:contextualSpacing w:val="0"/>
        <w:jc w:val="both"/>
      </w:pPr>
      <w:r>
        <w:t xml:space="preserve">dohliada nad plnením Akčného plánu EK pre oblasť informovania a komunikácie; </w:t>
      </w:r>
    </w:p>
    <w:p w14:paraId="46285413" w14:textId="77777777" w:rsidR="000E1145" w:rsidRDefault="000E1145" w:rsidP="001B709E">
      <w:pPr>
        <w:pStyle w:val="Odsekzoznamu"/>
        <w:numPr>
          <w:ilvl w:val="1"/>
          <w:numId w:val="193"/>
        </w:numPr>
        <w:spacing w:before="120" w:after="120"/>
        <w:ind w:left="851" w:hanging="425"/>
        <w:contextualSpacing w:val="0"/>
        <w:jc w:val="both"/>
      </w:pPr>
      <w:r>
        <w:t>informuje EK o plnení Akčného plánu pre oblasť informovania a komunikácie;</w:t>
      </w:r>
    </w:p>
    <w:p w14:paraId="142E3FE3" w14:textId="77777777" w:rsidR="000E1145" w:rsidRDefault="000E1145" w:rsidP="001B709E">
      <w:pPr>
        <w:pStyle w:val="Odsekzoznamu"/>
        <w:numPr>
          <w:ilvl w:val="1"/>
          <w:numId w:val="193"/>
        </w:numPr>
        <w:spacing w:before="120" w:after="120"/>
        <w:ind w:left="851" w:hanging="425"/>
        <w:contextualSpacing w:val="0"/>
        <w:jc w:val="both"/>
      </w:pPr>
      <w:r>
        <w:t>metodicky usmerňuje RO v oblasti informovania a komunikácie;</w:t>
      </w:r>
    </w:p>
    <w:p w14:paraId="4D5598EB" w14:textId="77777777" w:rsidR="000E1145" w:rsidRDefault="000E1145" w:rsidP="001B709E">
      <w:pPr>
        <w:pStyle w:val="Odsekzoznamu"/>
        <w:numPr>
          <w:ilvl w:val="1"/>
          <w:numId w:val="193"/>
        </w:numPr>
        <w:spacing w:before="120" w:after="120"/>
        <w:ind w:left="851" w:hanging="425"/>
        <w:contextualSpacing w:val="0"/>
        <w:jc w:val="both"/>
      </w:pPr>
      <w:r>
        <w:t>dohliada nad obsahom a prepojením webových síd</w:t>
      </w:r>
      <w:r w:rsidR="00E60ECF">
        <w:t>i</w:t>
      </w:r>
      <w:r>
        <w:t>el</w:t>
      </w:r>
      <w:r w:rsidR="00E60ECF">
        <w:t>,</w:t>
      </w:r>
      <w:r>
        <w:t xml:space="preserve"> týkajúcich sa implementácie EŠIF;</w:t>
      </w:r>
    </w:p>
    <w:p w14:paraId="67D844B6" w14:textId="77777777" w:rsidR="000E1145" w:rsidRDefault="000E1145" w:rsidP="001B709E">
      <w:pPr>
        <w:pStyle w:val="Odsekzoznamu"/>
        <w:numPr>
          <w:ilvl w:val="1"/>
          <w:numId w:val="193"/>
        </w:numPr>
        <w:spacing w:before="120" w:after="120"/>
        <w:ind w:left="851" w:hanging="425"/>
        <w:contextualSpacing w:val="0"/>
        <w:jc w:val="both"/>
      </w:pPr>
      <w:r>
        <w:t>schvaľuje správu o komunikačných aktivitách RO;</w:t>
      </w:r>
    </w:p>
    <w:p w14:paraId="6ED0F60C" w14:textId="77777777" w:rsidR="000E1145" w:rsidRDefault="000E1145" w:rsidP="001B709E">
      <w:pPr>
        <w:pStyle w:val="Odsekzoznamu"/>
        <w:numPr>
          <w:ilvl w:val="1"/>
          <w:numId w:val="193"/>
        </w:numPr>
        <w:spacing w:before="120" w:after="120"/>
        <w:ind w:left="851" w:hanging="425"/>
        <w:contextualSpacing w:val="0"/>
        <w:jc w:val="both"/>
      </w:pPr>
      <w:r>
        <w:t>na návrh ÚV SR schvaľuje úradníka pre informovanie a komunikáciu.</w:t>
      </w:r>
    </w:p>
    <w:p w14:paraId="617C14D5" w14:textId="77777777" w:rsidR="000E1145" w:rsidRDefault="000E1145" w:rsidP="001B709E">
      <w:pPr>
        <w:spacing w:before="120" w:after="120"/>
        <w:ind w:left="426"/>
        <w:jc w:val="both"/>
      </w:pPr>
      <w:r>
        <w:t>Steering committe je zložený z generálnych riaditeľov CKO, RO, ÚV SR a úradníka pre informovanie a komunikáciu. Pôsobnosť a kompetencie Steering committe</w:t>
      </w:r>
      <w:r w:rsidR="00E60ECF">
        <w:t>e</w:t>
      </w:r>
      <w:r>
        <w:t xml:space="preserve"> upraví štatút a rokovací poriadok.</w:t>
      </w:r>
    </w:p>
    <w:p w14:paraId="70380D90" w14:textId="77777777" w:rsidR="000E1145" w:rsidRDefault="000E1145" w:rsidP="001B709E">
      <w:pPr>
        <w:pStyle w:val="Odsekzoznamu"/>
        <w:numPr>
          <w:ilvl w:val="0"/>
          <w:numId w:val="193"/>
        </w:numPr>
        <w:spacing w:before="120" w:after="120"/>
        <w:ind w:left="426" w:hanging="426"/>
        <w:contextualSpacing w:val="0"/>
        <w:jc w:val="both"/>
      </w:pPr>
      <w:r>
        <w:t>ÚV SR v oblasti zabezpečovania informovania a komunikácie najmä:</w:t>
      </w:r>
    </w:p>
    <w:p w14:paraId="316D3384" w14:textId="77777777" w:rsidR="000E1145" w:rsidRDefault="000E1145" w:rsidP="001B709E">
      <w:pPr>
        <w:pStyle w:val="Odsekzoznamu"/>
        <w:numPr>
          <w:ilvl w:val="1"/>
          <w:numId w:val="411"/>
        </w:numPr>
        <w:spacing w:before="120" w:after="120"/>
        <w:ind w:left="851" w:hanging="425"/>
        <w:contextualSpacing w:val="0"/>
        <w:jc w:val="both"/>
      </w:pPr>
      <w:r>
        <w:t xml:space="preserve">zodpovedá za vývoj a prevádzku webového sídla </w:t>
      </w:r>
      <w:hyperlink r:id="rId222" w:history="1">
        <w:r>
          <w:rPr>
            <w:rStyle w:val="Hypertextovprepojenie"/>
          </w:rPr>
          <w:t>www.partnerskadohoda.gov.sk</w:t>
        </w:r>
      </w:hyperlink>
      <w:r>
        <w:t>;</w:t>
      </w:r>
    </w:p>
    <w:p w14:paraId="455E1F80" w14:textId="77777777" w:rsidR="000E1145" w:rsidRDefault="000E1145" w:rsidP="001B709E">
      <w:pPr>
        <w:pStyle w:val="Odsekzoznamu"/>
        <w:numPr>
          <w:ilvl w:val="1"/>
          <w:numId w:val="411"/>
        </w:numPr>
        <w:spacing w:before="120" w:after="120"/>
        <w:ind w:left="851" w:hanging="425"/>
        <w:contextualSpacing w:val="0"/>
        <w:jc w:val="both"/>
      </w:pPr>
      <w:r>
        <w:t>koordinuje činnosť Pracovnej skupiny pre informovanie a komunikáciu;</w:t>
      </w:r>
    </w:p>
    <w:p w14:paraId="46EB5574" w14:textId="77777777" w:rsidR="000E1145" w:rsidRDefault="000E1145" w:rsidP="001B709E">
      <w:pPr>
        <w:pStyle w:val="Odsekzoznamu"/>
        <w:numPr>
          <w:ilvl w:val="1"/>
          <w:numId w:val="411"/>
        </w:numPr>
        <w:spacing w:before="120" w:after="120"/>
        <w:ind w:left="851" w:hanging="425"/>
        <w:contextualSpacing w:val="0"/>
        <w:jc w:val="both"/>
      </w:pPr>
      <w:r>
        <w:t>vydáva štatút a rokovací poriadok Pracovnej skupiny pre informovanie a komunikáciu;</w:t>
      </w:r>
    </w:p>
    <w:p w14:paraId="4D3A28D1" w14:textId="77777777" w:rsidR="000E1145" w:rsidRDefault="000E1145" w:rsidP="001B709E">
      <w:pPr>
        <w:pStyle w:val="Odsekzoznamu"/>
        <w:numPr>
          <w:ilvl w:val="1"/>
          <w:numId w:val="411"/>
        </w:numPr>
        <w:spacing w:before="120" w:after="120"/>
        <w:ind w:left="851" w:hanging="425"/>
        <w:contextualSpacing w:val="0"/>
        <w:jc w:val="both"/>
      </w:pPr>
      <w:r>
        <w:t>predkladá Steering committee správu o komunikačných aktivitách RO na základe správ o vykonávaní OP predkladaných v rokoch 2017 a 2019 a v záverečnej správe o vykonávaní OP;</w:t>
      </w:r>
    </w:p>
    <w:p w14:paraId="4B3CC66C" w14:textId="77777777" w:rsidR="000E1145" w:rsidRDefault="000E1145" w:rsidP="001B709E">
      <w:pPr>
        <w:pStyle w:val="Odsekzoznamu"/>
        <w:numPr>
          <w:ilvl w:val="1"/>
          <w:numId w:val="411"/>
        </w:numPr>
        <w:spacing w:before="120" w:after="120"/>
        <w:ind w:left="851" w:hanging="425"/>
        <w:contextualSpacing w:val="0"/>
        <w:jc w:val="both"/>
      </w:pPr>
      <w:r>
        <w:t xml:space="preserve">realizuje špeciálne aktivity v týždni, ktorý pripadá na 9. mája; </w:t>
      </w:r>
    </w:p>
    <w:p w14:paraId="7594F7AB" w14:textId="77777777" w:rsidR="000E1145" w:rsidRDefault="000E1145" w:rsidP="001B709E">
      <w:pPr>
        <w:pStyle w:val="Odsekzoznamu"/>
        <w:numPr>
          <w:ilvl w:val="1"/>
          <w:numId w:val="411"/>
        </w:numPr>
        <w:spacing w:before="120" w:after="120"/>
        <w:ind w:left="851" w:hanging="425"/>
        <w:contextualSpacing w:val="0"/>
        <w:jc w:val="both"/>
      </w:pPr>
      <w:r>
        <w:lastRenderedPageBreak/>
        <w:t>zodpovedá za vydávanie štvrťročníku EUROKOMPAS;</w:t>
      </w:r>
    </w:p>
    <w:p w14:paraId="6EEE6489" w14:textId="77777777" w:rsidR="000E1145" w:rsidRDefault="000E1145" w:rsidP="001B709E">
      <w:pPr>
        <w:pStyle w:val="Odsekzoznamu"/>
        <w:numPr>
          <w:ilvl w:val="1"/>
          <w:numId w:val="411"/>
        </w:numPr>
        <w:spacing w:before="120" w:after="120"/>
        <w:ind w:left="851" w:hanging="425"/>
        <w:contextualSpacing w:val="0"/>
        <w:jc w:val="both"/>
      </w:pPr>
      <w:r>
        <w:t>v spolupráci s CKO zabezpečuje ostatné aktivity v oblasti informovania a komunikácie (organizovanie workshopov, seminárov, konferencií, vydávanie letákov a brožúrok apod.)</w:t>
      </w:r>
      <w:r w:rsidR="00471F4F">
        <w:t>.</w:t>
      </w:r>
    </w:p>
    <w:p w14:paraId="4A93E111" w14:textId="77777777" w:rsidR="000E1145" w:rsidRDefault="000E1145" w:rsidP="001B709E">
      <w:pPr>
        <w:pStyle w:val="Odsekzoznamu"/>
        <w:numPr>
          <w:ilvl w:val="0"/>
          <w:numId w:val="193"/>
        </w:numPr>
        <w:spacing w:before="120" w:after="120"/>
        <w:ind w:left="426" w:hanging="426"/>
        <w:contextualSpacing w:val="0"/>
        <w:jc w:val="both"/>
      </w:pPr>
      <w:r>
        <w:t>Úradník pre informovanie a komunikáciu najmä:</w:t>
      </w:r>
    </w:p>
    <w:p w14:paraId="262E2869" w14:textId="77777777" w:rsidR="000E1145" w:rsidRDefault="000E1145" w:rsidP="001B709E">
      <w:pPr>
        <w:pStyle w:val="Odsekzoznamu"/>
        <w:numPr>
          <w:ilvl w:val="1"/>
          <w:numId w:val="193"/>
        </w:numPr>
        <w:spacing w:before="120" w:after="120"/>
        <w:ind w:left="851" w:hanging="425"/>
        <w:contextualSpacing w:val="0"/>
        <w:jc w:val="both"/>
      </w:pPr>
      <w:r>
        <w:t>koordinuje informačné a komunikačné činnosti</w:t>
      </w:r>
      <w:r w:rsidR="00471F4F">
        <w:t>,</w:t>
      </w:r>
      <w:r>
        <w:t xml:space="preserve"> týkajúce sa jedného alebo viacerých fondov na</w:t>
      </w:r>
      <w:r w:rsidR="00CA2B60">
        <w:t> </w:t>
      </w:r>
      <w:r>
        <w:t>úrovni Slovenskej republiky</w:t>
      </w:r>
      <w:r w:rsidR="00CA2B60">
        <w:t>;</w:t>
      </w:r>
    </w:p>
    <w:p w14:paraId="53D118D0" w14:textId="77777777" w:rsidR="000E1145" w:rsidRDefault="000E1145" w:rsidP="001B709E">
      <w:pPr>
        <w:pStyle w:val="Odsekzoznamu"/>
        <w:numPr>
          <w:ilvl w:val="1"/>
          <w:numId w:val="193"/>
        </w:numPr>
        <w:spacing w:before="120" w:after="120"/>
        <w:ind w:left="851" w:hanging="425"/>
        <w:contextualSpacing w:val="0"/>
        <w:jc w:val="both"/>
      </w:pPr>
      <w:r>
        <w:t>zodpovedá za koordináciu Pracovnej skupiny pre informovanie a</w:t>
      </w:r>
      <w:r w:rsidR="00CA2B60">
        <w:t> </w:t>
      </w:r>
      <w:r>
        <w:t>komunikáciu</w:t>
      </w:r>
      <w:r w:rsidR="00CA2B60">
        <w:t>;</w:t>
      </w:r>
      <w:r>
        <w:t xml:space="preserve"> </w:t>
      </w:r>
    </w:p>
    <w:p w14:paraId="17B1C725" w14:textId="77777777" w:rsidR="000E1145" w:rsidRDefault="000E1145" w:rsidP="001B709E">
      <w:pPr>
        <w:pStyle w:val="Odsekzoznamu"/>
        <w:numPr>
          <w:ilvl w:val="1"/>
          <w:numId w:val="193"/>
        </w:numPr>
        <w:spacing w:before="120" w:after="120"/>
        <w:ind w:left="851" w:hanging="425"/>
        <w:contextualSpacing w:val="0"/>
        <w:jc w:val="both"/>
      </w:pPr>
      <w:r>
        <w:t>zodpovedá za vytvorenie a údržbu webového sídla www.partnerskadohoda.gov.sk</w:t>
      </w:r>
      <w:r w:rsidR="00CA2B60">
        <w:t>;</w:t>
      </w:r>
      <w:r>
        <w:t xml:space="preserve"> </w:t>
      </w:r>
    </w:p>
    <w:p w14:paraId="1A319948" w14:textId="77777777" w:rsidR="000E1145" w:rsidRDefault="000E1145" w:rsidP="001B709E">
      <w:pPr>
        <w:pStyle w:val="Odsekzoznamu"/>
        <w:numPr>
          <w:ilvl w:val="1"/>
          <w:numId w:val="193"/>
        </w:numPr>
        <w:spacing w:before="120" w:after="120"/>
        <w:ind w:left="851" w:hanging="425"/>
        <w:contextualSpacing w:val="0"/>
        <w:jc w:val="both"/>
      </w:pPr>
      <w:r>
        <w:t>zodpovedá za poskytovanie prehľadu o komunikačných opatre</w:t>
      </w:r>
      <w:r w:rsidR="00CA2B60">
        <w:t>niach</w:t>
      </w:r>
      <w:r w:rsidR="00471F4F">
        <w:t>,</w:t>
      </w:r>
      <w:r w:rsidR="00CA2B60">
        <w:t xml:space="preserve"> vykonávaných na</w:t>
      </w:r>
      <w:r w:rsidR="00471F4F">
        <w:t> </w:t>
      </w:r>
      <w:r w:rsidR="00CA2B60">
        <w:t>úrovni SR;</w:t>
      </w:r>
    </w:p>
    <w:p w14:paraId="7BD21387" w14:textId="77777777" w:rsidR="000E1145" w:rsidRDefault="000E1145" w:rsidP="001B709E">
      <w:pPr>
        <w:pStyle w:val="Odsekzoznamu"/>
        <w:numPr>
          <w:ilvl w:val="1"/>
          <w:numId w:val="193"/>
        </w:numPr>
        <w:spacing w:before="120" w:after="120"/>
        <w:ind w:left="851" w:hanging="425"/>
        <w:contextualSpacing w:val="0"/>
        <w:jc w:val="both"/>
      </w:pPr>
      <w:r>
        <w:t>zúčastňuje sa na zasadnutiach Steering committee a pravidelne informuje o svojej činnosti</w:t>
      </w:r>
      <w:r w:rsidR="00CA2B60">
        <w:t>.</w:t>
      </w:r>
    </w:p>
    <w:p w14:paraId="454420F9" w14:textId="77777777" w:rsidR="000E1145" w:rsidRDefault="000E1145" w:rsidP="001B709E">
      <w:pPr>
        <w:pStyle w:val="Odsekzoznamu"/>
        <w:numPr>
          <w:ilvl w:val="0"/>
          <w:numId w:val="193"/>
        </w:numPr>
        <w:spacing w:before="120" w:after="120"/>
        <w:ind w:left="426" w:hanging="426"/>
        <w:contextualSpacing w:val="0"/>
        <w:jc w:val="both"/>
      </w:pPr>
      <w:r>
        <w:t>CKO v oblasti zabezpečovania informovania a komunikácie najmä</w:t>
      </w:r>
      <w:r w:rsidR="00CA2B60">
        <w:t>:</w:t>
      </w:r>
    </w:p>
    <w:p w14:paraId="61B1BEE8" w14:textId="77777777" w:rsidR="00CA2B60" w:rsidRDefault="000E1145" w:rsidP="001B709E">
      <w:pPr>
        <w:pStyle w:val="Odsekzoznamu"/>
        <w:numPr>
          <w:ilvl w:val="1"/>
          <w:numId w:val="193"/>
        </w:numPr>
        <w:spacing w:before="120" w:after="120"/>
        <w:ind w:left="851" w:hanging="425"/>
        <w:contextualSpacing w:val="0"/>
        <w:jc w:val="both"/>
      </w:pPr>
      <w:r>
        <w:t>v spolupráci s ÚV SR realizuje informovanosť a komunikáciu o</w:t>
      </w:r>
      <w:r w:rsidR="00CA2B60">
        <w:t> </w:t>
      </w:r>
      <w:r>
        <w:t>aktivitách</w:t>
      </w:r>
      <w:r w:rsidR="00CA2B60">
        <w:t>,</w:t>
      </w:r>
      <w:r>
        <w:t xml:space="preserve"> ktoré mu vyplývajú zo záväzných dokumentov (napr. koordinácia a riadenie EŠIF, monitorovanie a hodnotenie EŠIF, príprava programového obdobia post 2020, dohľad nad procesom implementácie formou organizovania workshopov, seminárov, konferencií, vydávanie letákov a brožúrok, expertných mediálnych vstupov apod.)</w:t>
      </w:r>
      <w:r w:rsidR="00CA2B60">
        <w:t>;</w:t>
      </w:r>
    </w:p>
    <w:p w14:paraId="7AF5AAEF" w14:textId="77777777" w:rsidR="000E1145" w:rsidRDefault="000E1145" w:rsidP="001B709E">
      <w:pPr>
        <w:pStyle w:val="Odsekzoznamu"/>
        <w:numPr>
          <w:ilvl w:val="1"/>
          <w:numId w:val="193"/>
        </w:numPr>
        <w:spacing w:before="120" w:after="120"/>
        <w:ind w:left="851" w:hanging="425"/>
        <w:contextualSpacing w:val="0"/>
        <w:jc w:val="both"/>
      </w:pPr>
      <w:r>
        <w:t xml:space="preserve">pripravuje a realizuje podujatie o najlepších projektoch pre </w:t>
      </w:r>
      <w:r w:rsidR="00CA2B60">
        <w:t>programové obdobie 2007</w:t>
      </w:r>
      <w:r w:rsidR="00BF106A">
        <w:t xml:space="preserve"> </w:t>
      </w:r>
      <w:r w:rsidR="00CA2B60">
        <w:t>-</w:t>
      </w:r>
      <w:r w:rsidR="00BF106A">
        <w:t xml:space="preserve"> </w:t>
      </w:r>
      <w:r w:rsidR="00CA2B60">
        <w:t>2013 a</w:t>
      </w:r>
      <w:r w:rsidR="00BF106A">
        <w:t> </w:t>
      </w:r>
      <w:r w:rsidR="00CA2B60">
        <w:t>2014</w:t>
      </w:r>
      <w:r w:rsidR="00BF106A">
        <w:t xml:space="preserve"> </w:t>
      </w:r>
      <w:r w:rsidR="00CA2B60">
        <w:t>-</w:t>
      </w:r>
      <w:r w:rsidR="00BF106A">
        <w:t xml:space="preserve"> </w:t>
      </w:r>
      <w:r w:rsidR="00CA2B60">
        <w:t>2020.</w:t>
      </w:r>
    </w:p>
    <w:p w14:paraId="3DAB9F2A" w14:textId="77777777" w:rsidR="00B650E5" w:rsidRDefault="00CA2B60" w:rsidP="001B709E">
      <w:pPr>
        <w:pStyle w:val="Odsekzoznamu"/>
        <w:numPr>
          <w:ilvl w:val="0"/>
          <w:numId w:val="193"/>
        </w:numPr>
        <w:spacing w:before="120" w:after="120"/>
        <w:ind w:left="426" w:hanging="426"/>
        <w:contextualSpacing w:val="0"/>
        <w:jc w:val="both"/>
      </w:pPr>
      <w:r>
        <w:t>ÚV SR</w:t>
      </w:r>
      <w:r w:rsidR="00B650E5">
        <w:t xml:space="preserve">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w:t>
      </w:r>
      <w:r>
        <w:t xml:space="preserve"> ÚV</w:t>
      </w:r>
      <w:r w:rsidR="00BF106A">
        <w:t> </w:t>
      </w:r>
      <w:r>
        <w:t>SR</w:t>
      </w:r>
      <w:r w:rsidR="00B650E5">
        <w:t xml:space="preserve"> monitorovať v rámci výročných správ o vykonávaní OP</w:t>
      </w:r>
      <w:r w:rsidR="00471F4F">
        <w:t>,</w:t>
      </w:r>
      <w:r w:rsidR="00B650E5">
        <w:t xml:space="preserve"> predkladaných v rokoch 2017 a 2019 a v záverečnej správe o vykonávaní OP. </w:t>
      </w:r>
    </w:p>
    <w:p w14:paraId="7C05F056"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223" w:history="1">
        <w:r w:rsidRPr="00673252">
          <w:rPr>
            <w:rStyle w:val="Hypertextovprepojenie"/>
          </w:rPr>
          <w:t>www.partnerskadohoda.gov.sk</w:t>
        </w:r>
      </w:hyperlink>
      <w:r>
        <w:t xml:space="preserve"> je hlavným a spoločným informačným nástrojom CKO, RO, ÚV SR a gestorov HP</w:t>
      </w:r>
      <w:r w:rsidR="00471F4F">
        <w:t>,</w:t>
      </w:r>
      <w:r>
        <w:t xml:space="preserve"> poskytujúci základné informácie o EŠIF potenciálnym žiadateľom o NFP, žiadateľom o NFP, prijímateľom a širokej verejnosti. Webové sídlo </w:t>
      </w:r>
      <w:hyperlink r:id="rId224" w:history="1">
        <w:r w:rsidRPr="00673252">
          <w:rPr>
            <w:rStyle w:val="Hypertextovprepojenie"/>
          </w:rPr>
          <w:t>www.partnerskadohoda.gov.sk</w:t>
        </w:r>
      </w:hyperlink>
      <w:r>
        <w:t xml:space="preserve"> bude medializované CKO a RO pomocou ostatných komunikačných opatrení (napr. odkazy na webové </w:t>
      </w:r>
      <w:r w:rsidR="00CA2B60">
        <w:t xml:space="preserve">sídlo </w:t>
      </w:r>
      <w:hyperlink r:id="rId225" w:history="1">
        <w:r w:rsidRPr="00673252">
          <w:rPr>
            <w:rStyle w:val="Hypertextovprepojenie"/>
          </w:rPr>
          <w:t>www.partnerskadohoda.gov.sk</w:t>
        </w:r>
      </w:hyperlink>
      <w:r>
        <w:t>). Za</w:t>
      </w:r>
      <w:r w:rsidR="00CA2B60">
        <w:t> </w:t>
      </w:r>
      <w:r>
        <w:t xml:space="preserve">fungovanie webového sídla </w:t>
      </w:r>
      <w:hyperlink r:id="rId226" w:history="1">
        <w:r w:rsidRPr="00FA1E63">
          <w:rPr>
            <w:rStyle w:val="Hypertextovprepojenie"/>
          </w:rPr>
          <w:t>www.partnerskadohoda.gov.sk</w:t>
        </w:r>
      </w:hyperlink>
      <w:r>
        <w:t xml:space="preserve"> je zodpovedný ÚV SR, pričom CKO a RO sú povinné poskytnúť aktívnu súčinnosť, keďže webové sídlo </w:t>
      </w:r>
      <w:hyperlink r:id="rId227" w:history="1">
        <w:r w:rsidRPr="00FA1E63">
          <w:rPr>
            <w:rStyle w:val="Hypertextovprepojenie"/>
          </w:rPr>
          <w:t>www.partnerskadohoda.gov.sk</w:t>
        </w:r>
      </w:hyperlink>
      <w:r>
        <w:t xml:space="preserve"> bude poskytovať aktuálne informácie o všetkých OP, preto sa na</w:t>
      </w:r>
      <w:r w:rsidR="00CA2B60">
        <w:t> </w:t>
      </w:r>
      <w:r>
        <w:t xml:space="preserve">obsahovej náplni webového sídla </w:t>
      </w:r>
      <w:hyperlink r:id="rId228" w:history="1">
        <w:r w:rsidRPr="00FA1E63">
          <w:rPr>
            <w:rStyle w:val="Hypertextovprepojenie"/>
          </w:rPr>
          <w:t>www.partnerskadohoda.gov.sk</w:t>
        </w:r>
      </w:hyperlink>
      <w:r>
        <w:t xml:space="preserve"> podieľa každý člen  </w:t>
      </w:r>
      <w:r w:rsidR="00CA2B60">
        <w:t xml:space="preserve">Pracovnej skupiny pre informovanie a komunikáciu </w:t>
      </w:r>
      <w:r>
        <w:t>formou zasielania podkladov a informácií za</w:t>
      </w:r>
      <w:r w:rsidR="00BF106A">
        <w:t> </w:t>
      </w:r>
      <w:r>
        <w:t xml:space="preserve">príslušný OP. </w:t>
      </w:r>
    </w:p>
    <w:p w14:paraId="0AE20A88" w14:textId="77777777" w:rsidR="00B650E5" w:rsidRDefault="00B650E5">
      <w:pPr>
        <w:pStyle w:val="Odsekzoznamu"/>
        <w:numPr>
          <w:ilvl w:val="0"/>
          <w:numId w:val="193"/>
        </w:numPr>
        <w:spacing w:before="120" w:after="120"/>
        <w:ind w:left="425" w:hanging="425"/>
        <w:contextualSpacing w:val="0"/>
        <w:jc w:val="both"/>
      </w:pPr>
      <w:r>
        <w:t xml:space="preserve">Webové sídlo </w:t>
      </w:r>
      <w:hyperlink r:id="rId229" w:history="1">
        <w:r w:rsidRPr="00FA1E63">
          <w:rPr>
            <w:rStyle w:val="Hypertextovprepojenie"/>
          </w:rPr>
          <w:t>www.partnerskadohoda.gov.sk</w:t>
        </w:r>
      </w:hyperlink>
      <w:r>
        <w:t xml:space="preserve"> obsahuje najmä nasledujúce informácie: </w:t>
      </w:r>
    </w:p>
    <w:p w14:paraId="1CBABD7A"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schválenú PD, schválené OP a ďalšie dokumenty spojené s implementáciou EŠIF; </w:t>
      </w:r>
    </w:p>
    <w:p w14:paraId="4303C265"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legislatívu SR a EÚ zameraná na EŠIF programového obdobia 2014 – 2020;</w:t>
      </w:r>
    </w:p>
    <w:p w14:paraId="024564B4"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jednotlivých OP;</w:t>
      </w:r>
    </w:p>
    <w:p w14:paraId="3B34EFDC"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informácie o aktuálnom stave čerpania EŠIF;</w:t>
      </w:r>
    </w:p>
    <w:p w14:paraId="78E293AD" w14:textId="77777777" w:rsidR="00B650E5" w:rsidRDefault="00B650E5">
      <w:pPr>
        <w:numPr>
          <w:ilvl w:val="0"/>
          <w:numId w:val="196"/>
        </w:numPr>
        <w:autoSpaceDE w:val="0"/>
        <w:autoSpaceDN w:val="0"/>
        <w:adjustRightInd w:val="0"/>
        <w:spacing w:before="120" w:after="120"/>
        <w:ind w:left="851" w:hanging="425"/>
        <w:jc w:val="both"/>
        <w:rPr>
          <w:color w:val="000000"/>
          <w:lang w:eastAsia="en-US"/>
        </w:rPr>
      </w:pPr>
      <w:r>
        <w:rPr>
          <w:color w:val="000000"/>
          <w:lang w:eastAsia="en-US"/>
        </w:rPr>
        <w:t xml:space="preserve">výročné/záverečné správy o vykonávaní OP a správy o pokroku pri vykonávaní PD; </w:t>
      </w:r>
    </w:p>
    <w:p w14:paraId="27485301"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lastRenderedPageBreak/>
        <w:t>kontakty na CKO a jednotlivé RO a SO;</w:t>
      </w:r>
    </w:p>
    <w:p w14:paraId="1CA50A48"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kontakty na zástupcov v rámci Integrovanej siete informačno-poradenských centier o OP EŠIF </w:t>
      </w:r>
    </w:p>
    <w:p w14:paraId="0288397C"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prepojenie na webové sídla jednotlivých RO, gestorov HP, EK, OCKÚ OLAF a iné webové sídla týkajúce sa problematiky EŠIF; </w:t>
      </w:r>
    </w:p>
    <w:p w14:paraId="3F120EE8"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časový harmonogram výziev a aktuálne informácie o zverejnených výzvach s prepojením na príslušné webové sídla RO; </w:t>
      </w:r>
    </w:p>
    <w:p w14:paraId="32D2B15A"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informácie o publikáciách vydaných ÚV SR, CKO, RO a OCKÚ OLAF, konferenciách a seminároch, stretnutiach s úspešnými predkladateľmi projektov a so zástupcami regionálnych kancelárií SR v Bruseli; </w:t>
      </w:r>
    </w:p>
    <w:p w14:paraId="57EA96B8"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zoznam projektov, ktoré boli spolufinancované z EŠIF; </w:t>
      </w:r>
    </w:p>
    <w:p w14:paraId="5DA5068E"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príklady dobrej praxe (názov, krátky opis projektu, fotografie) a mapu realizovaných projektov; </w:t>
      </w:r>
    </w:p>
    <w:p w14:paraId="1EF95D24"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odborný slovník pojmov na zjednodušenie orientácie v oblasti EŠIF; </w:t>
      </w:r>
    </w:p>
    <w:p w14:paraId="5F76E29A" w14:textId="77777777" w:rsidR="00B650E5" w:rsidRDefault="00B650E5">
      <w:pPr>
        <w:numPr>
          <w:ilvl w:val="0"/>
          <w:numId w:val="196"/>
        </w:numPr>
        <w:autoSpaceDE w:val="0"/>
        <w:autoSpaceDN w:val="0"/>
        <w:adjustRightInd w:val="0"/>
        <w:spacing w:before="120" w:after="120"/>
        <w:ind w:left="850" w:hanging="424"/>
        <w:jc w:val="both"/>
        <w:rPr>
          <w:color w:val="000000"/>
          <w:lang w:eastAsia="en-US"/>
        </w:rPr>
      </w:pPr>
      <w:r>
        <w:rPr>
          <w:color w:val="000000"/>
          <w:lang w:eastAsia="en-US"/>
        </w:rPr>
        <w:t xml:space="preserve">archív informácií a dokumentov po dobe ich platnosti. </w:t>
      </w:r>
    </w:p>
    <w:p w14:paraId="6EE01472" w14:textId="77777777" w:rsidR="00B650E5" w:rsidRDefault="00B650E5">
      <w:pPr>
        <w:pStyle w:val="Odsekzoznamu"/>
        <w:numPr>
          <w:ilvl w:val="0"/>
          <w:numId w:val="193"/>
        </w:numPr>
        <w:spacing w:before="120" w:after="120"/>
        <w:ind w:left="425" w:hanging="425"/>
        <w:contextualSpacing w:val="0"/>
        <w:jc w:val="both"/>
      </w:pPr>
      <w:r>
        <w:t xml:space="preserve">Štvrťročník Eurokompas poskytuje všetkým záujemcom a ďalším subjektom kompletné a aktuálne informácie o príprave strategických dokumentov a implementácii OP v rámci PO 2014 - 2020 v písomnej forme.  </w:t>
      </w:r>
      <w:r w:rsidR="00CA2B60">
        <w:t xml:space="preserve">ÚV SR </w:t>
      </w:r>
      <w:r>
        <w:t>pripravuje vydávanie Eurokompasu v spolupráci s</w:t>
      </w:r>
      <w:r w:rsidR="00CA2B60">
        <w:t> </w:t>
      </w:r>
      <w:r>
        <w:t xml:space="preserve">RO jedenkrát za štvrťrok a distribuuje ho všetkým mestám a obciam SR, regionálnym informačným centrám CKO, samosprávnym krajom a iným zainteresovaným subjektom. </w:t>
      </w:r>
    </w:p>
    <w:p w14:paraId="257D45D6" w14:textId="77777777" w:rsidR="00B650E5" w:rsidRDefault="00B650E5">
      <w:pPr>
        <w:pStyle w:val="SRK3"/>
      </w:pPr>
      <w:bookmarkStart w:id="639" w:name="_Toc453234120"/>
      <w:bookmarkStart w:id="640" w:name="_Toc501630168"/>
      <w:r>
        <w:t>5.3.1 Integrovaná sieť informačno-poradenských centier</w:t>
      </w:r>
      <w:bookmarkEnd w:id="639"/>
      <w:r w:rsidR="00B971D8">
        <w:t xml:space="preserve"> pre EŠIF</w:t>
      </w:r>
      <w:bookmarkEnd w:id="640"/>
    </w:p>
    <w:p w14:paraId="51ECF649" w14:textId="77777777" w:rsidR="00B650E5" w:rsidRDefault="00B650E5">
      <w:pPr>
        <w:pStyle w:val="Odsekzoznamu"/>
        <w:numPr>
          <w:ilvl w:val="0"/>
          <w:numId w:val="313"/>
        </w:numPr>
        <w:spacing w:before="120" w:after="120"/>
        <w:ind w:left="425" w:hanging="425"/>
        <w:contextualSpacing w:val="0"/>
        <w:jc w:val="both"/>
      </w:pPr>
      <w:r>
        <w:t xml:space="preserve">CKO je gestorom integrovanej siete informačno-poradenských centier </w:t>
      </w:r>
      <w:r w:rsidR="00B971D8">
        <w:t xml:space="preserve">pre EŠIF </w:t>
      </w:r>
      <w:r>
        <w:t>so zastúpením v  regiónoch SR, ktorých cieľom je poskytovanie odborného poradenstva pre potenciálnych žiadateľov, žiadateľov a prijímateľov v oblasti EŠIF. CKO zabezpečí zriadenie integrovanej siete informačno-poradenských centier podľa predchádzajúcej vety najneskôr v roku 2016.</w:t>
      </w:r>
    </w:p>
    <w:p w14:paraId="0AB13CAB" w14:textId="77777777" w:rsidR="00B650E5" w:rsidRDefault="00B650E5">
      <w:pPr>
        <w:pStyle w:val="Odsekzoznamu"/>
        <w:numPr>
          <w:ilvl w:val="0"/>
          <w:numId w:val="313"/>
        </w:numPr>
        <w:spacing w:before="120" w:after="120"/>
        <w:ind w:left="425" w:hanging="425"/>
        <w:contextualSpacing w:val="0"/>
        <w:jc w:val="both"/>
      </w:pPr>
      <w:r>
        <w:t>CKO koordinuje činnosť informačno-poradenských centier (ďalej „IPC“) a spolu s aktívnou spoluprácou s RO zabezpečuje nasledovné činnosti: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758"/>
        <w:gridCol w:w="3858"/>
        <w:gridCol w:w="38"/>
      </w:tblGrid>
      <w:tr w:rsidR="00B650E5" w14:paraId="04C7CC5A" w14:textId="77777777" w:rsidTr="000E6473">
        <w:trPr>
          <w:trHeight w:val="245"/>
          <w:jc w:val="center"/>
        </w:trPr>
        <w:tc>
          <w:tcPr>
            <w:tcW w:w="5758" w:type="dxa"/>
            <w:shd w:val="clear" w:color="auto" w:fill="95B3D7"/>
          </w:tcPr>
          <w:p w14:paraId="4C71200C" w14:textId="77777777" w:rsidR="00B650E5" w:rsidRPr="000E6473" w:rsidRDefault="00B650E5" w:rsidP="000E6473">
            <w:pPr>
              <w:jc w:val="center"/>
              <w:rPr>
                <w:b/>
              </w:rPr>
            </w:pPr>
            <w:r w:rsidRPr="000E6473">
              <w:rPr>
                <w:b/>
                <w:sz w:val="22"/>
                <w:szCs w:val="22"/>
              </w:rPr>
              <w:t>Zabezpečenie činnosti</w:t>
            </w:r>
          </w:p>
        </w:tc>
        <w:tc>
          <w:tcPr>
            <w:tcW w:w="3858" w:type="dxa"/>
            <w:gridSpan w:val="2"/>
            <w:shd w:val="clear" w:color="auto" w:fill="95B3D7"/>
          </w:tcPr>
          <w:p w14:paraId="2AE7417B" w14:textId="77777777" w:rsidR="00B650E5" w:rsidRPr="000E6473" w:rsidRDefault="00B650E5" w:rsidP="000E6473">
            <w:pPr>
              <w:jc w:val="center"/>
              <w:rPr>
                <w:b/>
              </w:rPr>
            </w:pPr>
            <w:r w:rsidRPr="000E6473">
              <w:rPr>
                <w:b/>
                <w:sz w:val="22"/>
                <w:szCs w:val="22"/>
              </w:rPr>
              <w:t>Zodpovedný subjekt</w:t>
            </w:r>
          </w:p>
        </w:tc>
      </w:tr>
      <w:tr w:rsidR="00B650E5" w14:paraId="3AAE232A"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7FF742CD" w14:textId="77777777" w:rsidR="00B650E5" w:rsidRPr="000E6473" w:rsidRDefault="00B650E5" w:rsidP="000E6473">
            <w:pPr>
              <w:pStyle w:val="Odsekzoznamu"/>
              <w:numPr>
                <w:ilvl w:val="0"/>
                <w:numId w:val="311"/>
              </w:numPr>
            </w:pPr>
            <w:r w:rsidRPr="000E6473">
              <w:rPr>
                <w:sz w:val="22"/>
                <w:szCs w:val="22"/>
              </w:rPr>
              <w:t>informovanie širokej verejnosti o fungovaní IPC</w:t>
            </w:r>
          </w:p>
        </w:tc>
        <w:tc>
          <w:tcPr>
            <w:tcW w:w="3858" w:type="dxa"/>
            <w:vAlign w:val="center"/>
          </w:tcPr>
          <w:p w14:paraId="4BCAB5D2" w14:textId="77777777" w:rsidR="00B650E5" w:rsidRPr="000E6473" w:rsidRDefault="00B650E5" w:rsidP="000E6473">
            <w:pPr>
              <w:jc w:val="center"/>
            </w:pPr>
            <w:r w:rsidRPr="000E6473">
              <w:rPr>
                <w:sz w:val="22"/>
                <w:szCs w:val="22"/>
              </w:rPr>
              <w:t>CKO, RO</w:t>
            </w:r>
          </w:p>
        </w:tc>
      </w:tr>
      <w:tr w:rsidR="00B650E5" w14:paraId="0C836EA4"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4587CEFC" w14:textId="77777777" w:rsidR="00B650E5" w:rsidRPr="000E6473" w:rsidRDefault="00B650E5" w:rsidP="000E6473">
            <w:pPr>
              <w:pStyle w:val="Odsekzoznamu"/>
              <w:numPr>
                <w:ilvl w:val="0"/>
                <w:numId w:val="311"/>
              </w:numPr>
            </w:pPr>
            <w:r w:rsidRPr="000E6473">
              <w:rPr>
                <w:sz w:val="22"/>
                <w:szCs w:val="22"/>
              </w:rPr>
              <w:t>školenia pre zamestnancov IPC</w:t>
            </w:r>
          </w:p>
        </w:tc>
        <w:tc>
          <w:tcPr>
            <w:tcW w:w="3858" w:type="dxa"/>
            <w:vAlign w:val="center"/>
          </w:tcPr>
          <w:p w14:paraId="061C7364" w14:textId="77777777" w:rsidR="00B650E5" w:rsidRPr="000E6473" w:rsidRDefault="00B650E5" w:rsidP="000E6473">
            <w:pPr>
              <w:jc w:val="center"/>
            </w:pPr>
            <w:r w:rsidRPr="000E6473">
              <w:rPr>
                <w:sz w:val="22"/>
                <w:szCs w:val="22"/>
              </w:rPr>
              <w:t>CKO, RO</w:t>
            </w:r>
          </w:p>
        </w:tc>
      </w:tr>
      <w:tr w:rsidR="00B650E5" w14:paraId="75DB5785"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29383C9B" w14:textId="77777777" w:rsidR="00B650E5" w:rsidRPr="000E6473" w:rsidRDefault="00B650E5" w:rsidP="000E6473">
            <w:pPr>
              <w:pStyle w:val="Odsekzoznamu"/>
              <w:numPr>
                <w:ilvl w:val="0"/>
                <w:numId w:val="311"/>
              </w:numPr>
            </w:pPr>
            <w:r w:rsidRPr="000E6473">
              <w:rPr>
                <w:sz w:val="22"/>
                <w:szCs w:val="22"/>
              </w:rPr>
              <w:t>pravidelné poskytovanie aktuálnych informácií o príslušnom OP zamestnancom IPC</w:t>
            </w:r>
          </w:p>
        </w:tc>
        <w:tc>
          <w:tcPr>
            <w:tcW w:w="3858" w:type="dxa"/>
            <w:vAlign w:val="center"/>
          </w:tcPr>
          <w:p w14:paraId="6D79D488" w14:textId="77777777" w:rsidR="00B650E5" w:rsidRPr="000E6473" w:rsidRDefault="00B650E5" w:rsidP="000E6473">
            <w:pPr>
              <w:jc w:val="center"/>
            </w:pPr>
            <w:r w:rsidRPr="000E6473">
              <w:rPr>
                <w:sz w:val="22"/>
                <w:szCs w:val="22"/>
              </w:rPr>
              <w:t>RO</w:t>
            </w:r>
          </w:p>
        </w:tc>
      </w:tr>
      <w:tr w:rsidR="00B650E5" w14:paraId="1CAA7B5E"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7AB97BBB" w14:textId="77777777" w:rsidR="00B650E5" w:rsidRPr="000E6473" w:rsidRDefault="00B650E5" w:rsidP="000E6473">
            <w:pPr>
              <w:pStyle w:val="Odsekzoznamu"/>
              <w:numPr>
                <w:ilvl w:val="0"/>
                <w:numId w:val="311"/>
              </w:numPr>
            </w:pPr>
            <w:r w:rsidRPr="000E6473">
              <w:rPr>
                <w:sz w:val="22"/>
                <w:szCs w:val="22"/>
              </w:rPr>
              <w:t>hodnotenie činnosti jednotlivých IPC na polročnej báze</w:t>
            </w:r>
          </w:p>
        </w:tc>
        <w:tc>
          <w:tcPr>
            <w:tcW w:w="3858" w:type="dxa"/>
            <w:vAlign w:val="center"/>
          </w:tcPr>
          <w:p w14:paraId="38CC9CDC" w14:textId="77777777" w:rsidR="00B650E5" w:rsidRPr="000E6473" w:rsidRDefault="00B650E5" w:rsidP="000E6473">
            <w:pPr>
              <w:jc w:val="center"/>
            </w:pPr>
            <w:r w:rsidRPr="000E6473">
              <w:rPr>
                <w:sz w:val="22"/>
                <w:szCs w:val="22"/>
              </w:rPr>
              <w:t>CKO, RO</w:t>
            </w:r>
          </w:p>
        </w:tc>
      </w:tr>
      <w:tr w:rsidR="00B650E5" w14:paraId="79F101EB" w14:textId="77777777" w:rsidTr="000E6473">
        <w:tblPrEx>
          <w:tblCellMar>
            <w:left w:w="108" w:type="dxa"/>
            <w:right w:w="108" w:type="dxa"/>
          </w:tblCellMar>
          <w:tblLook w:val="00A0" w:firstRow="1" w:lastRow="0" w:firstColumn="1" w:lastColumn="0" w:noHBand="0" w:noVBand="0"/>
        </w:tblPrEx>
        <w:trPr>
          <w:gridAfter w:val="1"/>
          <w:wAfter w:w="38" w:type="dxa"/>
          <w:jc w:val="center"/>
        </w:trPr>
        <w:tc>
          <w:tcPr>
            <w:tcW w:w="5758" w:type="dxa"/>
            <w:vAlign w:val="center"/>
          </w:tcPr>
          <w:p w14:paraId="534B77A6" w14:textId="77777777" w:rsidR="00B650E5" w:rsidRPr="000E6473" w:rsidRDefault="00B650E5" w:rsidP="000E6473">
            <w:pPr>
              <w:pStyle w:val="Odsekzoznamu"/>
              <w:numPr>
                <w:ilvl w:val="0"/>
                <w:numId w:val="311"/>
              </w:numPr>
            </w:pPr>
            <w:r w:rsidRPr="000E6473">
              <w:rPr>
                <w:sz w:val="22"/>
                <w:szCs w:val="22"/>
              </w:rPr>
              <w:t>spolupráca so všetkými subjektmi zapojenými do implementácie EŠIF</w:t>
            </w:r>
          </w:p>
        </w:tc>
        <w:tc>
          <w:tcPr>
            <w:tcW w:w="3858" w:type="dxa"/>
            <w:vAlign w:val="center"/>
          </w:tcPr>
          <w:p w14:paraId="113A057B" w14:textId="77777777" w:rsidR="00B650E5" w:rsidRPr="000E6473" w:rsidRDefault="00B650E5" w:rsidP="000E6473">
            <w:pPr>
              <w:jc w:val="center"/>
            </w:pPr>
            <w:r w:rsidRPr="000E6473">
              <w:rPr>
                <w:sz w:val="22"/>
                <w:szCs w:val="22"/>
              </w:rPr>
              <w:t>CKO, RO</w:t>
            </w:r>
          </w:p>
        </w:tc>
      </w:tr>
    </w:tbl>
    <w:p w14:paraId="2DE38417" w14:textId="77777777" w:rsidR="00B650E5" w:rsidRDefault="00B650E5">
      <w:pPr>
        <w:pStyle w:val="Odsekzoznamu"/>
        <w:numPr>
          <w:ilvl w:val="0"/>
          <w:numId w:val="313"/>
        </w:numPr>
        <w:spacing w:before="120" w:after="120"/>
        <w:ind w:left="425" w:hanging="425"/>
        <w:contextualSpacing w:val="0"/>
        <w:jc w:val="both"/>
      </w:pPr>
      <w:r>
        <w:t>Hlavnými činnosťami IPC sú:</w:t>
      </w:r>
    </w:p>
    <w:p w14:paraId="0C4F399B" w14:textId="77777777" w:rsidR="00B650E5" w:rsidRDefault="00B650E5">
      <w:pPr>
        <w:pStyle w:val="Odsekzoznamu"/>
        <w:numPr>
          <w:ilvl w:val="0"/>
          <w:numId w:val="312"/>
        </w:numPr>
        <w:spacing w:before="120" w:after="120"/>
        <w:ind w:left="851" w:hanging="425"/>
        <w:contextualSpacing w:val="0"/>
        <w:jc w:val="both"/>
        <w:rPr>
          <w:szCs w:val="20"/>
        </w:rPr>
      </w:pPr>
      <w:r>
        <w:rPr>
          <w:szCs w:val="20"/>
        </w:rPr>
        <w:t>spolupráca s CKO, ÚV SR a RO na príprave a realizácii informačných aktivít o možnostiach využívania EŠIF určených pre širšiu verejnosť;</w:t>
      </w:r>
    </w:p>
    <w:p w14:paraId="56619B37" w14:textId="77777777" w:rsidR="00B650E5" w:rsidRDefault="00B650E5">
      <w:pPr>
        <w:pStyle w:val="Odsekzoznamu"/>
        <w:numPr>
          <w:ilvl w:val="0"/>
          <w:numId w:val="312"/>
        </w:numPr>
        <w:spacing w:before="120" w:after="120"/>
        <w:ind w:left="851" w:hanging="425"/>
        <w:contextualSpacing w:val="0"/>
        <w:jc w:val="both"/>
        <w:rPr>
          <w:szCs w:val="20"/>
        </w:rPr>
      </w:pPr>
      <w:r>
        <w:rPr>
          <w:szCs w:val="20"/>
        </w:rPr>
        <w:t xml:space="preserve">spolupráca s RO a SO pri príprave a realizácii informačných aktivít určených pre špecifické cieľové skupiny; </w:t>
      </w:r>
    </w:p>
    <w:p w14:paraId="798C77C0"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seminárov k zverejneným výzvam;</w:t>
      </w:r>
    </w:p>
    <w:p w14:paraId="1CDAFABC" w14:textId="77777777" w:rsidR="00B650E5" w:rsidRDefault="00B650E5">
      <w:pPr>
        <w:pStyle w:val="Odsekzoznamu"/>
        <w:numPr>
          <w:ilvl w:val="0"/>
          <w:numId w:val="312"/>
        </w:numPr>
        <w:spacing w:before="120" w:after="120"/>
        <w:ind w:left="851" w:hanging="425"/>
        <w:contextualSpacing w:val="0"/>
        <w:jc w:val="both"/>
        <w:rPr>
          <w:szCs w:val="20"/>
        </w:rPr>
      </w:pPr>
      <w:r>
        <w:rPr>
          <w:szCs w:val="20"/>
        </w:rPr>
        <w:lastRenderedPageBreak/>
        <w:t>organizácia školení pre žiadateľov na podporu procesu prípravy ŽoNFP;</w:t>
      </w:r>
    </w:p>
    <w:p w14:paraId="17D1CD0D" w14:textId="77777777" w:rsidR="00B650E5" w:rsidRDefault="00B650E5">
      <w:pPr>
        <w:pStyle w:val="Odsekzoznamu"/>
        <w:numPr>
          <w:ilvl w:val="0"/>
          <w:numId w:val="312"/>
        </w:numPr>
        <w:spacing w:before="120" w:after="120"/>
        <w:ind w:left="851" w:hanging="425"/>
        <w:contextualSpacing w:val="0"/>
        <w:jc w:val="both"/>
        <w:rPr>
          <w:szCs w:val="20"/>
        </w:rPr>
      </w:pPr>
      <w:r>
        <w:rPr>
          <w:szCs w:val="20"/>
        </w:rPr>
        <w:t>organizácia školení pre prijímateľov na podporu procesu implementácie projektov;</w:t>
      </w:r>
    </w:p>
    <w:p w14:paraId="66B41B86"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tematickom zameraní projektových zámerov/ŽoNFP;</w:t>
      </w:r>
    </w:p>
    <w:p w14:paraId="2690DF8A"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spracovaní projektových zámerov/ŽoNFP (finančné a nefinančné aspekty);</w:t>
      </w:r>
    </w:p>
    <w:p w14:paraId="1EDC6E47" w14:textId="77777777" w:rsidR="00B650E5" w:rsidRDefault="00B650E5">
      <w:pPr>
        <w:pStyle w:val="Odsekzoznamu"/>
        <w:numPr>
          <w:ilvl w:val="0"/>
          <w:numId w:val="312"/>
        </w:numPr>
        <w:spacing w:before="120" w:after="120"/>
        <w:ind w:left="851" w:hanging="425"/>
        <w:contextualSpacing w:val="0"/>
        <w:jc w:val="both"/>
        <w:rPr>
          <w:szCs w:val="20"/>
        </w:rPr>
      </w:pPr>
      <w:r>
        <w:rPr>
          <w:szCs w:val="20"/>
        </w:rPr>
        <w:t>poskytovanie osobných konzultácií pri implementácii projektov (finančné a nefinančné aspekty);</w:t>
      </w:r>
    </w:p>
    <w:p w14:paraId="097F55AA" w14:textId="77777777" w:rsidR="00B650E5" w:rsidRDefault="00B650E5">
      <w:pPr>
        <w:pStyle w:val="Odsekzoznamu"/>
        <w:numPr>
          <w:ilvl w:val="0"/>
          <w:numId w:val="312"/>
        </w:numPr>
        <w:spacing w:before="120" w:after="120"/>
        <w:ind w:left="851" w:hanging="425"/>
        <w:contextualSpacing w:val="0"/>
        <w:jc w:val="both"/>
        <w:rPr>
          <w:szCs w:val="20"/>
        </w:rPr>
      </w:pPr>
      <w:r>
        <w:rPr>
          <w:szCs w:val="20"/>
        </w:rPr>
        <w:t>podpora pri identifikácii partnerov pre šírenie informovanosti o EŠIF a potenciálnych žiadateľov.</w:t>
      </w:r>
    </w:p>
    <w:p w14:paraId="75061340" w14:textId="77777777" w:rsidR="00B650E5" w:rsidRDefault="00B650E5">
      <w:pPr>
        <w:pStyle w:val="SRK2"/>
      </w:pPr>
      <w:bookmarkStart w:id="641" w:name="_Toc453234121"/>
      <w:bookmarkStart w:id="642" w:name="_Toc501630169"/>
      <w:r>
        <w:rPr>
          <w:rStyle w:val="Nadpis1Char"/>
          <w:sz w:val="36"/>
          <w:szCs w:val="26"/>
        </w:rPr>
        <w:t>5.4 Zabezpečovanie informovania a komunikácie na úrovni RO</w:t>
      </w:r>
      <w:bookmarkEnd w:id="641"/>
      <w:bookmarkEnd w:id="642"/>
    </w:p>
    <w:p w14:paraId="051D7CCF" w14:textId="77777777" w:rsidR="00B650E5" w:rsidRDefault="00B650E5">
      <w:pPr>
        <w:pStyle w:val="Odsekzoznamu"/>
        <w:numPr>
          <w:ilvl w:val="0"/>
          <w:numId w:val="198"/>
        </w:numPr>
        <w:spacing w:before="120" w:after="120"/>
        <w:ind w:left="425" w:hanging="425"/>
        <w:contextualSpacing w:val="0"/>
        <w:jc w:val="both"/>
      </w:pPr>
      <w:r>
        <w:t xml:space="preserve">RO je zodpovedný za dodržiavanie požiadaviek na informovanie a komunikáciu v súlade s legislatívou EÚ a SR. Pripravuje, realizuje, mení a dopĺňa komunikačnú stratégiu pre príslušný OP, za ktorý zodpovedá. </w:t>
      </w:r>
    </w:p>
    <w:p w14:paraId="5749BCBB" w14:textId="77777777" w:rsidR="00B650E5" w:rsidRDefault="00B650E5">
      <w:pPr>
        <w:pStyle w:val="Odsekzoznamu"/>
        <w:numPr>
          <w:ilvl w:val="0"/>
          <w:numId w:val="198"/>
        </w:numPr>
        <w:spacing w:before="120" w:after="120"/>
        <w:ind w:left="425" w:hanging="425"/>
        <w:contextualSpacing w:val="0"/>
        <w:jc w:val="both"/>
      </w:pPr>
      <w:r>
        <w:t xml:space="preserve">RO zabezpečí informovanie všetkých cieľových skupín minimálne: </w:t>
      </w:r>
    </w:p>
    <w:p w14:paraId="42DA403A"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úlohách EÚ, RO a MV; </w:t>
      </w:r>
    </w:p>
    <w:p w14:paraId="49DED94C"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OP, jeho postavení a úlohe v rámci programového obdobia</w:t>
      </w:r>
      <w:r>
        <w:rPr>
          <w:color w:val="000000"/>
          <w:lang w:eastAsia="en-US"/>
        </w:rPr>
        <w:br/>
        <w:t xml:space="preserve">2014 </w:t>
      </w:r>
      <w:r w:rsidR="00471F4F">
        <w:rPr>
          <w:color w:val="000000"/>
          <w:lang w:eastAsia="en-US"/>
        </w:rPr>
        <w:t>–</w:t>
      </w:r>
      <w:r>
        <w:rPr>
          <w:color w:val="000000"/>
          <w:lang w:eastAsia="en-US"/>
        </w:rPr>
        <w:t xml:space="preserve"> 2020</w:t>
      </w:r>
      <w:r w:rsidR="00471F4F">
        <w:rPr>
          <w:color w:val="000000"/>
          <w:lang w:eastAsia="en-US"/>
        </w:rPr>
        <w:t>,</w:t>
      </w:r>
      <w:r>
        <w:rPr>
          <w:color w:val="000000"/>
          <w:lang w:eastAsia="en-US"/>
        </w:rPr>
        <w:t xml:space="preserve"> ako aj o jeho cieľoch; </w:t>
      </w:r>
    </w:p>
    <w:p w14:paraId="0543057D"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cieľoch relevantných HP; </w:t>
      </w:r>
    </w:p>
    <w:p w14:paraId="77364DD2"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podmienkach poskytnutia príspevku, ktoré je potrebné splniť na získanie pomoci z EŠIF; </w:t>
      </w:r>
    </w:p>
    <w:p w14:paraId="79546114"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jednotlivých krokoch procesu získavania prostriedkov z EŠIF, </w:t>
      </w:r>
      <w:r w:rsidR="00C93F30">
        <w:rPr>
          <w:color w:val="000000"/>
          <w:lang w:eastAsia="en-US"/>
        </w:rPr>
        <w:t xml:space="preserve">t. j. </w:t>
      </w:r>
      <w:r>
        <w:rPr>
          <w:color w:val="000000"/>
          <w:lang w:eastAsia="en-US"/>
        </w:rPr>
        <w:t>zverejniť informácie o</w:t>
      </w:r>
      <w:r w:rsidR="00471F4F">
        <w:rPr>
          <w:color w:val="000000"/>
          <w:lang w:eastAsia="en-US"/>
        </w:rPr>
        <w:t> </w:t>
      </w:r>
      <w:r>
        <w:rPr>
          <w:color w:val="000000"/>
          <w:lang w:eastAsia="en-US"/>
        </w:rPr>
        <w:t xml:space="preserve">výzvach, podmienkach poskytnutia príspevku, schválených projektoch, atď.; </w:t>
      </w:r>
    </w:p>
    <w:p w14:paraId="351D3CC5"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kontaktoch na národnej, regionálnej alebo miestnej úrovni, ktoré môžu poskytnúť informácie o OP; </w:t>
      </w:r>
    </w:p>
    <w:p w14:paraId="3DB118D3"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aktuálnom stave čerpania finančných prostriedkov za OP v *.cvs alebo *.xml formáte, ktorý je aktualizovaný v  mesačnom intervale; </w:t>
      </w:r>
    </w:p>
    <w:p w14:paraId="4E122686"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zozname projektov, ktorý je aktualizovaný v mesačnom intervale v *.cvs alebo *.xml formáte;</w:t>
      </w:r>
    </w:p>
    <w:p w14:paraId="295CD4A6"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o náležitostiach definovaných v § 48 zákona o príspevku z EŠIF a ďalších skutočnostiach, ktoré sú povinne zverejňované podľa tohto alebo iných zákonov;</w:t>
      </w:r>
    </w:p>
    <w:p w14:paraId="6956A258" w14:textId="77777777" w:rsidR="00B650E5" w:rsidRDefault="00B650E5">
      <w:pPr>
        <w:numPr>
          <w:ilvl w:val="0"/>
          <w:numId w:val="197"/>
        </w:numPr>
        <w:autoSpaceDE w:val="0"/>
        <w:autoSpaceDN w:val="0"/>
        <w:adjustRightInd w:val="0"/>
        <w:spacing w:before="120" w:after="120"/>
        <w:ind w:left="850" w:hanging="424"/>
        <w:jc w:val="both"/>
        <w:rPr>
          <w:color w:val="000000"/>
          <w:lang w:eastAsia="en-US"/>
        </w:rPr>
      </w:pPr>
      <w:r>
        <w:rPr>
          <w:color w:val="000000"/>
          <w:lang w:eastAsia="en-US"/>
        </w:rPr>
        <w:t xml:space="preserve">o potrebe chrániť finančné záujmy EÚ, o boji proti podvodom a korupcii v súvislosti s čerpaním prostriedkov EÚ v rámci EŠIF v minimálnom rozsahu určenom na úrovni pracovnej skupiny pre komunikáciu zriadenú pod </w:t>
      </w:r>
      <w:r>
        <w:t>Riadiacim výborom na ochranu finančných záujmov EÚ</w:t>
      </w:r>
      <w:r>
        <w:rPr>
          <w:color w:val="000000"/>
          <w:lang w:eastAsia="en-US"/>
        </w:rPr>
        <w:t>.</w:t>
      </w:r>
    </w:p>
    <w:p w14:paraId="3B9EF318" w14:textId="77777777" w:rsidR="00B650E5" w:rsidRDefault="00B650E5">
      <w:pPr>
        <w:pStyle w:val="Odsekzoznamu"/>
        <w:numPr>
          <w:ilvl w:val="0"/>
          <w:numId w:val="198"/>
        </w:numPr>
        <w:spacing w:before="120" w:after="120"/>
        <w:ind w:left="425" w:hanging="425"/>
        <w:contextualSpacing w:val="0"/>
        <w:jc w:val="both"/>
      </w:pPr>
      <w:r>
        <w:t xml:space="preserve">RO je zodpovedný za organizovanie minimálne týchto opatrení v oblasti informovania a komunikácie: </w:t>
      </w:r>
    </w:p>
    <w:p w14:paraId="5BE0B37D" w14:textId="77777777" w:rsidR="00B650E5" w:rsidRDefault="00B650E5">
      <w:pPr>
        <w:numPr>
          <w:ilvl w:val="0"/>
          <w:numId w:val="199"/>
        </w:numPr>
        <w:spacing w:before="120" w:after="120"/>
        <w:ind w:left="851" w:hanging="425"/>
        <w:jc w:val="both"/>
        <w:rPr>
          <w:lang w:eastAsia="en-US"/>
        </w:rPr>
      </w:pPr>
      <w:r>
        <w:rPr>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14:paraId="56529F18" w14:textId="77777777" w:rsidR="00B650E5" w:rsidRDefault="00B650E5">
      <w:pPr>
        <w:numPr>
          <w:ilvl w:val="0"/>
          <w:numId w:val="199"/>
        </w:numPr>
        <w:spacing w:before="120" w:after="120"/>
        <w:ind w:left="851" w:hanging="425"/>
        <w:jc w:val="both"/>
        <w:rPr>
          <w:lang w:eastAsia="en-US"/>
        </w:rPr>
      </w:pPr>
      <w:r>
        <w:rPr>
          <w:lang w:eastAsia="en-US"/>
        </w:rPr>
        <w:lastRenderedPageBreak/>
        <w:t>minimálne jedna veľká informačná aktivita (napr. celoštátna konferencia) raz za rok, ako je ustanovené v</w:t>
      </w:r>
      <w:r w:rsidR="00066A3D">
        <w:rPr>
          <w:lang w:eastAsia="en-US"/>
        </w:rPr>
        <w:t xml:space="preserve"> ročnom </w:t>
      </w:r>
      <w:r>
        <w:rPr>
          <w:lang w:eastAsia="en-US"/>
        </w:rPr>
        <w:t xml:space="preserve">komunikačnom pláne, ktorou sa prezentujú výsledky OP, vrátane veľkých projektov, ak je to vhodné; </w:t>
      </w:r>
    </w:p>
    <w:p w14:paraId="3AAE5002" w14:textId="77777777" w:rsidR="00B650E5" w:rsidRDefault="00B650E5">
      <w:pPr>
        <w:numPr>
          <w:ilvl w:val="0"/>
          <w:numId w:val="199"/>
        </w:numPr>
        <w:spacing w:before="120" w:after="120"/>
        <w:ind w:left="851" w:hanging="425"/>
        <w:jc w:val="both"/>
        <w:rPr>
          <w:lang w:eastAsia="en-US"/>
        </w:rPr>
      </w:pPr>
      <w:r>
        <w:rPr>
          <w:lang w:eastAsia="en-US"/>
        </w:rPr>
        <w:t xml:space="preserve">vyvesenie európskej zástavy na jeden týždeň od 9. mája pred priestory každého RO; </w:t>
      </w:r>
    </w:p>
    <w:p w14:paraId="4C4032F8" w14:textId="77777777" w:rsidR="00B650E5" w:rsidRDefault="00B650E5">
      <w:pPr>
        <w:numPr>
          <w:ilvl w:val="0"/>
          <w:numId w:val="199"/>
        </w:numPr>
        <w:spacing w:before="120" w:after="120"/>
        <w:ind w:left="851" w:hanging="425"/>
        <w:jc w:val="both"/>
        <w:rPr>
          <w:lang w:eastAsia="en-US"/>
        </w:rPr>
      </w:pPr>
      <w:r>
        <w:rPr>
          <w:lang w:eastAsia="en-US"/>
        </w:rPr>
        <w:t xml:space="preserve">zverejnenie informácií v súlade s ustanoveniami zákona o príspevku z EŠIF, resp. ustanovení Systému riadenia EŠIF. </w:t>
      </w:r>
    </w:p>
    <w:p w14:paraId="55F0308E" w14:textId="77777777" w:rsidR="00B650E5" w:rsidRDefault="00B650E5">
      <w:pPr>
        <w:pStyle w:val="Odsekzoznamu"/>
        <w:numPr>
          <w:ilvl w:val="0"/>
          <w:numId w:val="198"/>
        </w:numPr>
        <w:spacing w:before="120" w:after="120"/>
        <w:ind w:left="425" w:hanging="425"/>
        <w:contextualSpacing w:val="0"/>
        <w:jc w:val="both"/>
      </w:pPr>
      <w:r>
        <w:t>V rámci informovania všetkých cieľových skupín  RO  povinne využíva minimálne jedného z</w:t>
      </w:r>
      <w:r w:rsidR="00471F4F">
        <w:t> </w:t>
      </w:r>
      <w:r>
        <w:t xml:space="preserve">nasledovných partnerov spolupráce na komunikačných aktivitách, ktorý môže zabezpečiť čo najväčšie rozšírenie informácií: </w:t>
      </w:r>
    </w:p>
    <w:p w14:paraId="7A8396F7" w14:textId="77777777" w:rsidR="00B650E5" w:rsidRDefault="00B650E5">
      <w:pPr>
        <w:numPr>
          <w:ilvl w:val="0"/>
          <w:numId w:val="200"/>
        </w:numPr>
        <w:spacing w:before="120" w:after="120"/>
        <w:ind w:left="851" w:hanging="425"/>
        <w:jc w:val="both"/>
        <w:rPr>
          <w:lang w:eastAsia="en-US"/>
        </w:rPr>
      </w:pPr>
      <w:r>
        <w:rPr>
          <w:lang w:eastAsia="en-US"/>
        </w:rPr>
        <w:t xml:space="preserve">štátne, regionálne a miestne orgány a rozvojové agentúry; </w:t>
      </w:r>
    </w:p>
    <w:p w14:paraId="25438AB4" w14:textId="77777777" w:rsidR="00B650E5" w:rsidRDefault="00B650E5">
      <w:pPr>
        <w:numPr>
          <w:ilvl w:val="0"/>
          <w:numId w:val="200"/>
        </w:numPr>
        <w:spacing w:before="120" w:after="120"/>
        <w:ind w:left="851" w:hanging="425"/>
        <w:jc w:val="both"/>
        <w:rPr>
          <w:lang w:eastAsia="en-US"/>
        </w:rPr>
      </w:pPr>
      <w:r>
        <w:rPr>
          <w:lang w:eastAsia="en-US"/>
        </w:rPr>
        <w:t xml:space="preserve">obchodné a profesijné združenia; </w:t>
      </w:r>
    </w:p>
    <w:p w14:paraId="2B2CD05E" w14:textId="77777777" w:rsidR="00B650E5" w:rsidRDefault="00B650E5">
      <w:pPr>
        <w:numPr>
          <w:ilvl w:val="0"/>
          <w:numId w:val="200"/>
        </w:numPr>
        <w:spacing w:before="120" w:after="120"/>
        <w:ind w:left="851" w:hanging="425"/>
        <w:jc w:val="both"/>
        <w:rPr>
          <w:lang w:eastAsia="en-US"/>
        </w:rPr>
      </w:pPr>
      <w:r>
        <w:rPr>
          <w:lang w:eastAsia="en-US"/>
        </w:rPr>
        <w:t xml:space="preserve">hospodárski a sociálni partneri; </w:t>
      </w:r>
    </w:p>
    <w:p w14:paraId="714269BB" w14:textId="77777777" w:rsidR="00B650E5" w:rsidRDefault="00B650E5">
      <w:pPr>
        <w:numPr>
          <w:ilvl w:val="0"/>
          <w:numId w:val="200"/>
        </w:numPr>
        <w:spacing w:before="120" w:after="120"/>
        <w:ind w:left="851" w:hanging="425"/>
        <w:jc w:val="both"/>
        <w:rPr>
          <w:lang w:eastAsia="en-US"/>
        </w:rPr>
      </w:pPr>
      <w:r>
        <w:rPr>
          <w:lang w:eastAsia="en-US"/>
        </w:rPr>
        <w:t xml:space="preserve">mimovládne organizácie; </w:t>
      </w:r>
    </w:p>
    <w:p w14:paraId="1BDF24FF" w14:textId="77777777" w:rsidR="00B650E5" w:rsidRDefault="00B650E5">
      <w:pPr>
        <w:numPr>
          <w:ilvl w:val="0"/>
          <w:numId w:val="200"/>
        </w:numPr>
        <w:spacing w:before="120" w:after="120"/>
        <w:ind w:left="851" w:hanging="425"/>
        <w:jc w:val="both"/>
        <w:rPr>
          <w:lang w:eastAsia="en-US"/>
        </w:rPr>
      </w:pPr>
      <w:r>
        <w:rPr>
          <w:lang w:eastAsia="en-US"/>
        </w:rPr>
        <w:t xml:space="preserve">organizácie zastupujúce podnikateľov; </w:t>
      </w:r>
    </w:p>
    <w:p w14:paraId="5A9AFA11" w14:textId="77777777" w:rsidR="00B650E5" w:rsidRDefault="00B650E5">
      <w:pPr>
        <w:numPr>
          <w:ilvl w:val="0"/>
          <w:numId w:val="200"/>
        </w:numPr>
        <w:spacing w:before="120" w:after="120"/>
        <w:ind w:left="851" w:hanging="425"/>
        <w:jc w:val="both"/>
        <w:rPr>
          <w:lang w:eastAsia="en-US"/>
        </w:rPr>
      </w:pPr>
      <w:r>
        <w:rPr>
          <w:lang w:eastAsia="en-US"/>
        </w:rPr>
        <w:t xml:space="preserve">informačné centrá pri zastupiteľstvách Európy, ako aj zastúpenia EK v členských štátoch; </w:t>
      </w:r>
    </w:p>
    <w:p w14:paraId="06783732" w14:textId="77777777" w:rsidR="00B650E5" w:rsidRDefault="00B650E5">
      <w:pPr>
        <w:numPr>
          <w:ilvl w:val="0"/>
          <w:numId w:val="200"/>
        </w:numPr>
        <w:spacing w:before="120" w:after="120"/>
        <w:ind w:left="851" w:hanging="425"/>
        <w:jc w:val="both"/>
        <w:rPr>
          <w:lang w:eastAsia="en-US"/>
        </w:rPr>
      </w:pPr>
      <w:r>
        <w:rPr>
          <w:lang w:eastAsia="en-US"/>
        </w:rPr>
        <w:t xml:space="preserve">vzdelávacie inštitúcie. </w:t>
      </w:r>
    </w:p>
    <w:p w14:paraId="4CEA248C" w14:textId="77777777" w:rsidR="00B650E5" w:rsidRDefault="00B650E5">
      <w:pPr>
        <w:pStyle w:val="Odsekzoznamu"/>
        <w:numPr>
          <w:ilvl w:val="0"/>
          <w:numId w:val="198"/>
        </w:numPr>
        <w:spacing w:before="120" w:after="120"/>
        <w:ind w:left="425" w:hanging="425"/>
        <w:contextualSpacing w:val="0"/>
        <w:jc w:val="both"/>
      </w:pPr>
      <w:r>
        <w:t xml:space="preserve">RO menuje kontaktnú osobu zodpovednú za informovanie a komunikáciu, ktorá je členom  </w:t>
      </w:r>
      <w:r w:rsidR="00CA2B60">
        <w:t xml:space="preserve">Pracovnej skupiny pre informovanie a komunikáciu </w:t>
      </w:r>
      <w:r>
        <w:t xml:space="preserve">a zároveň plní úlohy RO voči </w:t>
      </w:r>
      <w:r w:rsidR="00CA2B60">
        <w:t>ÚV</w:t>
      </w:r>
      <w:r w:rsidR="00471F4F">
        <w:t> </w:t>
      </w:r>
      <w:r w:rsidR="00CA2B60">
        <w:t>SR vo</w:t>
      </w:r>
      <w:r w:rsidR="00471F4F">
        <w:t> </w:t>
      </w:r>
      <w:r w:rsidR="00CA2B60">
        <w:t>vzťahu k oblasti informovania a komunikácie</w:t>
      </w:r>
      <w:r>
        <w:t>. Každý RO určí jednu osobu, ktorá bude zodpovedať za informovanie a komunikáciu na úrovni OP a informuje o tom EK (príslušné generálne riaditeľstvo). V prípade potreby príslušné RO môžu určiť jednu osobu pre niekoľko OP.</w:t>
      </w:r>
    </w:p>
    <w:p w14:paraId="4D88EF37" w14:textId="77777777" w:rsidR="00B650E5" w:rsidRDefault="00B650E5">
      <w:pPr>
        <w:pStyle w:val="Odsekzoznamu"/>
        <w:numPr>
          <w:ilvl w:val="0"/>
          <w:numId w:val="198"/>
        </w:numPr>
        <w:spacing w:before="120" w:after="120"/>
        <w:ind w:left="425" w:hanging="425"/>
        <w:contextualSpacing w:val="0"/>
        <w:jc w:val="both"/>
      </w:pPr>
      <w:r>
        <w:t xml:space="preserve">RO je povinný poskytnúť aktívnu súčinnosť pri zverejňovaní všetkých aktuálnych informácií na webovom sídle </w:t>
      </w:r>
      <w:hyperlink r:id="rId230" w:history="1">
        <w:r w:rsidR="00AE1464" w:rsidRPr="00E0218C">
          <w:rPr>
            <w:rStyle w:val="Hypertextovprepojenie"/>
          </w:rPr>
          <w:t>www.partnerskadohoda.gov.sk</w:t>
        </w:r>
      </w:hyperlink>
      <w:r w:rsidR="007324D5">
        <w:t>,</w:t>
      </w:r>
      <w:r>
        <w:t xml:space="preserve"> a to ich zasielaním najneskôr v deň schválenia, resp. zverejnenia danej informácie na webovom sídle daného RO na emailové adresy stanovené </w:t>
      </w:r>
      <w:r w:rsidR="00CA2B60">
        <w:t>ÚV SR</w:t>
      </w:r>
      <w:r>
        <w:t xml:space="preserve">. RO okrem toho poskytuje aj informácie o časovom harmonograme zverejňovania výziev, zverejnených výzvach, ich zmenách a ďalšie informácie v rozsahu podľa Systému riadenia EŠIF a dokumentmi vydanými na jeho základe. </w:t>
      </w:r>
    </w:p>
    <w:p w14:paraId="194E0173" w14:textId="77777777" w:rsidR="00B650E5" w:rsidRDefault="00B650E5">
      <w:pPr>
        <w:pStyle w:val="Odsekzoznamu"/>
        <w:numPr>
          <w:ilvl w:val="0"/>
          <w:numId w:val="198"/>
        </w:numPr>
        <w:spacing w:before="120" w:after="120"/>
        <w:ind w:left="425" w:hanging="425"/>
        <w:contextualSpacing w:val="0"/>
        <w:jc w:val="both"/>
      </w:pPr>
      <w:r>
        <w:t xml:space="preserve">RO vo výročných správach a záverečnej správe o vykonávaní OP, predkladaných v rokoch 2017 a 2019, ako aj v záverečnej správe o vykonávaní OP, v nadväznosti na prijaté opatrenia v oblasti informovania a komunikácie uvádza: </w:t>
      </w:r>
    </w:p>
    <w:p w14:paraId="609A64E7" w14:textId="77777777" w:rsidR="00B650E5" w:rsidRDefault="00B650E5">
      <w:pPr>
        <w:numPr>
          <w:ilvl w:val="0"/>
          <w:numId w:val="201"/>
        </w:numPr>
        <w:spacing w:before="120" w:after="120"/>
        <w:ind w:left="851" w:hanging="425"/>
        <w:jc w:val="both"/>
        <w:rPr>
          <w:lang w:eastAsia="en-US"/>
        </w:rPr>
      </w:pPr>
      <w:r>
        <w:rPr>
          <w:lang w:eastAsia="en-US"/>
        </w:rPr>
        <w:t xml:space="preserve">príklady informačných a komunikačných opatrení uskutočnených pri realizácii komunikačnej stratégie príslušného OP; </w:t>
      </w:r>
    </w:p>
    <w:p w14:paraId="1E1DE0BD" w14:textId="77777777" w:rsidR="00B650E5" w:rsidRDefault="00B650E5">
      <w:pPr>
        <w:numPr>
          <w:ilvl w:val="0"/>
          <w:numId w:val="201"/>
        </w:numPr>
        <w:spacing w:before="120" w:after="120"/>
        <w:ind w:left="851" w:hanging="425"/>
        <w:jc w:val="both"/>
        <w:rPr>
          <w:lang w:eastAsia="en-US"/>
        </w:rPr>
      </w:pPr>
      <w:r>
        <w:rPr>
          <w:lang w:eastAsia="en-US"/>
        </w:rPr>
        <w:t xml:space="preserve">nástroje/prostriedky realizácie opatrení informovania a komunikácie a ak je to možné, tiež elektronickú adresu, na ktorej sú zverejnené uvedené údaje; </w:t>
      </w:r>
    </w:p>
    <w:p w14:paraId="7B437EEF" w14:textId="77777777" w:rsidR="00B650E5" w:rsidRDefault="00B650E5">
      <w:pPr>
        <w:numPr>
          <w:ilvl w:val="0"/>
          <w:numId w:val="201"/>
        </w:numPr>
        <w:spacing w:before="120" w:after="120"/>
        <w:ind w:left="851" w:hanging="425"/>
        <w:jc w:val="both"/>
        <w:rPr>
          <w:lang w:eastAsia="en-US"/>
        </w:rPr>
      </w:pPr>
      <w:r>
        <w:rPr>
          <w:lang w:eastAsia="en-US"/>
        </w:rPr>
        <w:t xml:space="preserve">obsah významných zmien komunikačnej stratégie. </w:t>
      </w:r>
    </w:p>
    <w:p w14:paraId="67699394" w14:textId="77777777" w:rsidR="00B650E5" w:rsidRDefault="00B650E5">
      <w:pPr>
        <w:pStyle w:val="Odsekzoznamu"/>
        <w:numPr>
          <w:ilvl w:val="0"/>
          <w:numId w:val="198"/>
        </w:numPr>
        <w:spacing w:before="120" w:after="120"/>
        <w:ind w:left="425" w:hanging="425"/>
        <w:contextualSpacing w:val="0"/>
        <w:jc w:val="both"/>
      </w:pPr>
      <w:r>
        <w:t xml:space="preserve">RO je povinný informovať aspoň raz do roka: </w:t>
      </w:r>
    </w:p>
    <w:p w14:paraId="584F7F3D" w14:textId="77777777" w:rsidR="00B650E5" w:rsidRDefault="00B650E5">
      <w:pPr>
        <w:numPr>
          <w:ilvl w:val="0"/>
          <w:numId w:val="202"/>
        </w:numPr>
        <w:spacing w:before="120" w:after="120"/>
        <w:ind w:left="851" w:hanging="425"/>
        <w:jc w:val="both"/>
        <w:rPr>
          <w:lang w:eastAsia="en-US"/>
        </w:rPr>
      </w:pPr>
      <w:r>
        <w:rPr>
          <w:lang w:eastAsia="en-US"/>
        </w:rPr>
        <w:t xml:space="preserve">o komunikačnej stratégii a pokroku pri jej implementácii cez komunikačné plány; </w:t>
      </w:r>
    </w:p>
    <w:p w14:paraId="7CD12544" w14:textId="77777777" w:rsidR="00B650E5" w:rsidRDefault="00B650E5">
      <w:pPr>
        <w:numPr>
          <w:ilvl w:val="0"/>
          <w:numId w:val="202"/>
        </w:numPr>
        <w:spacing w:before="120" w:after="120"/>
        <w:ind w:left="851" w:hanging="425"/>
        <w:jc w:val="both"/>
        <w:rPr>
          <w:lang w:eastAsia="en-US"/>
        </w:rPr>
      </w:pPr>
      <w:r>
        <w:rPr>
          <w:lang w:eastAsia="en-US"/>
        </w:rPr>
        <w:t xml:space="preserve">o vykonaných opatreniach a aktivitách v oblasti informovania a komunikácie; </w:t>
      </w:r>
    </w:p>
    <w:p w14:paraId="7E8FA74C" w14:textId="77777777" w:rsidR="00B650E5" w:rsidRDefault="00B650E5">
      <w:pPr>
        <w:numPr>
          <w:ilvl w:val="0"/>
          <w:numId w:val="202"/>
        </w:numPr>
        <w:spacing w:before="120" w:after="120"/>
        <w:ind w:left="851" w:hanging="425"/>
        <w:jc w:val="both"/>
        <w:rPr>
          <w:lang w:eastAsia="en-US"/>
        </w:rPr>
      </w:pPr>
      <w:r>
        <w:rPr>
          <w:lang w:eastAsia="en-US"/>
        </w:rPr>
        <w:t xml:space="preserve">o použitých komunikačných prostriedkoch; </w:t>
      </w:r>
    </w:p>
    <w:p w14:paraId="681209B7" w14:textId="77777777" w:rsidR="00B650E5" w:rsidRDefault="00B650E5">
      <w:pPr>
        <w:numPr>
          <w:ilvl w:val="0"/>
          <w:numId w:val="202"/>
        </w:numPr>
        <w:spacing w:before="120" w:after="120"/>
        <w:ind w:left="851" w:hanging="425"/>
        <w:jc w:val="both"/>
        <w:rPr>
          <w:lang w:eastAsia="en-US"/>
        </w:rPr>
      </w:pPr>
      <w:r>
        <w:rPr>
          <w:lang w:eastAsia="en-US"/>
        </w:rPr>
        <w:t>o hlavných zmenách a doplnení komunikačnej stratégie;</w:t>
      </w:r>
    </w:p>
    <w:p w14:paraId="170B9C1B" w14:textId="77777777" w:rsidR="00B650E5" w:rsidRDefault="00B650E5">
      <w:pPr>
        <w:numPr>
          <w:ilvl w:val="0"/>
          <w:numId w:val="202"/>
        </w:numPr>
        <w:spacing w:before="120" w:after="120"/>
        <w:ind w:left="851" w:hanging="425"/>
        <w:jc w:val="both"/>
        <w:rPr>
          <w:lang w:eastAsia="en-US"/>
        </w:rPr>
      </w:pPr>
      <w:r>
        <w:rPr>
          <w:lang w:eastAsia="en-US"/>
        </w:rPr>
        <w:lastRenderedPageBreak/>
        <w:t>o plánovaných informačných a komunikačných aktivitách, ktoré sa budú vykonávať v nasledujúcom roku.</w:t>
      </w:r>
    </w:p>
    <w:p w14:paraId="33707D7E" w14:textId="77777777" w:rsidR="00B650E5" w:rsidRDefault="00B650E5">
      <w:pPr>
        <w:pStyle w:val="Odsekzoznamu"/>
        <w:numPr>
          <w:ilvl w:val="0"/>
          <w:numId w:val="198"/>
        </w:numPr>
        <w:ind w:left="426" w:hanging="426"/>
        <w:jc w:val="both"/>
      </w:pPr>
      <w:r>
        <w:t xml:space="preserve">Zabezpečovanie informovania a komunikácie na úrovni ENRF sa riadi nariadením o ENRF, prílohou V -  Informácie a oznámenie o podpore z ENRF. </w:t>
      </w:r>
    </w:p>
    <w:p w14:paraId="7D8B21C3" w14:textId="77777777" w:rsidR="00B650E5" w:rsidRDefault="00B650E5">
      <w:pPr>
        <w:pStyle w:val="SRK2"/>
      </w:pPr>
      <w:bookmarkStart w:id="643" w:name="_Toc453234122"/>
      <w:bookmarkStart w:id="644" w:name="_Toc501630170"/>
      <w:r>
        <w:rPr>
          <w:rStyle w:val="Nadpis1Char"/>
          <w:sz w:val="36"/>
          <w:szCs w:val="26"/>
        </w:rPr>
        <w:t>5.5 Komunikačná stratégia</w:t>
      </w:r>
      <w:bookmarkEnd w:id="643"/>
      <w:bookmarkEnd w:id="644"/>
    </w:p>
    <w:p w14:paraId="5D9B319F" w14:textId="77777777" w:rsidR="00B650E5" w:rsidRDefault="00B650E5">
      <w:pPr>
        <w:pStyle w:val="Odsekzoznamu"/>
        <w:numPr>
          <w:ilvl w:val="0"/>
          <w:numId w:val="203"/>
        </w:numPr>
        <w:spacing w:before="120" w:after="120"/>
        <w:ind w:left="425" w:hanging="425"/>
        <w:contextualSpacing w:val="0"/>
        <w:jc w:val="both"/>
      </w:pPr>
      <w:r>
        <w:t>Spoločnú komunikačnú stratégiu možno vypracovať pre niekoľko OP. V komunikačnej stratégii sa v súlade so zásadou proporcionality zohľadní veľkosť OP. ÚV SR vydáva vzor</w:t>
      </w:r>
      <w:r>
        <w:rPr>
          <w:rStyle w:val="Odkaznapoznmkupodiarou"/>
        </w:rPr>
        <w:footnoteReference w:id="177"/>
      </w:r>
      <w:r>
        <w:t xml:space="preserve"> Komunikačnej stratégie. V prípade OP RH RO nevypracováva komunikačnú stratégiu.</w:t>
      </w:r>
    </w:p>
    <w:p w14:paraId="25CB7D4D" w14:textId="77777777" w:rsidR="00B650E5" w:rsidRDefault="00B650E5">
      <w:pPr>
        <w:pStyle w:val="Odsekzoznamu"/>
        <w:numPr>
          <w:ilvl w:val="0"/>
          <w:numId w:val="203"/>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ÚV SR určí jeden MV, ktorý bude po porade s ďalšími príslušnými MV zodpovedať za schválenie spoločnej komunikačnej stratégie a akýchkoľvek následných revízií. ÚV SR alebo RO môžu  v prípade potreby počas programového obdobia komunikačnú stratégiu revidovať. </w:t>
      </w:r>
    </w:p>
    <w:p w14:paraId="0A92B2F7" w14:textId="77777777" w:rsidR="00B650E5" w:rsidRDefault="00B650E5">
      <w:pPr>
        <w:pStyle w:val="Odsekzoznamu"/>
        <w:numPr>
          <w:ilvl w:val="0"/>
          <w:numId w:val="203"/>
        </w:numPr>
        <w:spacing w:before="120" w:after="120"/>
        <w:ind w:left="425" w:hanging="425"/>
        <w:contextualSpacing w:val="0"/>
        <w:jc w:val="both"/>
      </w:pPr>
      <w:r>
        <w:t xml:space="preserve">Komunikačné stratégie rozvinú </w:t>
      </w:r>
      <w:r w:rsidR="00CA2B60">
        <w:t>ÚV SR</w:t>
      </w:r>
      <w:r>
        <w:t xml:space="preserve"> a RO do ročných komunikačných plánov. </w:t>
      </w:r>
    </w:p>
    <w:p w14:paraId="38E865DA" w14:textId="77777777" w:rsidR="00B650E5" w:rsidRDefault="00B650E5">
      <w:pPr>
        <w:pStyle w:val="Odsekzoznamu"/>
        <w:numPr>
          <w:ilvl w:val="0"/>
          <w:numId w:val="203"/>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14:paraId="469837E8" w14:textId="77777777"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komunikačnú stratégiu do 7 pracovných dní od jej schválenia. </w:t>
      </w:r>
      <w:r w:rsidR="00CA2B60">
        <w:t>ÚV SR</w:t>
      </w:r>
      <w:r>
        <w:t xml:space="preserve"> berie túto komunikačnú stratégiu na vedomie.</w:t>
      </w:r>
    </w:p>
    <w:p w14:paraId="58A5A5B5" w14:textId="77777777" w:rsidR="00B650E5" w:rsidRDefault="00B650E5">
      <w:pPr>
        <w:pStyle w:val="Odsekzoznamu"/>
        <w:numPr>
          <w:ilvl w:val="0"/>
          <w:numId w:val="203"/>
        </w:numPr>
        <w:spacing w:before="120" w:after="120"/>
        <w:ind w:left="425" w:hanging="425"/>
        <w:contextualSpacing w:val="0"/>
        <w:jc w:val="both"/>
      </w:pPr>
      <w:r>
        <w:t xml:space="preserve">RO je povinný predložiť </w:t>
      </w:r>
      <w:r w:rsidR="00CA2B60">
        <w:t>ÚV SR</w:t>
      </w:r>
      <w:r>
        <w:t xml:space="preserve"> každý </w:t>
      </w:r>
      <w:r w:rsidR="00066A3D">
        <w:t xml:space="preserve">ročný </w:t>
      </w:r>
      <w:r>
        <w:t xml:space="preserve">komunikačný plán do 7 pracovných dní od jeho schválenia. </w:t>
      </w:r>
      <w:r w:rsidR="00CA2B60">
        <w:t>ÚV SR</w:t>
      </w:r>
      <w:r>
        <w:t xml:space="preserve"> berie </w:t>
      </w:r>
      <w:r w:rsidR="00066A3D">
        <w:t xml:space="preserve">ročný </w:t>
      </w:r>
      <w:r>
        <w:t>komunikačný plán na vedomie.</w:t>
      </w:r>
    </w:p>
    <w:p w14:paraId="65D2F634" w14:textId="77777777" w:rsidR="00B650E5" w:rsidRDefault="00B650E5">
      <w:pPr>
        <w:pStyle w:val="Odsekzoznamu"/>
        <w:numPr>
          <w:ilvl w:val="0"/>
          <w:numId w:val="203"/>
        </w:numPr>
        <w:spacing w:before="120" w:after="120"/>
        <w:ind w:left="425" w:hanging="425"/>
        <w:contextualSpacing w:val="0"/>
        <w:jc w:val="both"/>
      </w:pPr>
      <w:r>
        <w:t xml:space="preserve">RO je oprávnený  realizovať aktivity spojené s informovaním a komunikáciou aj pred odsúhlasením komunikačnej stratégie  v oblastiach: </w:t>
      </w:r>
    </w:p>
    <w:p w14:paraId="693C26D8" w14:textId="77777777" w:rsidR="00B650E5" w:rsidRDefault="00B650E5">
      <w:pPr>
        <w:numPr>
          <w:ilvl w:val="0"/>
          <w:numId w:val="204"/>
        </w:numPr>
        <w:spacing w:before="120" w:after="120"/>
        <w:ind w:left="851" w:hanging="425"/>
        <w:jc w:val="both"/>
        <w:rPr>
          <w:lang w:eastAsia="en-US"/>
        </w:rPr>
      </w:pPr>
      <w:r>
        <w:rPr>
          <w:lang w:eastAsia="en-US"/>
        </w:rPr>
        <w:t xml:space="preserve">informovanie potenciálnych žiadateľov, žiadateľov a prijímateľov; </w:t>
      </w:r>
    </w:p>
    <w:p w14:paraId="43AB1345" w14:textId="77777777" w:rsidR="00B650E5" w:rsidRDefault="00B650E5">
      <w:pPr>
        <w:numPr>
          <w:ilvl w:val="0"/>
          <w:numId w:val="204"/>
        </w:numPr>
        <w:spacing w:before="120" w:after="120"/>
        <w:ind w:left="851" w:hanging="425"/>
        <w:jc w:val="both"/>
        <w:rPr>
          <w:lang w:eastAsia="en-US"/>
        </w:rPr>
      </w:pPr>
      <w:r>
        <w:rPr>
          <w:lang w:eastAsia="en-US"/>
        </w:rPr>
        <w:t>opatrenia informovanosti a komunikácie pre verejnosť.</w:t>
      </w:r>
    </w:p>
    <w:p w14:paraId="150F2000" w14:textId="77777777" w:rsidR="00B650E5" w:rsidRDefault="00B650E5">
      <w:pPr>
        <w:pStyle w:val="Odsekzoznamu"/>
        <w:numPr>
          <w:ilvl w:val="0"/>
          <w:numId w:val="203"/>
        </w:numPr>
        <w:spacing w:before="120" w:after="120"/>
        <w:ind w:left="425" w:hanging="425"/>
        <w:contextualSpacing w:val="0"/>
        <w:jc w:val="both"/>
      </w:pPr>
      <w:r>
        <w:t>Komunikačná stratégia vypracovaná RO, prípadne členským štátom, zahŕňa tieto prvky:</w:t>
      </w:r>
    </w:p>
    <w:p w14:paraId="004B62FD"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prijatého prístupu vrátane hlavných informačných a komunikačných opatrení prijatých členským štátom alebo RO, zameraného na potenciálnych žiadateľov, žiadateľov, prijímateľov a širokú verejnosť;</w:t>
      </w:r>
    </w:p>
    <w:p w14:paraId="67214638"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materiálov, ktoré budú k dispozícii vo formátoch prístupných pre osoby so zdravotným postihnutím;</w:t>
      </w:r>
    </w:p>
    <w:p w14:paraId="028FC909"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podpory, ktorú prijímatelia dostanú na svoje komunikačné činnosti,</w:t>
      </w:r>
    </w:p>
    <w:p w14:paraId="61201557"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 xml:space="preserve">orientačný rozpočet na vykonanie stratégie; </w:t>
      </w:r>
    </w:p>
    <w:p w14:paraId="26DF97DB"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opis orgánov verejnej správy vrátane ľudských zdrojov, ktoré sú zodpovedné za vykonávanie informačných a komunikačných opatrení;</w:t>
      </w:r>
    </w:p>
    <w:p w14:paraId="6AD17097"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opatrenia na vykonanie informačných a komunikačných opatrení vrátane webového sídla alebo webového portálu, na ktorom takéto údaje možno nájsť;</w:t>
      </w:r>
    </w:p>
    <w:p w14:paraId="7FD94E5B"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lastRenderedPageBreak/>
        <w:t>naznačenie, ako sa informačné a komunikačné opatrenia budú posudzovať z hľadiska viditeľnosti politiky súdržnosti a informovanosti o nej, o OP, o projektoch a úlohách, ktoré zohrávajú fondy a EÚ;</w:t>
      </w:r>
    </w:p>
    <w:p w14:paraId="4EA002DA"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kde to je vhodné, opis využitia hlavných výsledkov predchádzajúceho OP;</w:t>
      </w:r>
    </w:p>
    <w:p w14:paraId="6B9A4088" w14:textId="77777777" w:rsidR="00B650E5" w:rsidRDefault="00B650E5">
      <w:pPr>
        <w:pStyle w:val="Odsekzoznamu"/>
        <w:numPr>
          <w:ilvl w:val="0"/>
          <w:numId w:val="205"/>
        </w:numPr>
        <w:spacing w:before="120" w:after="120"/>
        <w:ind w:left="850" w:hanging="425"/>
        <w:contextualSpacing w:val="0"/>
        <w:jc w:val="both"/>
        <w:rPr>
          <w:lang w:eastAsia="en-US"/>
        </w:rPr>
      </w:pPr>
      <w:r>
        <w:rPr>
          <w:lang w:eastAsia="en-US"/>
        </w:rPr>
        <w:t>každoročné doplnenie, vymedzujúce informačné a komunikačné činnosti, ktoré majú byť vykonané v nasledujúcom roku, v podobe schváleného ročného komunikačného plánu.</w:t>
      </w:r>
    </w:p>
    <w:bookmarkEnd w:id="634"/>
    <w:p w14:paraId="17AA8B5C" w14:textId="77777777" w:rsidR="00B650E5" w:rsidRDefault="00B650E5">
      <w:pPr>
        <w:spacing w:before="120" w:after="120"/>
        <w:jc w:val="both"/>
        <w:rPr>
          <w:lang w:eastAsia="en-US"/>
        </w:rPr>
      </w:pPr>
    </w:p>
    <w:p w14:paraId="04B0F5E8" w14:textId="77777777" w:rsidR="00B650E5" w:rsidRDefault="00B650E5">
      <w:pPr>
        <w:spacing w:before="120" w:after="120"/>
        <w:jc w:val="both"/>
        <w:rPr>
          <w:lang w:eastAsia="en-US"/>
        </w:rPr>
      </w:pPr>
    </w:p>
    <w:sectPr w:rsidR="00B650E5" w:rsidSect="003B2753">
      <w:pgSz w:w="11906" w:h="16838"/>
      <w:pgMar w:top="1440" w:right="991" w:bottom="1440" w:left="108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33EC908" w14:textId="77777777" w:rsidR="0060362D" w:rsidRDefault="0060362D">
      <w:r>
        <w:separator/>
      </w:r>
    </w:p>
  </w:endnote>
  <w:endnote w:type="continuationSeparator" w:id="0">
    <w:p w14:paraId="325522B7" w14:textId="77777777" w:rsidR="0060362D" w:rsidRDefault="0060362D">
      <w:r>
        <w:continuationSeparator/>
      </w:r>
    </w:p>
  </w:endnote>
  <w:endnote w:type="continuationNotice" w:id="1">
    <w:p w14:paraId="2F3B8508" w14:textId="77777777" w:rsidR="0060362D" w:rsidRDefault="0060362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Arial"/>
    <w:panose1 w:val="00000000000000000000"/>
    <w:charset w:val="00"/>
    <w:family w:val="swiss"/>
    <w:notTrueType/>
    <w:pitch w:val="default"/>
    <w:sig w:usb0="00000001" w:usb1="00000000" w:usb2="00000000" w:usb3="00000000" w:csb0="00000003" w:csb1="00000000"/>
  </w:font>
  <w:font w:name="Arial Narrow">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10022FF" w:usb1="C000E47F" w:usb2="00000029" w:usb3="00000000" w:csb0="000001DF" w:csb1="00000000"/>
  </w:font>
  <w:font w:name="Helvetica">
    <w:panose1 w:val="020B0604020202020204"/>
    <w:charset w:val="00"/>
    <w:family w:val="swiss"/>
    <w:notTrueType/>
    <w:pitch w:val="variable"/>
    <w:sig w:usb0="00000003" w:usb1="00000000" w:usb2="00000000" w:usb3="00000000" w:csb0="00000001" w:csb1="00000000"/>
  </w:font>
  <w:font w:name="TimesNewRoma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1FD062" w14:textId="77777777" w:rsidR="00A84C26" w:rsidRDefault="00A84C26" w:rsidP="000E6473">
    <w:pPr>
      <w:pStyle w:val="Pta"/>
      <w:pBdr>
        <w:top w:val="thinThickSmallGap" w:sz="24" w:space="1" w:color="622423"/>
      </w:pBdr>
      <w:tabs>
        <w:tab w:val="clear" w:pos="4536"/>
        <w:tab w:val="clear" w:pos="9072"/>
        <w:tab w:val="right" w:pos="9835"/>
      </w:tabs>
      <w:rPr>
        <w:rFonts w:ascii="Arial Narrow" w:hAnsi="Arial Narrow"/>
        <w:sz w:val="20"/>
        <w:szCs w:val="20"/>
      </w:rPr>
    </w:pPr>
    <w:r>
      <w:rPr>
        <w:noProof/>
      </w:rPr>
      <w:drawing>
        <wp:anchor distT="0" distB="0" distL="114300" distR="114300" simplePos="0" relativeHeight="251657728" behindDoc="1" locked="0" layoutInCell="1" allowOverlap="1" wp14:anchorId="47D31052" wp14:editId="0725F847">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1"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20"/>
        <w:szCs w:val="20"/>
      </w:rPr>
      <w:t xml:space="preserve">               </w:t>
    </w:r>
    <w:r>
      <w:rPr>
        <w:rFonts w:ascii="Arial Narrow" w:hAnsi="Arial Narrow"/>
        <w:sz w:val="20"/>
        <w:szCs w:val="20"/>
      </w:rPr>
      <w:tab/>
      <w:t xml:space="preserve">Strana </w:t>
    </w:r>
    <w:r>
      <w:rPr>
        <w:rFonts w:ascii="Arial Narrow" w:hAnsi="Arial Narrow"/>
        <w:sz w:val="20"/>
        <w:szCs w:val="20"/>
      </w:rPr>
      <w:fldChar w:fldCharType="begin"/>
    </w:r>
    <w:r>
      <w:rPr>
        <w:rFonts w:ascii="Arial Narrow" w:hAnsi="Arial Narrow"/>
        <w:sz w:val="20"/>
        <w:szCs w:val="20"/>
      </w:rPr>
      <w:instrText>PAGE   \* MERGEFORMAT</w:instrText>
    </w:r>
    <w:r>
      <w:rPr>
        <w:rFonts w:ascii="Arial Narrow" w:hAnsi="Arial Narrow"/>
        <w:sz w:val="20"/>
        <w:szCs w:val="20"/>
      </w:rPr>
      <w:fldChar w:fldCharType="separate"/>
    </w:r>
    <w:r w:rsidR="007255A2">
      <w:rPr>
        <w:rFonts w:ascii="Arial Narrow" w:hAnsi="Arial Narrow"/>
        <w:noProof/>
        <w:sz w:val="20"/>
        <w:szCs w:val="20"/>
      </w:rPr>
      <w:t>1</w:t>
    </w:r>
    <w:r>
      <w:rPr>
        <w:rFonts w:ascii="Arial Narrow" w:hAnsi="Arial Narrow"/>
        <w:sz w:val="20"/>
        <w:szCs w:val="20"/>
      </w:rPr>
      <w:fldChar w:fldCharType="end"/>
    </w:r>
  </w:p>
  <w:p w14:paraId="578A15D8" w14:textId="77777777" w:rsidR="00A84C26" w:rsidRDefault="00A84C26">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C5D2CEF" w14:textId="77777777" w:rsidR="0060362D" w:rsidRDefault="0060362D">
      <w:r>
        <w:separator/>
      </w:r>
    </w:p>
  </w:footnote>
  <w:footnote w:type="continuationSeparator" w:id="0">
    <w:p w14:paraId="029A9426" w14:textId="77777777" w:rsidR="0060362D" w:rsidRDefault="0060362D">
      <w:r>
        <w:continuationSeparator/>
      </w:r>
    </w:p>
  </w:footnote>
  <w:footnote w:type="continuationNotice" w:id="1">
    <w:p w14:paraId="410210DE" w14:textId="77777777" w:rsidR="0060362D" w:rsidRDefault="0060362D"/>
  </w:footnote>
  <w:footnote w:id="2">
    <w:p w14:paraId="13D68293" w14:textId="070E81A4" w:rsidR="00A84C26" w:rsidRDefault="00A84C26" w:rsidP="0004683B">
      <w:pPr>
        <w:pStyle w:val="Textpoznmkypodiarou"/>
        <w:jc w:val="both"/>
      </w:pPr>
      <w:r>
        <w:rPr>
          <w:rStyle w:val="Odkaznapoznmkupodiarou"/>
        </w:rPr>
        <w:footnoteRef/>
      </w:r>
      <w:r>
        <w:t xml:space="preserve"> Žiadosť o výnimku predkladá subjekt zapojený do implementácie EŠIF písomne a zároveň vo formáte MS Word e-mailom na adresu </w:t>
      </w:r>
      <w:hyperlink r:id="rId1" w:history="1">
        <w:r w:rsidRPr="00CA23D9">
          <w:rPr>
            <w:rStyle w:val="Hypertextovprepojenie"/>
          </w:rPr>
          <w:t>metodika.cko@vicepremier.gov.sk</w:t>
        </w:r>
      </w:hyperlink>
      <w:r>
        <w:t>. Subjekt je povinný v žiadosti o udelenie výnimky uviesť ustanovenie (ustanovenia) Systému riadenia EŠIF</w:t>
      </w:r>
      <w:r w:rsidRPr="00E64171">
        <w:t xml:space="preserve"> </w:t>
      </w:r>
      <w:r>
        <w:t xml:space="preserve">a záväzných dokumentov, vydávaných v súlade so Systémom riadenia EŠIF, z ktorého požaduje výnimku udeliť. </w:t>
      </w:r>
    </w:p>
  </w:footnote>
  <w:footnote w:id="3">
    <w:p w14:paraId="275C0B35" w14:textId="77777777" w:rsidR="00A84C26" w:rsidRDefault="00A84C26" w:rsidP="00A01843">
      <w:pPr>
        <w:pStyle w:val="Textpoznmkypodiarou"/>
        <w:jc w:val="both"/>
      </w:pPr>
      <w:r>
        <w:rPr>
          <w:rStyle w:val="Odkaznapoznmkupodiarou"/>
        </w:rPr>
        <w:footnoteRef/>
      </w:r>
      <w:r>
        <w:t xml:space="preserve"> ÚV SR vykonáva úlohy v zmysle Systému riadenia EŠIF v nadväznosti na plnenie úlohy vlády SR podľa § 4 zákona o príspevku z EŠIF ako orgán, ktorý plní úlohy</w:t>
      </w:r>
      <w:r w:rsidRPr="0057476E">
        <w:t xml:space="preserve"> spojené s odborným, organizačným a technickým zabezpečovaním činnosti vlády</w:t>
      </w:r>
      <w:r>
        <w:t xml:space="preserve"> podľa §1b kompetenčného zákona</w:t>
      </w:r>
      <w:r w:rsidRPr="0057476E">
        <w:t>.</w:t>
      </w:r>
      <w:r>
        <w:t xml:space="preserve"> </w:t>
      </w:r>
      <w:r w:rsidRPr="006929A4">
        <w:t>ÚV SR je v zmysle § 24, ods. 1 ústredným orgánom štátnej správy pre</w:t>
      </w:r>
      <w:r>
        <w:t> </w:t>
      </w:r>
      <w:r w:rsidRPr="006929A4">
        <w:t>štátnozamestnanecké vzťahy a právne vzťahy pri výkone práce vo verejnom záujme. Na základe tejto kompetencie vykonáva ÚV SR niektoré kompetencie v súvislosti s administratívnymi kapacitami</w:t>
      </w:r>
      <w:r>
        <w:t>.</w:t>
      </w:r>
    </w:p>
  </w:footnote>
  <w:footnote w:id="4">
    <w:p w14:paraId="435AF377" w14:textId="49A75F32" w:rsidR="00A84C26" w:rsidRDefault="00A84C26" w:rsidP="00556762">
      <w:pPr>
        <w:pStyle w:val="Textpoznmkypodiarou"/>
        <w:jc w:val="both"/>
      </w:pPr>
      <w:r>
        <w:rPr>
          <w:rStyle w:val="Odkaznapoznmkupodiarou"/>
        </w:rPr>
        <w:footnoteRef/>
      </w:r>
      <w:r>
        <w:t xml:space="preserve"> Pre vydávanie vzorov formulárov v zmysle </w:t>
      </w:r>
      <w:hyperlink w:anchor="kapitola_12_ods_3_ac" w:history="1">
        <w:r w:rsidRPr="007E00F3">
          <w:rPr>
            <w:rStyle w:val="Hypertextovprepojenie"/>
          </w:rPr>
          <w:t>kapitoly 1.2, odsek 3 písmeno a)</w:t>
        </w:r>
      </w:hyperlink>
      <w:r>
        <w:t xml:space="preserve"> a metodických pokynov v zmysle kapitoly </w:t>
      </w:r>
      <w:hyperlink w:anchor="kapitola_12_ods_3_b" w:history="1">
        <w:r w:rsidRPr="007E00F3">
          <w:rPr>
            <w:rStyle w:val="Hypertextovprepojenie"/>
          </w:rPr>
          <w:t>1.2, odsek 3 písmeno b)</w:t>
        </w:r>
      </w:hyperlink>
      <w:r>
        <w:rPr>
          <w:rStyle w:val="Hypertextovprepojenie"/>
        </w:rPr>
        <w:t xml:space="preserve"> </w:t>
      </w:r>
      <w:r w:rsidRPr="00556762">
        <w:t>sa stanovuje, najmä za účelom ich zosúladenia so Systémom riadenia EŠIF, prechodné obdobie 60 pracovných dní od nadobudnutia účinnosti Systému riadenia EŠIF, verzia 6. Po tomto termíne je CKO oprávnený vydávať uvedené dokumenty iba v termínoch, stanovených</w:t>
      </w:r>
      <w:r>
        <w:rPr>
          <w:rStyle w:val="Hypertextovprepojenie"/>
        </w:rPr>
        <w:t xml:space="preserve"> v </w:t>
      </w:r>
      <w:hyperlink w:anchor="kapitola_12_ods_5" w:history="1">
        <w:r w:rsidRPr="008C6D17">
          <w:rPr>
            <w:rStyle w:val="Hypertextovprepojenie"/>
          </w:rPr>
          <w:t>kapitole</w:t>
        </w:r>
      </w:hyperlink>
      <w:r>
        <w:rPr>
          <w:rStyle w:val="Hypertextovprepojenie"/>
        </w:rPr>
        <w:t xml:space="preserve"> 1.2, odsek 5.</w:t>
      </w:r>
    </w:p>
  </w:footnote>
  <w:footnote w:id="5">
    <w:p w14:paraId="2256084C" w14:textId="58C5D4BD" w:rsidR="00A84C26" w:rsidRDefault="00A84C26" w:rsidP="00556762">
      <w:pPr>
        <w:pStyle w:val="Textpoznmkypodiarou"/>
        <w:jc w:val="both"/>
      </w:pPr>
      <w:r>
        <w:rPr>
          <w:rStyle w:val="Odkaznapoznmkupodiarou"/>
        </w:rPr>
        <w:footnoteRef/>
      </w:r>
      <w:r>
        <w:t xml:space="preserve"> </w:t>
      </w:r>
      <w:r w:rsidRPr="00FC5E8C">
        <w:t>Usmernenia</w:t>
      </w:r>
      <w:r>
        <w:t>/výklady</w:t>
      </w:r>
      <w:r w:rsidRPr="00FC5E8C">
        <w:t xml:space="preserve"> nemenia Systém riadenia EŠIF, iba vysvetľujú RO uplatnenie jednotlivých ustanovení Systému riadenia EŠIF v prípade konkrétnych vzniknutých situácií</w:t>
      </w:r>
      <w:r>
        <w:t>, resp. v kontexte novoprijatých legislatívnych zmien</w:t>
      </w:r>
      <w:r w:rsidRPr="00FC5E8C">
        <w:t>.</w:t>
      </w:r>
    </w:p>
  </w:footnote>
  <w:footnote w:id="6">
    <w:p w14:paraId="17A831F4" w14:textId="40D903A5" w:rsidR="00A84C26" w:rsidRDefault="00A84C26" w:rsidP="002F3613">
      <w:pPr>
        <w:pStyle w:val="Textpoznmkypodiarou"/>
        <w:jc w:val="both"/>
      </w:pPr>
      <w:r>
        <w:rPr>
          <w:rStyle w:val="Odkaznapoznmkupodiarou"/>
        </w:rPr>
        <w:footnoteRef/>
      </w:r>
      <w:r>
        <w:t xml:space="preserve"> CKO zverejňuje zovšeobecnené usmernenia/výklady k ustanoveniam Systému riadenia EŠIF, pri ktorých identifikuje riziko nesprávneho postupu subjektov alebo potenciál na harmonizáciu procesov a postupov implementácie.</w:t>
      </w:r>
    </w:p>
  </w:footnote>
  <w:footnote w:id="7">
    <w:p w14:paraId="2A91286C" w14:textId="77777777" w:rsidR="00A84C26" w:rsidRDefault="00A84C26" w:rsidP="000E286B">
      <w:pPr>
        <w:pStyle w:val="Textpoznmkypodiarou"/>
        <w:jc w:val="both"/>
      </w:pPr>
      <w:r>
        <w:rPr>
          <w:rStyle w:val="Odkaznapoznmkupodiarou"/>
        </w:rPr>
        <w:footnoteRef/>
      </w:r>
      <w:r>
        <w:t xml:space="preserve"> Činnosti spojené s koordináciou, prípravou a implementáciou procesov týkajúcich sa komunikácie a informovanosti,   ako aj činnosti vyplývajúce z plnenia Partnerskej dohody v oblasti vzdelávania administratívnych kapacít </w:t>
      </w:r>
      <w:r w:rsidRPr="00823788">
        <w:t xml:space="preserve"> </w:t>
      </w:r>
      <w:r>
        <w:t>zamest</w:t>
      </w:r>
      <w:r w:rsidRPr="00823788">
        <w:t xml:space="preserve">nancov pôsobiacich v systéme riadenia, kontroly a auditu EŠIF </w:t>
      </w:r>
      <w:r>
        <w:t xml:space="preserve">od 1. 6. 2016 vykonáva Úrad vlády Slovenskej republiky. </w:t>
      </w:r>
    </w:p>
  </w:footnote>
  <w:footnote w:id="8">
    <w:p w14:paraId="1DC8755A" w14:textId="77777777" w:rsidR="00A84C26" w:rsidRDefault="00A84C26">
      <w:pPr>
        <w:pStyle w:val="Textpoznmkypodiarou"/>
      </w:pPr>
      <w:r>
        <w:rPr>
          <w:rStyle w:val="Odkaznapoznmkupodiarou"/>
        </w:rPr>
        <w:footnoteRef/>
      </w:r>
      <w:r>
        <w:t xml:space="preserve"> Vzor CKO č. 28 - </w:t>
      </w:r>
      <w:r w:rsidRPr="002B314A">
        <w:t>Zmluva o NFP (bez partnerov)</w:t>
      </w:r>
    </w:p>
  </w:footnote>
  <w:footnote w:id="9">
    <w:p w14:paraId="2E4AC76D" w14:textId="77777777" w:rsidR="00A84C26" w:rsidRDefault="00A84C26" w:rsidP="00DE5D89">
      <w:pPr>
        <w:pStyle w:val="Textpoznmkypodiarou"/>
        <w:jc w:val="both"/>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10">
    <w:p w14:paraId="05D17040" w14:textId="77777777" w:rsidR="00A84C26" w:rsidRDefault="00A84C26">
      <w:pPr>
        <w:pStyle w:val="Textpoznmkypodiarou"/>
      </w:pPr>
      <w:r>
        <w:rPr>
          <w:rStyle w:val="Odkaznapoznmkupodiarou"/>
        </w:rPr>
        <w:footnoteRef/>
      </w:r>
      <w:r>
        <w:t xml:space="preserve"> čl. 124 ods. 5 a 6 všeobecného nariadenia</w:t>
      </w:r>
    </w:p>
  </w:footnote>
  <w:footnote w:id="11">
    <w:p w14:paraId="4ECBFDF2" w14:textId="77777777" w:rsidR="00A84C26" w:rsidRDefault="00A84C26" w:rsidP="006C6864">
      <w:pPr>
        <w:pStyle w:val="Textpoznmkypodiarou"/>
        <w:jc w:val="both"/>
      </w:pPr>
      <w:r w:rsidRPr="009078F6">
        <w:rPr>
          <w:rStyle w:val="Odkaznapoznmkupodiarou"/>
        </w:rPr>
        <w:footnoteRef/>
      </w:r>
      <w:r>
        <w:t xml:space="preserve"> </w:t>
      </w:r>
      <w:r w:rsidRPr="00DE5D89">
        <w:t>Napriek skutočnosti, že číselník merateľných ukazovateľov v prípade jeho zmien nepodlieha pripomienkovému konaniu, doručená žiadosť o zmenu číselníka merateľných ukazovateľov bude spolu s posúdením na úrovni CKO zároveň zaslaná aj členom pracovnej skupiny pre monitorovanie EŠIF. Stanovisko k predloženej žiadosti o zmenu je potrebné zaslať najneskôr 2 pracovné dni od doručenia žiadosti členom pracovnej skupiny pre monitorovanie EŠIF.</w:t>
      </w:r>
    </w:p>
  </w:footnote>
  <w:footnote w:id="12">
    <w:p w14:paraId="02DA1DAF" w14:textId="77777777" w:rsidR="00A84C26" w:rsidRDefault="00A84C26" w:rsidP="00DE5D89">
      <w:pPr>
        <w:pStyle w:val="Textpoznmkypodiarou"/>
        <w:jc w:val="both"/>
      </w:pPr>
      <w:r w:rsidRPr="009078F6">
        <w:rPr>
          <w:rStyle w:val="Odkaznapoznmkupodiarou"/>
        </w:rPr>
        <w:footnoteRef/>
      </w:r>
      <w:r w:rsidRPr="009078F6">
        <w:t xml:space="preserve"> V prípade pracovnej skupiny zriadenej gestorom HP </w:t>
      </w:r>
      <w:r w:rsidRPr="009078F6">
        <w:rPr>
          <w:lang w:eastAsia="en-US"/>
        </w:rPr>
        <w:t>rovnosť medzi mužmi a ženami a nediskriminácia môže štatút pracovnej skupiny urči</w:t>
      </w:r>
      <w:r w:rsidRPr="00DE5D89">
        <w:rPr>
          <w:lang w:eastAsia="en-US"/>
        </w:rPr>
        <w:t>ť</w:t>
      </w:r>
      <w:r w:rsidRPr="009078F6">
        <w:rPr>
          <w:lang w:eastAsia="en-US"/>
        </w:rPr>
        <w:t>, že hlasovacie právo budú mať aj členovia, ktorí sú zástupcami iných ako uvedených subjektov</w:t>
      </w:r>
      <w:r>
        <w:rPr>
          <w:lang w:eastAsia="en-US"/>
        </w:rPr>
        <w:t>.</w:t>
      </w:r>
    </w:p>
  </w:footnote>
  <w:footnote w:id="13">
    <w:p w14:paraId="04B18437" w14:textId="77777777" w:rsidR="00A84C26" w:rsidRDefault="00A84C26">
      <w:pPr>
        <w:pStyle w:val="Textpoznmkypodiarou"/>
      </w:pPr>
      <w:r>
        <w:rPr>
          <w:rStyle w:val="Odkaznapoznmkupodiarou"/>
        </w:rPr>
        <w:footnoteRef/>
      </w:r>
      <w:r>
        <w:t xml:space="preserve"> </w:t>
      </w:r>
      <w:r w:rsidRPr="0013742D">
        <w:t>MP CKO č. 11 k zabezpečeniu koordinácie synergických účinkov medzi EŠIF a inými nástrojmi podpory EÚ a SR</w:t>
      </w:r>
    </w:p>
  </w:footnote>
  <w:footnote w:id="14">
    <w:p w14:paraId="2929E9F5" w14:textId="77777777" w:rsidR="00A84C26" w:rsidRDefault="00A84C26">
      <w:pPr>
        <w:pStyle w:val="Textpoznmkypodiarou"/>
      </w:pPr>
      <w:r>
        <w:rPr>
          <w:rStyle w:val="Odkaznapoznmkupodiarou"/>
        </w:rPr>
        <w:footnoteRef/>
      </w:r>
      <w:r>
        <w:t xml:space="preserve"> MP CKO č. 11 </w:t>
      </w:r>
      <w:r w:rsidRPr="00682D0A">
        <w:t>k zabezpečeniu koordinácie synergických účinkov medzi EŠIF a inými nástrojmi podpory EÚ a SR</w:t>
      </w:r>
    </w:p>
  </w:footnote>
  <w:footnote w:id="15">
    <w:p w14:paraId="48011A69" w14:textId="77777777" w:rsidR="00A84C26" w:rsidRDefault="00A84C26" w:rsidP="00B9604E">
      <w:pPr>
        <w:pStyle w:val="Textpoznmkypodiarou"/>
      </w:pPr>
      <w:r>
        <w:rPr>
          <w:rStyle w:val="Odkaznapoznmkupodiarou"/>
        </w:rPr>
        <w:footnoteRef/>
      </w:r>
      <w:r>
        <w:t xml:space="preserve"> Príloha č. 1 k MP ÚV SR č. 16 pre informovanie a komunikáciu EŠIF – Komunikačná stratégia</w:t>
      </w:r>
    </w:p>
  </w:footnote>
  <w:footnote w:id="16">
    <w:p w14:paraId="6D5F047F" w14:textId="77777777" w:rsidR="00A84C26" w:rsidRDefault="00A84C26">
      <w:pPr>
        <w:pStyle w:val="Textpoznmkypodiarou"/>
      </w:pPr>
      <w:r>
        <w:rPr>
          <w:rStyle w:val="Odkaznapoznmkupodiarou"/>
        </w:rPr>
        <w:footnoteRef/>
      </w:r>
      <w:r>
        <w:t xml:space="preserve"> MP CKO č. 3 </w:t>
      </w:r>
      <w:r w:rsidRPr="0045286B">
        <w:t>k procesu určenia riadiacich orgánov a certifikačného orgánu a k procesu monitorovania plnenia kritérií určenia</w:t>
      </w:r>
    </w:p>
  </w:footnote>
  <w:footnote w:id="17">
    <w:p w14:paraId="713C7644" w14:textId="77777777" w:rsidR="00A84C26" w:rsidRPr="003C62F7" w:rsidRDefault="00A84C26" w:rsidP="00DE5D89">
      <w:pPr>
        <w:pStyle w:val="Textpoznmkypodiarou"/>
        <w:jc w:val="both"/>
      </w:pPr>
      <w:r w:rsidRPr="003C62F7">
        <w:rPr>
          <w:rStyle w:val="Odkaznapoznmkupodiarou"/>
        </w:rPr>
        <w:footnoteRef/>
      </w:r>
      <w:r w:rsidRPr="003C62F7">
        <w:t xml:space="preserve"> ,,</w:t>
      </w:r>
      <w:r w:rsidRPr="001B709E">
        <w:t>Sťažnosťou“ v kontexte definovanej povinnosti RO sa rozumie celkový systém opravných prostriedkov dostupných v súlade s právnym poriadkom SR, ktorý umožňuje žiadateľovi/prijímateľovi účinne domáhať sa ochrany svojich práv/právom chránených záujmov vo vzťahu k RO, a to 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vydávaní čiastkovej správy z kontroly/správy z kontroly (návrh čiastkovej správy z kontroly – správa z kontroly) v súlade s postupom upraveným v zákone o finančnej kontrole. Vybavovanie sťažností v súlade so zákonom o sťažnostiach podlieha režimu upravenému v tomto zákone, pričom využitie sťažností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 j. proti rozhodnutiu o schválení žiadosti o NFP, neschválení žiadosti o NFP, zastavení konania o žiadosti o NFP vydaným podľa zákona o príspevku z EŠIF.</w:t>
      </w:r>
    </w:p>
  </w:footnote>
  <w:footnote w:id="18">
    <w:p w14:paraId="379211E7" w14:textId="77777777" w:rsidR="00A84C26" w:rsidRPr="003C62F7" w:rsidRDefault="00A84C26" w:rsidP="001B709E">
      <w:pPr>
        <w:pStyle w:val="Textpoznmkypodiarou"/>
        <w:jc w:val="both"/>
      </w:pPr>
      <w:r w:rsidRPr="003C62F7">
        <w:rPr>
          <w:rStyle w:val="Odkaznapoznmkupodiarou"/>
        </w:rPr>
        <w:footnoteRef/>
      </w:r>
      <w:r w:rsidRPr="003C62F7">
        <w:t xml:space="preserve"> V zmysle MP CKO č. 3 k procesu určenia riadiacich orgánov a certifikačného orgánu a k procesu monitorovania plnenia kritérií určenia</w:t>
      </w:r>
      <w:r w:rsidRPr="001B709E">
        <w:t>.</w:t>
      </w:r>
    </w:p>
  </w:footnote>
  <w:footnote w:id="19">
    <w:p w14:paraId="79C5A6DA" w14:textId="77777777" w:rsidR="00A84C26" w:rsidRDefault="00A84C26">
      <w:pPr>
        <w:pStyle w:val="Textpoznmkypodiarou"/>
      </w:pPr>
      <w:r>
        <w:rPr>
          <w:rStyle w:val="Odkaznapoznmkupodiarou"/>
        </w:rPr>
        <w:footnoteRef/>
      </w:r>
      <w:r>
        <w:t xml:space="preserve"> Vzor CKO č. 1 - </w:t>
      </w:r>
      <w:r w:rsidRPr="002B314A">
        <w:t>Štatút monitorovacieho výboru pre operačný program na programové obdobie 2014</w:t>
      </w:r>
      <w:r>
        <w:t xml:space="preserve"> </w:t>
      </w:r>
      <w:r w:rsidRPr="002B314A">
        <w:t>-</w:t>
      </w:r>
      <w:r>
        <w:t xml:space="preserve"> </w:t>
      </w:r>
      <w:r w:rsidRPr="002B314A">
        <w:t>2020</w:t>
      </w:r>
    </w:p>
  </w:footnote>
  <w:footnote w:id="20">
    <w:p w14:paraId="2E9EF487" w14:textId="77777777" w:rsidR="00A84C26" w:rsidRDefault="00A84C26">
      <w:pPr>
        <w:pStyle w:val="Textpoznmkypodiarou"/>
      </w:pPr>
      <w:r>
        <w:rPr>
          <w:rStyle w:val="Odkaznapoznmkupodiarou"/>
        </w:rPr>
        <w:footnoteRef/>
      </w:r>
      <w:r>
        <w:t xml:space="preserve"> Vzor CKO č. 2 - </w:t>
      </w:r>
      <w:r w:rsidRPr="002B314A">
        <w:t>Rokovací poriadok monitorovacieho výboru pre operačný program na programové obdobie 2014</w:t>
      </w:r>
      <w:r>
        <w:t xml:space="preserve"> </w:t>
      </w:r>
      <w:r w:rsidRPr="002B314A">
        <w:t>-</w:t>
      </w:r>
      <w:r>
        <w:t xml:space="preserve"> </w:t>
      </w:r>
      <w:r w:rsidRPr="002B314A">
        <w:t>2020</w:t>
      </w:r>
    </w:p>
  </w:footnote>
  <w:footnote w:id="21">
    <w:p w14:paraId="2317B849" w14:textId="77777777" w:rsidR="00A84C26" w:rsidRPr="00B31279" w:rsidRDefault="00A84C26" w:rsidP="00DE5D89">
      <w:pPr>
        <w:pStyle w:val="Textpoznmkypodiarou"/>
        <w:jc w:val="both"/>
      </w:pPr>
      <w:r w:rsidRPr="001B709E">
        <w:rPr>
          <w:rStyle w:val="Odkaznapoznmkupodiarou"/>
        </w:rPr>
        <w:footnoteRef/>
      </w:r>
      <w:r w:rsidRPr="001B709E">
        <w:t xml:space="preserve"> RO definuje rozsah, pravidlá a postupy týkajúce sa riadenia rizík na základe usmernenia Ministerstva financií Slovenskej republiky k riadeniu a analýze rizík (Finančný spravodajca č. 1/2006) alebo medzinárodných metodík riadenia rizík (</w:t>
      </w:r>
      <w:hyperlink r:id="rId2" w:history="1">
        <w:r w:rsidRPr="001B709E">
          <w:rPr>
            <w:rStyle w:val="Hypertextovprepojenie"/>
          </w:rPr>
          <w:t>http://www.issai.org/intosai-guidance-for-good-governance-(intosai-gov)/)</w:t>
        </w:r>
      </w:hyperlink>
      <w:r w:rsidRPr="001B709E">
        <w:t>. Z hľadiska skúseností z programového obdobia 2007 - 2013 v prípade celkového systému riadenia rizík sa RO odporúča zamerať aj na nasledovné oblasti - informačný systém a vykazovanie, legislatíva (vrátane výkladových pravidiel), administratívne kapacity, absorpčná kapacita (pravidlo n + 3, nenaplnenie indikátorov a finančných míľnikov, nedostatok kvalitných projektov, obmedzená kapacita prijímateľov).</w:t>
      </w:r>
    </w:p>
  </w:footnote>
  <w:footnote w:id="22">
    <w:p w14:paraId="600588CE" w14:textId="77777777" w:rsidR="00A84C26" w:rsidRDefault="00A84C26">
      <w:pPr>
        <w:pStyle w:val="Textpoznmkypodiarou"/>
      </w:pPr>
      <w:r>
        <w:rPr>
          <w:rStyle w:val="Odkaznapoznmkupodiarou"/>
        </w:rPr>
        <w:footnoteRef/>
      </w:r>
      <w:r>
        <w:t xml:space="preserve"> Vzor CKO č. 1 - </w:t>
      </w:r>
      <w:r w:rsidRPr="00625031">
        <w:t>Štatút monitorovacieho výboru pre operačný program na programové obdobie 2014</w:t>
      </w:r>
      <w:r>
        <w:t xml:space="preserve"> </w:t>
      </w:r>
      <w:r w:rsidRPr="00625031">
        <w:t>-</w:t>
      </w:r>
      <w:r>
        <w:t xml:space="preserve"> </w:t>
      </w:r>
      <w:r w:rsidRPr="00625031">
        <w:t>2020</w:t>
      </w:r>
    </w:p>
  </w:footnote>
  <w:footnote w:id="23">
    <w:p w14:paraId="4F5E4131" w14:textId="77777777" w:rsidR="00A84C26" w:rsidRDefault="00A84C26">
      <w:pPr>
        <w:pStyle w:val="Textpoznmkypodiarou"/>
      </w:pPr>
      <w:r>
        <w:rPr>
          <w:rStyle w:val="Odkaznapoznmkupodiarou"/>
        </w:rPr>
        <w:footnoteRef/>
      </w:r>
      <w:r>
        <w:t xml:space="preserve"> Vzor CKO č. 2 - </w:t>
      </w:r>
      <w:r w:rsidRPr="00625031">
        <w:t>Rokovací poriadok monitorovacieho výboru pre operačný program na programové obdobie 2014</w:t>
      </w:r>
      <w:r>
        <w:t xml:space="preserve"> </w:t>
      </w:r>
      <w:r w:rsidRPr="00625031">
        <w:t>-</w:t>
      </w:r>
      <w:r>
        <w:t xml:space="preserve"> </w:t>
      </w:r>
      <w:r w:rsidRPr="00625031">
        <w:t>2020</w:t>
      </w:r>
    </w:p>
  </w:footnote>
  <w:footnote w:id="24">
    <w:p w14:paraId="4694623E" w14:textId="4204B635" w:rsidR="00A84C26" w:rsidRDefault="00A84C26" w:rsidP="00556762">
      <w:pPr>
        <w:pStyle w:val="Textpoznmkypodiarou"/>
        <w:jc w:val="both"/>
      </w:pPr>
      <w:r>
        <w:rPr>
          <w:rStyle w:val="Odkaznapoznmkupodiarou"/>
        </w:rPr>
        <w:footnoteRef/>
      </w:r>
      <w:r>
        <w:t xml:space="preserve"> U</w:t>
      </w:r>
      <w:r w:rsidRPr="000612FB">
        <w:t>vedeným n</w:t>
      </w:r>
      <w:r>
        <w:t>ie</w:t>
      </w:r>
      <w:r w:rsidRPr="000612FB">
        <w:t xml:space="preserve"> </w:t>
      </w:r>
      <w:r>
        <w:t>sú</w:t>
      </w:r>
      <w:r w:rsidRPr="000612FB">
        <w:t xml:space="preserve"> dotknuté povinnosti uchovávania účtovných dokladov v zmysle zákona o účtovníctve a iných relevantných predpisov.</w:t>
      </w:r>
    </w:p>
  </w:footnote>
  <w:footnote w:id="25">
    <w:p w14:paraId="6DF7E664" w14:textId="77777777" w:rsidR="00A84C26" w:rsidRDefault="00A84C26" w:rsidP="001B709E">
      <w:pPr>
        <w:pStyle w:val="Textpoznmkypodiarou"/>
        <w:jc w:val="both"/>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26">
    <w:p w14:paraId="5A4E7241" w14:textId="77777777" w:rsidR="00A84C26" w:rsidRDefault="00A84C26">
      <w:pPr>
        <w:pStyle w:val="Textpoznmkypodiarou"/>
      </w:pPr>
      <w:r>
        <w:rPr>
          <w:rStyle w:val="Odkaznapoznmkupodiarou"/>
        </w:rPr>
        <w:footnoteRef/>
      </w:r>
      <w:r>
        <w:t xml:space="preserve"> Vzor CKO č. 3 - </w:t>
      </w:r>
      <w:r w:rsidRPr="00625031">
        <w:t>Manuál procedúr</w:t>
      </w:r>
    </w:p>
  </w:footnote>
  <w:footnote w:id="27">
    <w:p w14:paraId="0E81FF0F" w14:textId="77777777" w:rsidR="00A84C26" w:rsidRDefault="00A84C26">
      <w:pPr>
        <w:pStyle w:val="Textpoznmkypodiarou"/>
      </w:pPr>
      <w:r>
        <w:rPr>
          <w:rStyle w:val="Odkaznapoznmkupodiarou"/>
        </w:rPr>
        <w:footnoteRef/>
      </w:r>
      <w:r>
        <w:t xml:space="preserve"> Vzor CKO č. 3 - </w:t>
      </w:r>
      <w:r w:rsidRPr="00625031">
        <w:t>Manuál procedúr</w:t>
      </w:r>
    </w:p>
  </w:footnote>
  <w:footnote w:id="28">
    <w:p w14:paraId="2C2294F4" w14:textId="77777777" w:rsidR="00A84C26" w:rsidRDefault="00A84C26">
      <w:pPr>
        <w:pStyle w:val="Textpoznmkypodiarou"/>
      </w:pPr>
      <w:r>
        <w:rPr>
          <w:rStyle w:val="Odkaznapoznmkupodiarou"/>
        </w:rPr>
        <w:footnoteRef/>
      </w:r>
      <w:r>
        <w:t xml:space="preserve"> Príloha č. 1 k MP CKO č. 3 – Vzor opisov systémov riadenia a kontroly</w:t>
      </w:r>
    </w:p>
  </w:footnote>
  <w:footnote w:id="29">
    <w:p w14:paraId="45B91873" w14:textId="77777777" w:rsidR="00A84C26" w:rsidRDefault="00A84C26">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0">
    <w:p w14:paraId="68EBDC60" w14:textId="77777777" w:rsidR="00A84C26" w:rsidRDefault="00A84C26">
      <w:pPr>
        <w:pStyle w:val="Textpoznmkypodiarou"/>
      </w:pPr>
      <w:r>
        <w:rPr>
          <w:rStyle w:val="Odkaznapoznmkupodiarou"/>
        </w:rPr>
        <w:footnoteRef/>
      </w:r>
      <w:r>
        <w:t xml:space="preserve"> MP CKO č. 3 </w:t>
      </w:r>
      <w:r w:rsidRPr="00AF4933">
        <w:t>k procesu určenia riadiacich orgánov a certifikačného orgánu a k procesu monitorovania plnenia kritérií určenia</w:t>
      </w:r>
    </w:p>
  </w:footnote>
  <w:footnote w:id="31">
    <w:p w14:paraId="3B723E98" w14:textId="77777777" w:rsidR="00A84C26" w:rsidRDefault="00A84C26">
      <w:pPr>
        <w:pStyle w:val="Textpoznmkypodiarou"/>
      </w:pPr>
      <w:r>
        <w:rPr>
          <w:rStyle w:val="Odkaznapoznmkupodiarou"/>
        </w:rPr>
        <w:footnoteRef/>
      </w:r>
      <w:r>
        <w:t xml:space="preserve"> Vzor CKO č. 15 - </w:t>
      </w:r>
      <w:r w:rsidRPr="00625031">
        <w:t>Žiadosť o poskytnutie nenávratného finančného príspevku/Projektový zámer</w:t>
      </w:r>
    </w:p>
  </w:footnote>
  <w:footnote w:id="32">
    <w:p w14:paraId="28D82064" w14:textId="77777777" w:rsidR="00A84C26" w:rsidRDefault="00A84C26">
      <w:pPr>
        <w:pStyle w:val="Textpoznmkypodiarou"/>
      </w:pPr>
      <w:r>
        <w:rPr>
          <w:rStyle w:val="Odkaznapoznmkupodiarou"/>
        </w:rPr>
        <w:footnoteRef/>
      </w:r>
      <w:r>
        <w:t xml:space="preserve"> MP CKO č. 28 k overovaniu vybraných podmienok poskytnutia príspevku prostredníctvom ITMS2014+</w:t>
      </w:r>
    </w:p>
  </w:footnote>
  <w:footnote w:id="33">
    <w:p w14:paraId="065F67A3" w14:textId="77777777" w:rsidR="00A84C26" w:rsidRDefault="00A84C26">
      <w:pPr>
        <w:pStyle w:val="Textpoznmkypodiarou"/>
      </w:pPr>
      <w:r>
        <w:rPr>
          <w:rStyle w:val="Odkaznapoznmkupodiarou"/>
        </w:rPr>
        <w:footnoteRef/>
      </w:r>
      <w:r>
        <w:t xml:space="preserve"> RO budú priebežne informované o nasadení integrácie ITMS 2014+ s príslušným registrom</w:t>
      </w:r>
    </w:p>
  </w:footnote>
  <w:footnote w:id="34">
    <w:p w14:paraId="15177A63" w14:textId="77777777" w:rsidR="00A84C26" w:rsidRDefault="00A84C26">
      <w:pPr>
        <w:pStyle w:val="Textpoznmkypodiarou"/>
      </w:pPr>
      <w:r>
        <w:rPr>
          <w:rStyle w:val="Odkaznapoznmkupodiarou"/>
        </w:rPr>
        <w:footnoteRef/>
      </w:r>
      <w:r>
        <w:t xml:space="preserve"> </w:t>
      </w:r>
      <w:r w:rsidRPr="009078F6">
        <w:t xml:space="preserve">Napr. </w:t>
      </w:r>
      <w:r w:rsidRPr="00DE5D89">
        <w:t>zákon</w:t>
      </w:r>
      <w:r w:rsidRPr="009078F6">
        <w:t xml:space="preserve"> </w:t>
      </w:r>
      <w:r w:rsidRPr="007A00B7">
        <w:rPr>
          <w:szCs w:val="22"/>
          <w:lang w:eastAsia="en-US"/>
        </w:rPr>
        <w:t>o štátnej službe</w:t>
      </w:r>
      <w:r w:rsidRPr="007A00B7">
        <w:t>, zákon o výkone práce</w:t>
      </w:r>
      <w:r w:rsidRPr="009078F6">
        <w:t xml:space="preserve"> vo verejnom záujme, §</w:t>
      </w:r>
      <w:r>
        <w:t xml:space="preserve"> 4 a § 22 kompetenčného zákona.</w:t>
      </w:r>
    </w:p>
  </w:footnote>
  <w:footnote w:id="35">
    <w:p w14:paraId="40BED4D9" w14:textId="77777777" w:rsidR="00A84C26" w:rsidRDefault="00A84C26" w:rsidP="00946874">
      <w:pPr>
        <w:pStyle w:val="Textpoznmkypodiarou"/>
      </w:pPr>
      <w:r>
        <w:rPr>
          <w:rStyle w:val="Odkaznapoznmkupodiarou"/>
        </w:rPr>
        <w:footnoteRef/>
      </w:r>
      <w:r>
        <w:t xml:space="preserve"> </w:t>
      </w:r>
      <w:r w:rsidRPr="00B24B22">
        <w:t>Zákon č. 91/2016 Z. z. o trestnej zodpovednosti právnických osôb a o zmene a doplnení niektorých zákonov</w:t>
      </w:r>
    </w:p>
  </w:footnote>
  <w:footnote w:id="36">
    <w:p w14:paraId="73F85B1A" w14:textId="77777777" w:rsidR="00A84C26" w:rsidRDefault="00A84C26" w:rsidP="00957F10">
      <w:pPr>
        <w:pStyle w:val="Textpoznmkypodiarou"/>
      </w:pPr>
      <w:r>
        <w:rPr>
          <w:rStyle w:val="Odkaznapoznmkupodiarou"/>
        </w:rPr>
        <w:footnoteRef/>
      </w:r>
      <w:r>
        <w:t xml:space="preserve"> </w:t>
      </w:r>
      <w:r w:rsidRPr="00B24B22">
        <w:t xml:space="preserve">Zákon </w:t>
      </w:r>
      <w:r w:rsidRPr="00D76084">
        <w:t>o registri partnerov verejného sektora</w:t>
      </w:r>
    </w:p>
  </w:footnote>
  <w:footnote w:id="37">
    <w:p w14:paraId="19CBDF39" w14:textId="77777777" w:rsidR="00A84C26" w:rsidRDefault="00A84C26">
      <w:pPr>
        <w:pStyle w:val="Textpoznmkypodiarou"/>
      </w:pPr>
      <w:r>
        <w:rPr>
          <w:rStyle w:val="Odkaznapoznmkupodiarou"/>
        </w:rPr>
        <w:footnoteRef/>
      </w:r>
      <w:r>
        <w:t xml:space="preserve"> Súčasťou hodnotiacich kritérií sú napr. aj prípadné kritériá stanovené uzneseniami vlády SR, </w:t>
      </w:r>
      <w:r w:rsidRPr="00970543">
        <w:t>ak boli riadne schválené príslušným MV za dotknutý operačný program.</w:t>
      </w:r>
    </w:p>
  </w:footnote>
  <w:footnote w:id="38">
    <w:p w14:paraId="3D3F3B0A" w14:textId="77777777" w:rsidR="00A84C26" w:rsidRDefault="00A84C26">
      <w:pPr>
        <w:pStyle w:val="Textpoznmkypodiarou"/>
      </w:pPr>
      <w:r>
        <w:rPr>
          <w:rStyle w:val="Odkaznapoznmkupodiarou"/>
        </w:rPr>
        <w:footnoteRef/>
      </w:r>
      <w:r>
        <w:t xml:space="preserve"> Vzor CKO č. 35 Minimálny štandard príručky pre odborných hodnotiteľov</w:t>
      </w:r>
    </w:p>
  </w:footnote>
  <w:footnote w:id="39">
    <w:p w14:paraId="3DC8C45A" w14:textId="77777777" w:rsidR="00A84C26" w:rsidRDefault="00A84C26">
      <w:pPr>
        <w:pStyle w:val="Textpoznmkypodiarou"/>
      </w:pPr>
      <w:r>
        <w:rPr>
          <w:rStyle w:val="Odkaznapoznmkupodiarou"/>
        </w:rPr>
        <w:footnoteRef/>
      </w:r>
      <w:r>
        <w:t xml:space="preserve"> MP CKO č. 29 k výberu odborných hodnotiteľov</w:t>
      </w:r>
    </w:p>
  </w:footnote>
  <w:footnote w:id="40">
    <w:p w14:paraId="5A2182BE" w14:textId="26F64327" w:rsidR="00A84C26" w:rsidRDefault="00A84C26" w:rsidP="00556762">
      <w:pPr>
        <w:pStyle w:val="Textpoznmkypodiarou"/>
        <w:jc w:val="both"/>
      </w:pPr>
      <w:r>
        <w:rPr>
          <w:rStyle w:val="Odkaznapoznmkupodiarou"/>
        </w:rPr>
        <w:footnoteRef/>
      </w:r>
      <w:r>
        <w:t xml:space="preserve"> Vzor CKO č. 5 - </w:t>
      </w:r>
      <w:r w:rsidRPr="00625031">
        <w:t>Harmonogram výziev</w:t>
      </w:r>
      <w:r>
        <w:t xml:space="preserve">. </w:t>
      </w:r>
      <w:r w:rsidRPr="00C478AF">
        <w:t>Harmonogram výziev je samostatný dokument, ktorý  obsahuje len údaje podľa vzoru  CKO č. 5</w:t>
      </w:r>
      <w:r>
        <w:t>,</w:t>
      </w:r>
      <w:r w:rsidRPr="00C478AF">
        <w:t xml:space="preserve"> a ktorý musí byť zverejnený min</w:t>
      </w:r>
      <w:r>
        <w:t>imálne</w:t>
      </w:r>
      <w:r w:rsidRPr="00C478AF">
        <w:t xml:space="preserve"> dva mesiace pred vyhlásením výzvy.  Iný samostatný dokument </w:t>
      </w:r>
      <w:r>
        <w:t>j</w:t>
      </w:r>
      <w:r w:rsidRPr="00C478AF">
        <w:t>e Plán vyhlasovania výziev, vyzvaní národných projektov, vyzvaní veľkých projektov a vyzvaní projektov technickej pomoci, v ktorom sa okrem časového plánu (vychádzajúceho z časového harmonogramu, ktorý schválil RO) uvedú aj synergie a komplementarity v zmysle MP CKO č. 11. Procesy súvisiace s plánom vyhlasovania výziev a vyzvaní sú popísané v kapitole 1.3.1.10.</w:t>
      </w:r>
    </w:p>
  </w:footnote>
  <w:footnote w:id="41">
    <w:p w14:paraId="52A188E4" w14:textId="77777777" w:rsidR="00A84C26" w:rsidRDefault="00A84C26" w:rsidP="00F9068C">
      <w:pPr>
        <w:pStyle w:val="Textpoznmkypodiarou"/>
        <w:jc w:val="both"/>
      </w:pPr>
      <w:r>
        <w:rPr>
          <w:rStyle w:val="Odkaznapoznmkupodiarou"/>
        </w:rPr>
        <w:footnoteRef/>
      </w:r>
      <w:r>
        <w:t xml:space="preserve"> Procesy súvisiace s plánom vyhlasovania </w:t>
      </w:r>
      <w:r w:rsidRPr="00E41876">
        <w:rPr>
          <w:bCs/>
          <w:iCs/>
        </w:rPr>
        <w:t>výziev, vyzvaní národných projektov, vyzvaní veľkých projektov a vyzvaní projektov technickej pomoci</w:t>
      </w:r>
      <w:r>
        <w:rPr>
          <w:bCs/>
          <w:iCs/>
        </w:rPr>
        <w:t xml:space="preserve"> s identifikovanými synergiami a komplementaritami </w:t>
      </w:r>
      <w:r>
        <w:t>sú popísané v kapitole 1.3.1.10 Systému riadenia EŠIF.</w:t>
      </w:r>
    </w:p>
  </w:footnote>
  <w:footnote w:id="42">
    <w:p w14:paraId="1A0D72D0" w14:textId="77777777" w:rsidR="00A84C26" w:rsidRDefault="00A84C26">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p>
  </w:footnote>
  <w:footnote w:id="43">
    <w:p w14:paraId="10FA6331" w14:textId="77777777" w:rsidR="00A84C26" w:rsidRDefault="00A84C26">
      <w:pPr>
        <w:pStyle w:val="Textpoznmkypodiarou"/>
      </w:pPr>
      <w:r w:rsidRPr="002505DB">
        <w:rPr>
          <w:rStyle w:val="Odkaznapoznmkupodiarou"/>
        </w:rPr>
        <w:footnoteRef/>
      </w:r>
      <w:r w:rsidRPr="002505DB">
        <w:t xml:space="preserve"> </w:t>
      </w:r>
      <w:r w:rsidRPr="00DE5D89">
        <w:t>Vzor CKO č. 6 - Test štátnej pomoci</w:t>
      </w:r>
    </w:p>
  </w:footnote>
  <w:footnote w:id="44">
    <w:p w14:paraId="70BC092B" w14:textId="77777777" w:rsidR="00A84C26" w:rsidRDefault="00A84C26">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45">
    <w:p w14:paraId="78B8A390" w14:textId="6F011C52" w:rsidR="00A84C26" w:rsidRDefault="00A84C26" w:rsidP="00556762">
      <w:pPr>
        <w:pStyle w:val="Textpoznmkypodiarou"/>
        <w:jc w:val="both"/>
      </w:pPr>
      <w:r>
        <w:rPr>
          <w:rStyle w:val="Odkaznapoznmkupodiarou"/>
        </w:rPr>
        <w:footnoteRef/>
      </w:r>
      <w:r>
        <w:t xml:space="preserve"> Za finálny návrh výzvy sa považuje výzva s dopracovanými jednotlivými časťami, záväzným kódom výzvy a kompletnými prílohami (v prípade, že prílohy výzvy podliehajú schváleniu inými orgánmi, musia byť tieto prílohy v čase predloženia návrhu výzvy už schválené). </w:t>
      </w:r>
      <w:r w:rsidR="00262BB8">
        <w:t xml:space="preserve">Pred zaslaním finálneho návrhu výzvy na CKO a gestorom HP musí byť v prípade relevancie k Stratégii výskumu a inovácií pre inteligentnú špecializáciu SR (RIS3) predložený konsolidovaný zámer výzvy spoločne s rizikovou analýzou na posúdenie Stálej komisii Rady vlády SR pre vedu, techniku a inovácie pre implementáciu RIS3 („stála komisia“); v rámci OP Výskum a inovácie sa predkladá konsolidovaný zámer výzvy, podľa relevancie, aj Rade Technologickej agentúry alebo Rade Výskumnej </w:t>
      </w:r>
      <w:r w:rsidR="00262BB8" w:rsidRPr="00262BB8">
        <w:t>agentúry</w:t>
      </w:r>
      <w:r w:rsidR="00262BB8" w:rsidRPr="00556762">
        <w:t xml:space="preserve"> (v</w:t>
      </w:r>
      <w:r w:rsidR="00262BB8" w:rsidRPr="007255A2">
        <w:t xml:space="preserve">ýsledky posúdenia nemajú vplyv na </w:t>
      </w:r>
      <w:r w:rsidR="00262BB8" w:rsidRPr="00556762">
        <w:t>rozhodovaciu právomoc RO a jeho zodpovednosť za implementáciu OP v súlade s platnou legislatívou EÚ)</w:t>
      </w:r>
      <w:r w:rsidR="00262BB8" w:rsidRPr="00262BB8">
        <w:t>. Relevantnosť iných OP k RIS3 bude určená na základe schválených plánov vyhlasovania výziev a vyzvaní pre</w:t>
      </w:r>
      <w:r w:rsidR="00262BB8">
        <w:t xml:space="preserve"> nasledujúci rok stálou komisiou najneskôr do konca roka pre rok nasledujúci. Pri posudzovaní návrhu sa vyjadrujú len tí členovia stálej komisie, ktorí nie sú zainteresovaní na posudzovanom návrhu, aby sa vylúčilo riziko možného konfliktu záujmov.</w:t>
      </w:r>
      <w:r w:rsidR="00262BB8" w:rsidDel="00262BB8">
        <w:t xml:space="preserve"> </w:t>
      </w:r>
    </w:p>
  </w:footnote>
  <w:footnote w:id="46">
    <w:p w14:paraId="4758CD05" w14:textId="18A87000" w:rsidR="00A84C26" w:rsidRDefault="00A84C26">
      <w:pPr>
        <w:pStyle w:val="Textpoznmkypodiarou"/>
      </w:pPr>
      <w:r>
        <w:rPr>
          <w:rStyle w:val="Odkaznapoznmkupodiarou"/>
        </w:rPr>
        <w:footnoteRef/>
      </w:r>
      <w:r>
        <w:t xml:space="preserve"> MP CKO č. 32 Riziková analýza výziev/vyzvaní</w:t>
      </w:r>
    </w:p>
  </w:footnote>
  <w:footnote w:id="47">
    <w:p w14:paraId="5E67CFB6" w14:textId="77777777" w:rsidR="00A84C26" w:rsidRDefault="00A84C26">
      <w:pPr>
        <w:pStyle w:val="Textpoznmkypodiarou"/>
      </w:pPr>
      <w:r>
        <w:rPr>
          <w:rStyle w:val="Odkaznapoznmkupodiarou"/>
        </w:rPr>
        <w:footnoteRef/>
      </w:r>
      <w:r>
        <w:t xml:space="preserve"> Vzor CKO č. 7 - </w:t>
      </w:r>
      <w:r w:rsidRPr="002505DB">
        <w:t>Výzva na predkladanie projektových zámerov/výzva/vyzvanie</w:t>
      </w:r>
    </w:p>
  </w:footnote>
  <w:footnote w:id="48">
    <w:p w14:paraId="1499E913" w14:textId="19B97FEC" w:rsidR="00A84C26" w:rsidRDefault="00A84C26" w:rsidP="00556762">
      <w:pPr>
        <w:pStyle w:val="Textpoznmkypodiarou"/>
        <w:jc w:val="both"/>
      </w:pPr>
      <w:r>
        <w:rPr>
          <w:rStyle w:val="Odkaznapoznmkupodiarou"/>
        </w:rPr>
        <w:footnoteRef/>
      </w:r>
      <w:r>
        <w:t xml:space="preserve"> T</w:t>
      </w:r>
      <w:r w:rsidRPr="00556762">
        <w:t>akúto zmenu možno vykonať len s obmedzeniami, ktoré sa týkajú nemožnosti odoberať Typy aktivít, Mer</w:t>
      </w:r>
      <w:r>
        <w:t>a</w:t>
      </w:r>
      <w:r w:rsidRPr="00556762">
        <w:t xml:space="preserve">teľné ukazovatele, Skupiny oprávnených výdavkov, Oprávnené miesta realizácie, Oprávnené právne formy žiadateľa, Oprávnené cieľové skupiny, Špecifické polia, Typ partnerstva, Relevanciu k RIUS a CLLD, Schémy štátnej pomoci. </w:t>
      </w:r>
      <w:r>
        <w:t>V takom prípade je potrebné vypracovať zo strany žiadateľa novú ŽoNFP.</w:t>
      </w:r>
    </w:p>
  </w:footnote>
  <w:footnote w:id="49">
    <w:p w14:paraId="4F985175" w14:textId="77777777" w:rsidR="00A84C26" w:rsidRDefault="00A84C26" w:rsidP="00BD657E">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50">
    <w:p w14:paraId="2179D544" w14:textId="7642E27C" w:rsidR="00A84C26" w:rsidRPr="00556762" w:rsidRDefault="00A84C26" w:rsidP="00556762">
      <w:pPr>
        <w:pStyle w:val="SRK3"/>
        <w:spacing w:before="0"/>
        <w:rPr>
          <w:rFonts w:asciiTheme="minorHAnsi" w:hAnsiTheme="minorHAnsi"/>
        </w:rPr>
      </w:pPr>
      <w:r w:rsidRPr="007255A2">
        <w:rPr>
          <w:rStyle w:val="Odkaznapoznmkupodiarou"/>
          <w:color w:val="auto"/>
        </w:rPr>
        <w:footnoteRef/>
      </w:r>
      <w:r w:rsidRPr="007255A2">
        <w:rPr>
          <w:color w:val="auto"/>
        </w:rPr>
        <w:t xml:space="preserve"> </w:t>
      </w:r>
      <w:r w:rsidR="00BD657E" w:rsidRPr="00556762">
        <w:rPr>
          <w:bCs w:val="0"/>
          <w:color w:val="auto"/>
          <w:sz w:val="20"/>
          <w:szCs w:val="20"/>
          <w:lang w:eastAsia="sk-SK"/>
        </w:rPr>
        <w:t>Pred zaslaním finálneho návrhu výzvy na CKO a gestorom HP musí byť v prípade relevancie k Stratégii výskumu a inovácií pre inteligentnú špecializáciu SR (RIS3) predložený konsolidovaný zámer výzvy spoločne s rizikovou analýzou na posúdenie stálej komisii; v rámci OP Výskum a inovácie sa predkladá konsolidovaný zámer výzvy, podľa relevancie, aj Rade Technologickej agentúry alebo Rade Výskumnej agentúry</w:t>
      </w:r>
      <w:r w:rsidR="00BD657E">
        <w:rPr>
          <w:bCs w:val="0"/>
          <w:color w:val="auto"/>
          <w:sz w:val="20"/>
          <w:szCs w:val="20"/>
          <w:lang w:eastAsia="sk-SK"/>
        </w:rPr>
        <w:t xml:space="preserve"> </w:t>
      </w:r>
      <w:r w:rsidR="00BD657E" w:rsidRPr="00556762">
        <w:rPr>
          <w:bCs w:val="0"/>
          <w:color w:val="auto"/>
          <w:sz w:val="20"/>
          <w:szCs w:val="20"/>
          <w:lang w:eastAsia="sk-SK"/>
        </w:rPr>
        <w:t>(výsledky posúdenia nemajú vplyv na rozhodovaciu právomoc RO a jeho zodpovednosť za implementáciu OP v súlade s platnou legislatívou EÚ). Relevantnosť iných OP k RIS3 bude určená na základe schválených plánov vyhlasovania výziev a vyzvaní pre nasledujúci rok stálou komisiou najneskôr do konca roka pre rok nasledujúci. Pri posudzovaní návrhu sa vyjadrujú len tí členovia stálej komisie, ktorí nie sú zainteresovaní na posudzovanom návrhu, aby sa vylúčilo riziko možného konfliktu záujmov.</w:t>
      </w:r>
    </w:p>
  </w:footnote>
  <w:footnote w:id="51">
    <w:p w14:paraId="59F74A6C" w14:textId="77777777" w:rsidR="00A84C26" w:rsidRDefault="00A84C26" w:rsidP="00BD657E">
      <w:pPr>
        <w:pStyle w:val="Textpoznmkypodiarou"/>
      </w:pPr>
      <w:r>
        <w:rPr>
          <w:rStyle w:val="Odkaznapoznmkupodiarou"/>
        </w:rPr>
        <w:footnoteRef/>
      </w:r>
      <w:r>
        <w:t xml:space="preserve"> Vzor CKO č. 7 - </w:t>
      </w:r>
      <w:r w:rsidRPr="002505DB">
        <w:t>Výzva na predkladanie projektových zámerov/výzva/vyzvanie</w:t>
      </w:r>
    </w:p>
  </w:footnote>
  <w:footnote w:id="52">
    <w:p w14:paraId="7EEEFE54" w14:textId="77777777" w:rsidR="00A84C26" w:rsidRDefault="00A84C26">
      <w:pPr>
        <w:pStyle w:val="Textpoznmkypodiarou"/>
      </w:pPr>
      <w:r>
        <w:rPr>
          <w:rStyle w:val="Odkaznapoznmkupodiarou"/>
        </w:rPr>
        <w:footnoteRef/>
      </w:r>
      <w:r>
        <w:t xml:space="preserve"> Vzor CKO č. 7 - </w:t>
      </w:r>
      <w:r w:rsidRPr="002505DB">
        <w:t>Výzva na predkladanie projektových zámerov/výzva/vyzvanie</w:t>
      </w:r>
    </w:p>
  </w:footnote>
  <w:footnote w:id="53">
    <w:p w14:paraId="319FC857" w14:textId="77777777" w:rsidR="00A84C26" w:rsidRDefault="00A84C26">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54">
    <w:p w14:paraId="59D573C4" w14:textId="77777777" w:rsidR="00A84C26" w:rsidRDefault="00A84C26" w:rsidP="005B4F8F">
      <w:pPr>
        <w:pStyle w:val="Textpoznmkypodiarou"/>
        <w:jc w:val="both"/>
      </w:pPr>
      <w:r>
        <w:rPr>
          <w:rStyle w:val="Odkaznapoznmkupodiarou"/>
        </w:rPr>
        <w:footnoteRef/>
      </w:r>
      <w:r>
        <w:t xml:space="preserve"> Takéto prílohy musia spĺňať š</w:t>
      </w:r>
      <w:r w:rsidRPr="001B709E">
        <w:rPr>
          <w:lang w:eastAsia="en-GB"/>
        </w:rPr>
        <w:t xml:space="preserve">tandardy pre formáty elektronických dokumentov podpísateľných elektronickým podpisom v zmysle platného </w:t>
      </w:r>
      <w:r w:rsidRPr="00FB01E4">
        <w:t>Výnos</w:t>
      </w:r>
      <w:r>
        <w:t>u</w:t>
      </w:r>
      <w:r w:rsidRPr="00FB01E4">
        <w:t xml:space="preserve"> MF SR č. 55/2014 Z.</w:t>
      </w:r>
      <w:r>
        <w:t xml:space="preserve"> </w:t>
      </w:r>
      <w:r w:rsidRPr="00FB01E4">
        <w:t xml:space="preserve">z. </w:t>
      </w:r>
      <w:r w:rsidRPr="001B709E">
        <w:rPr>
          <w:lang w:eastAsia="en-GB"/>
        </w:rPr>
        <w:t>o štandardoch pre informačné systémy verejnej správy.</w:t>
      </w:r>
    </w:p>
  </w:footnote>
  <w:footnote w:id="55">
    <w:p w14:paraId="6CC70EF3" w14:textId="77777777" w:rsidR="00A84C26" w:rsidRDefault="00A84C26"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56">
    <w:p w14:paraId="2B957DEF" w14:textId="77777777" w:rsidR="00A84C26" w:rsidRDefault="00A84C26"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57">
    <w:p w14:paraId="210D04D4" w14:textId="77777777" w:rsidR="00A84C26" w:rsidRDefault="00A84C26">
      <w:pPr>
        <w:pStyle w:val="Textpoznmkypodiarou"/>
      </w:pPr>
      <w:r>
        <w:rPr>
          <w:rStyle w:val="Odkaznapoznmkupodiarou"/>
        </w:rPr>
        <w:footnoteRef/>
      </w:r>
      <w:r>
        <w:t xml:space="preserve"> Vzor CKO č. 19 - </w:t>
      </w:r>
      <w:r w:rsidRPr="002505DB">
        <w:t>Výzva na doplnenie projektového zámeru/</w:t>
      </w:r>
      <w:r>
        <w:t>ŽoNFP</w:t>
      </w:r>
    </w:p>
  </w:footnote>
  <w:footnote w:id="58">
    <w:p w14:paraId="0B7F0C0A" w14:textId="77777777" w:rsidR="00A84C26" w:rsidRDefault="00A84C26"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59">
    <w:p w14:paraId="23FD9900" w14:textId="77777777" w:rsidR="00A84C26" w:rsidRDefault="00A84C26">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60">
    <w:p w14:paraId="52E365C6" w14:textId="77777777" w:rsidR="00A84C26" w:rsidRDefault="00A84C26" w:rsidP="00990546">
      <w:pPr>
        <w:pStyle w:val="Textpoznmkypodiarou"/>
        <w:jc w:val="both"/>
      </w:pPr>
      <w:r>
        <w:rPr>
          <w:rStyle w:val="Odkaznapoznmkupodiarou"/>
        </w:rPr>
        <w:footnoteRef/>
      </w:r>
      <w:r>
        <w:t xml:space="preserve"> Hodnotiace hárky ŽoNFP, resp. závery z hodnotenia každej ŽoNFP, vypracované pred termínom, stanoveným na zapracovanie zmien, vyplývajúcich z verzie č. 5  Systému riadenia EŠIF, nie je RO povinný dodatočne vložiť do ITMS 2014+.</w:t>
      </w:r>
    </w:p>
  </w:footnote>
  <w:footnote w:id="61">
    <w:p w14:paraId="78C42F6C" w14:textId="77777777" w:rsidR="00A84C26" w:rsidRPr="00D7136A" w:rsidRDefault="00A84C26" w:rsidP="00D7136A">
      <w:pPr>
        <w:pStyle w:val="Textpoznmkypodiarou"/>
        <w:jc w:val="both"/>
      </w:pPr>
      <w:r w:rsidRPr="002F3613">
        <w:rPr>
          <w:rStyle w:val="Odkaznapoznmkupodiarou"/>
        </w:rPr>
        <w:footnoteRef/>
      </w:r>
      <w:r w:rsidRPr="002F3613">
        <w:t xml:space="preserve"> Netýka sa projektov technickej pomoci a veľkých projektov. </w:t>
      </w:r>
    </w:p>
  </w:footnote>
  <w:footnote w:id="62">
    <w:p w14:paraId="03597545" w14:textId="5AA6AF9D" w:rsidR="00A84C26" w:rsidRDefault="00A84C26" w:rsidP="00556762">
      <w:pPr>
        <w:pStyle w:val="Textpoznmkypodiarou"/>
        <w:jc w:val="both"/>
      </w:pPr>
      <w:r>
        <w:rPr>
          <w:rStyle w:val="Odkaznapoznmkupodiarou"/>
        </w:rPr>
        <w:footnoteRef/>
      </w:r>
      <w:r>
        <w:t xml:space="preserve"> Vzor CKO č. 24 Záverečná správa výzvy. V prípade, ak RO nevypracúva záverečnú správu výzvy, o dôvode využitia zoznamu vypracuje samostatný záznam.</w:t>
      </w:r>
    </w:p>
  </w:footnote>
  <w:footnote w:id="63">
    <w:p w14:paraId="19F48194" w14:textId="77777777" w:rsidR="00A84C26" w:rsidRDefault="00A84C26" w:rsidP="00DE5D89">
      <w:pPr>
        <w:pStyle w:val="Textpoznmkypodiarou"/>
        <w:jc w:val="both"/>
      </w:pPr>
      <w:r>
        <w:rPr>
          <w:rStyle w:val="Odkaznapoznmkupodiarou"/>
        </w:rPr>
        <w:footnoteRef/>
      </w:r>
      <w:r>
        <w:t xml:space="preserve"> Vzor CKO č. 22 - </w:t>
      </w:r>
      <w:r w:rsidRPr="00625031">
        <w:t xml:space="preserve">Rozhodnutia o </w:t>
      </w:r>
      <w:r>
        <w:t>ŽoNFP</w:t>
      </w:r>
      <w:r w:rsidRPr="00625031">
        <w:t xml:space="preserve"> (rozhodnutie o schválení, neschválení a zastavení konania)</w:t>
      </w:r>
      <w:r>
        <w:t>,</w:t>
      </w:r>
      <w:r w:rsidRPr="004A3C6A">
        <w:t xml:space="preserve"> resp. vzor č. 30</w:t>
      </w:r>
      <w:r>
        <w:t xml:space="preserve"> – Rozhodnutie o schválení ŽoNFP</w:t>
      </w:r>
      <w:r w:rsidRPr="004A3C6A">
        <w:t xml:space="preserve"> (platí pre prípady, keď poskytovateľ a prijímateľ sú tá istá osoba</w:t>
      </w:r>
      <w:r>
        <w:t>).</w:t>
      </w:r>
    </w:p>
  </w:footnote>
  <w:footnote w:id="64">
    <w:p w14:paraId="541BD65E" w14:textId="77777777" w:rsidR="00A84C26" w:rsidRDefault="00A84C26">
      <w:pPr>
        <w:pStyle w:val="Textpoznmkypodiarou"/>
      </w:pPr>
      <w:r>
        <w:rPr>
          <w:rStyle w:val="Odkaznapoznmkupodiarou"/>
        </w:rPr>
        <w:footnoteRef/>
      </w:r>
      <w:r>
        <w:t xml:space="preserve"> Vzor CKO č. 24 - </w:t>
      </w:r>
      <w:r w:rsidRPr="002505DB">
        <w:t>Záverečná správa výzvy</w:t>
      </w:r>
    </w:p>
  </w:footnote>
  <w:footnote w:id="65">
    <w:p w14:paraId="4AFBB88D" w14:textId="003E8E3D" w:rsidR="00A84C26" w:rsidRDefault="00A84C26" w:rsidP="001B709E">
      <w:pPr>
        <w:pStyle w:val="Textpoznmkypodiarou"/>
        <w:jc w:val="both"/>
      </w:pPr>
      <w:r>
        <w:rPr>
          <w:rStyle w:val="Odkaznapoznmkupodiarou"/>
        </w:rPr>
        <w:footnoteRef/>
      </w:r>
      <w:r>
        <w:t xml:space="preserve"> Údaje o odborných hodnotiteľoch, ktorí hodnotili ŽoNFP pred termínom, stanoveným na zapracovanie zmien, vyplývajúcich z verzie č. 5 Systému riadenia EŠIF a informácie o praxi odborných hodnotiteľov,</w:t>
      </w:r>
      <w:r w:rsidRPr="008919A8">
        <w:t xml:space="preserve"> </w:t>
      </w:r>
      <w:r>
        <w:t xml:space="preserve">ktorí hodnotili ŽoNFP pred termínom, stanoveným na zapracovanie zmien, vyplývajúcich z metodického pokynu CKO č. 29 k výberu odborných hodnotiteľov, nie je RO povinný dodatočne vložiť do ITMS 2014+. Zverejňovanie informácií o praxi odborných hodnotiteľov sa neuplatňuje v prípade projektov technickej pomoci.  </w:t>
      </w:r>
    </w:p>
  </w:footnote>
  <w:footnote w:id="66">
    <w:p w14:paraId="35E3E259" w14:textId="77777777" w:rsidR="00A84C26" w:rsidRDefault="00A84C26">
      <w:pPr>
        <w:pStyle w:val="Textpoznmkypodiarou"/>
      </w:pPr>
      <w:r>
        <w:rPr>
          <w:rStyle w:val="Odkaznapoznmkupodiarou"/>
        </w:rPr>
        <w:footnoteRef/>
      </w:r>
      <w:r>
        <w:t xml:space="preserve"> Vzor CKO č. 20 - </w:t>
      </w:r>
      <w:r w:rsidRPr="002505DB">
        <w:t>Hodnotiaca správa projektového zámeru</w:t>
      </w:r>
    </w:p>
  </w:footnote>
  <w:footnote w:id="67">
    <w:p w14:paraId="026F441B" w14:textId="77777777" w:rsidR="00A84C26" w:rsidRDefault="00A84C26">
      <w:pPr>
        <w:pStyle w:val="Textpoznmkypodiarou"/>
      </w:pPr>
      <w:r>
        <w:rPr>
          <w:rStyle w:val="Odkaznapoznmkupodiarou"/>
        </w:rPr>
        <w:footnoteRef/>
      </w:r>
      <w:r>
        <w:t xml:space="preserve"> Vzor CKO č. 23 - </w:t>
      </w:r>
      <w:r w:rsidRPr="002505DB">
        <w:t>Záverečná správa výzvy na predkladanie projektových zámerov</w:t>
      </w:r>
    </w:p>
  </w:footnote>
  <w:footnote w:id="68">
    <w:p w14:paraId="01947623" w14:textId="77777777" w:rsidR="00A84C26" w:rsidRDefault="00A84C26">
      <w:pPr>
        <w:pStyle w:val="Textpoznmkypodiarou"/>
      </w:pPr>
      <w:r>
        <w:rPr>
          <w:rStyle w:val="Odkaznapoznmkupodiarou"/>
        </w:rPr>
        <w:footnoteRef/>
      </w:r>
      <w:r>
        <w:t xml:space="preserve"> Vzor CKO č. 28 - </w:t>
      </w:r>
      <w:r w:rsidRPr="00625031">
        <w:t>Zmluva o NFP (bez partnerov)</w:t>
      </w:r>
    </w:p>
  </w:footnote>
  <w:footnote w:id="69">
    <w:p w14:paraId="3784C448" w14:textId="77777777" w:rsidR="00A84C26" w:rsidRDefault="00A84C26">
      <w:pPr>
        <w:pStyle w:val="Textpoznmkypodiarou"/>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70">
    <w:p w14:paraId="7B6AC507" w14:textId="77777777" w:rsidR="00A84C26" w:rsidRDefault="00A84C26">
      <w:pPr>
        <w:pStyle w:val="Textpoznmkypodiarou"/>
      </w:pPr>
      <w:r>
        <w:rPr>
          <w:rStyle w:val="Odkaznapoznmkupodiarou"/>
        </w:rPr>
        <w:footnoteRef/>
      </w:r>
      <w:r>
        <w:t xml:space="preserve"> </w:t>
      </w:r>
      <w:r w:rsidRPr="0013742D">
        <w:t>MP CKO č. 19 k zabezpečeniu pohľadávky RO</w:t>
      </w:r>
    </w:p>
  </w:footnote>
  <w:footnote w:id="71">
    <w:p w14:paraId="4A15AA8F" w14:textId="77777777" w:rsidR="00A84C26" w:rsidRDefault="00A84C26" w:rsidP="001B709E">
      <w:pPr>
        <w:pStyle w:val="Textpoznmkypodiarou"/>
        <w:jc w:val="both"/>
      </w:pPr>
      <w:r>
        <w:rPr>
          <w:rStyle w:val="Odkaznapoznmkupodiarou"/>
        </w:rPr>
        <w:footnoteRef/>
      </w:r>
      <w:r>
        <w:t xml:space="preserve"> </w:t>
      </w:r>
      <w:r w:rsidRPr="00332581">
        <w:t xml:space="preserve">Monitorovanie počas realizácie projektu v rámci programov spolupráce Interreg V-A </w:t>
      </w:r>
      <w:r>
        <w:t>je odlišné. Kľúčové informácie o postupe realizácie každého z partnerov projektu sú poskytované v rámci monitorovacích správ, ktoré predkladá každý z partnerov projektu s finančnou účasťou v rámci monitorovacích správ. Monitorovacie obdobia a termíny predkladania monitorovacích správ sú uvedené v zmluve o poskytnutí NFP. Monitorovacie správy sú predkladané spolu so zoznamom deklarovaných výdavkov, alebo samostatne. Ďalšia časť monitoringu počas realizácie projektu je zameraná na zber údajov za celý projekt a vykonáva sa prostredníctvom Súhrnných monitorovacích správ, ktoré predkladá hlavný prijímateľ projektu. Hlavný prijímateľ projektu predkladá Súhrnnú monitorovaciu správu za projekt spolu so ŽoP, resp. samostatne, ak ŽoP za dané obdobie nepredkladá.</w:t>
      </w:r>
    </w:p>
    <w:p w14:paraId="3C3D0418" w14:textId="77777777" w:rsidR="00A84C26" w:rsidRDefault="00A84C26" w:rsidP="001B709E">
      <w:pPr>
        <w:pStyle w:val="Textpoznmkypodiarou"/>
        <w:jc w:val="both"/>
      </w:pPr>
      <w:r>
        <w:t>Bližšie podmienky a postupy týkajúce sa monitorovania projektov sú uvedené v programovej dokumentácii jednotlivých programov spolupráce.</w:t>
      </w:r>
    </w:p>
  </w:footnote>
  <w:footnote w:id="72">
    <w:p w14:paraId="0BD2E5E3" w14:textId="7AE3683D" w:rsidR="00A84C26" w:rsidRDefault="00A84C26" w:rsidP="00556762">
      <w:pPr>
        <w:pStyle w:val="Textpoznmkypodiarou"/>
        <w:jc w:val="both"/>
      </w:pPr>
      <w:r>
        <w:rPr>
          <w:rStyle w:val="Odkaznapoznmkupodiarou"/>
        </w:rPr>
        <w:footnoteRef/>
      </w:r>
      <w:r>
        <w:t xml:space="preserve"> Vzor CKO č. 26 - </w:t>
      </w:r>
      <w:r w:rsidRPr="00625031">
        <w:t>Doplňujúce monitorovacie údaje k žiadosti o</w:t>
      </w:r>
      <w:r>
        <w:t> </w:t>
      </w:r>
      <w:r w:rsidRPr="00625031">
        <w:t>platbu</w:t>
      </w:r>
      <w:r>
        <w:t>; Vzor CKO č. 31 – Mimoriadna monitorovacia správa projektu</w:t>
      </w:r>
    </w:p>
  </w:footnote>
  <w:footnote w:id="73">
    <w:p w14:paraId="34C9EEC9" w14:textId="77777777" w:rsidR="00A84C26" w:rsidRDefault="00A84C26">
      <w:pPr>
        <w:pStyle w:val="Textpoznmkypodiarou"/>
      </w:pPr>
      <w:r>
        <w:rPr>
          <w:rStyle w:val="Odkaznapoznmkupodiarou"/>
        </w:rPr>
        <w:footnoteRef/>
      </w:r>
      <w:r>
        <w:t xml:space="preserve"> Vzor CKO č. 25 - </w:t>
      </w:r>
      <w:r w:rsidRPr="00625031">
        <w:t>Monitorovacia správa projektu</w:t>
      </w:r>
    </w:p>
  </w:footnote>
  <w:footnote w:id="74">
    <w:p w14:paraId="41DA6D23" w14:textId="77777777" w:rsidR="00A84C26" w:rsidRDefault="00A84C26">
      <w:pPr>
        <w:pStyle w:val="Textpoznmkypodiarou"/>
      </w:pPr>
      <w:r>
        <w:rPr>
          <w:rStyle w:val="Odkaznapoznmkupodiarou"/>
        </w:rPr>
        <w:footnoteRef/>
      </w:r>
      <w:r>
        <w:t xml:space="preserve"> Vzor CKO č. 27 - </w:t>
      </w:r>
      <w:r w:rsidRPr="00625031">
        <w:t>Následná monitorovacia správa projektu</w:t>
      </w:r>
    </w:p>
  </w:footnote>
  <w:footnote w:id="75">
    <w:p w14:paraId="7399A291" w14:textId="77777777" w:rsidR="00A84C26" w:rsidRDefault="00A84C26">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76">
    <w:p w14:paraId="4598701F" w14:textId="42F9AFDE" w:rsidR="00A84C26" w:rsidRDefault="00A84C26">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77">
    <w:p w14:paraId="67FE801F" w14:textId="77777777" w:rsidR="00A84C26" w:rsidRDefault="00A84C26">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78">
    <w:p w14:paraId="6AEF372A" w14:textId="54053783" w:rsidR="00A84C26" w:rsidRDefault="00A84C26">
      <w:pPr>
        <w:pStyle w:val="Textpoznmkypodiarou"/>
      </w:pPr>
      <w:r>
        <w:rPr>
          <w:rStyle w:val="Odkaznapoznmkupodiarou"/>
        </w:rPr>
        <w:footnoteRef/>
      </w:r>
      <w:r>
        <w:t xml:space="preserve"> MP CKO č. 26 </w:t>
      </w:r>
      <w:r w:rsidRPr="000A7FEF">
        <w:t>k postupom zmenového konania a monitorovaniu dodržania podmienok udržateľnosti projektu</w:t>
      </w:r>
    </w:p>
  </w:footnote>
  <w:footnote w:id="79">
    <w:p w14:paraId="29861163" w14:textId="77777777" w:rsidR="00A84C26" w:rsidRDefault="00A84C26">
      <w:pPr>
        <w:pStyle w:val="Textpoznmkypodiarou"/>
      </w:pPr>
      <w:r>
        <w:rPr>
          <w:rStyle w:val="Odkaznapoznmkupodiarou"/>
        </w:rPr>
        <w:footnoteRef/>
      </w:r>
      <w:r>
        <w:t xml:space="preserve"> § 2 ods. 2 písm. h) zákona o finančnej kontrole</w:t>
      </w:r>
    </w:p>
  </w:footnote>
  <w:footnote w:id="80">
    <w:p w14:paraId="1755BA90" w14:textId="77777777" w:rsidR="00A84C26" w:rsidRDefault="00A84C26">
      <w:pPr>
        <w:pStyle w:val="Textpoznmkypodiarou"/>
      </w:pPr>
      <w:r>
        <w:rPr>
          <w:rStyle w:val="Odkaznapoznmkupodiarou"/>
        </w:rPr>
        <w:footnoteRef/>
      </w:r>
      <w:r>
        <w:t xml:space="preserve"> Keďže</w:t>
      </w:r>
      <w:r w:rsidRPr="006C1C05">
        <w:t xml:space="preserve"> zákon o finančnej kontrole výslovne neustanovuje formu akou má štatutárny orgán určiť vedúceho zamestnanca, je v kompetencií štatutárneho orgánu akou formou tento úkon vykoná</w:t>
      </w:r>
      <w:r>
        <w:t>.</w:t>
      </w:r>
    </w:p>
  </w:footnote>
  <w:footnote w:id="81">
    <w:p w14:paraId="4EE2F79C" w14:textId="77777777" w:rsidR="00A84C26" w:rsidRDefault="00A84C26">
      <w:pPr>
        <w:pStyle w:val="Textpoznmkypodiarou"/>
      </w:pPr>
      <w:r>
        <w:rPr>
          <w:rStyle w:val="Odkaznapoznmkupodiarou"/>
        </w:rPr>
        <w:footnoteRef/>
      </w:r>
      <w:r>
        <w:t xml:space="preserve"> V zmysle ustanovenia § 22 ods. 2 zákona o finančnej kontrole</w:t>
      </w:r>
    </w:p>
  </w:footnote>
  <w:footnote w:id="82">
    <w:p w14:paraId="7441F895" w14:textId="77777777" w:rsidR="00A84C26" w:rsidRDefault="00A84C26">
      <w:pPr>
        <w:pStyle w:val="Textpoznmkypodiarou"/>
      </w:pPr>
      <w:r>
        <w:rPr>
          <w:rStyle w:val="Odkaznapoznmkupodiarou"/>
        </w:rPr>
        <w:footnoteRef/>
      </w:r>
      <w:r>
        <w:t xml:space="preserve"> Vzor CKO č. 13 - </w:t>
      </w:r>
      <w:r w:rsidRPr="00625031">
        <w:t>Kontrolné zoznamy ku kontrole projektu (okrem kontroly verejného obstarávania/obstarávania)</w:t>
      </w:r>
    </w:p>
  </w:footnote>
  <w:footnote w:id="83">
    <w:p w14:paraId="21EA4EF6" w14:textId="77777777" w:rsidR="00A84C26" w:rsidRDefault="00A84C26" w:rsidP="00517B1D">
      <w:pPr>
        <w:pStyle w:val="Textpoznmkypodiarou"/>
      </w:pPr>
      <w:r>
        <w:rPr>
          <w:rStyle w:val="Odkaznapoznmkupodiarou"/>
        </w:rPr>
        <w:footnoteRef/>
      </w:r>
      <w:r>
        <w:t xml:space="preserve"> V zmysle ustanovenia § 22 ods. 7 zákona o finančnej kontrole                                       </w:t>
      </w:r>
    </w:p>
  </w:footnote>
  <w:footnote w:id="84">
    <w:p w14:paraId="34E3FD53" w14:textId="77777777" w:rsidR="00A84C26" w:rsidRDefault="00A84C26" w:rsidP="00A47F6E">
      <w:pPr>
        <w:pStyle w:val="Textpoznmkypodiarou"/>
      </w:pPr>
      <w:r>
        <w:rPr>
          <w:rStyle w:val="Odkaznapoznmkupodiarou"/>
        </w:rPr>
        <w:footnoteRef/>
      </w:r>
      <w:r>
        <w:t xml:space="preserve"> Napríklad § 39 zákona Slovenskej národnej rady č. 323/1992 Zb. o notároch a notárskej činnosti (Notársky poriadok) v znení neskorších predpisov, § 23 zákona č. 586/2003 Z. z. o advokácií a o zmene a doplnení zákona č. 455/1991 Zb. o živnostenskom podnikaní (živnostenský zákon) v znení neskorších predpisov v znení zákona č. 297/2008 Z. z.</w:t>
      </w:r>
    </w:p>
  </w:footnote>
  <w:footnote w:id="85">
    <w:p w14:paraId="297A1758" w14:textId="77777777" w:rsidR="00A84C26" w:rsidRDefault="00A84C26">
      <w:pPr>
        <w:pStyle w:val="Textpoznmkypodiarou"/>
      </w:pPr>
      <w:r>
        <w:rPr>
          <w:rStyle w:val="Odkaznapoznmkupodiarou"/>
        </w:rPr>
        <w:footnoteRef/>
      </w:r>
      <w:r>
        <w:t xml:space="preserve"> Zákon Národnej rady Slovenskej republiky č. 46/1993 Z. z. v znení neskorších predpisov, </w:t>
      </w:r>
    </w:p>
    <w:p w14:paraId="4BDE5BAB" w14:textId="77777777" w:rsidR="00A84C26" w:rsidRDefault="00A84C26">
      <w:pPr>
        <w:pStyle w:val="Textpoznmkypodiarou"/>
      </w:pPr>
      <w:r>
        <w:t>zákon č. 198/1994 Z. z. v znení neskorších predpisov,</w:t>
      </w:r>
    </w:p>
    <w:p w14:paraId="2C6F7AA6" w14:textId="77777777" w:rsidR="00A84C26" w:rsidRDefault="00A84C26">
      <w:pPr>
        <w:pStyle w:val="Textpoznmkypodiarou"/>
      </w:pPr>
      <w:r>
        <w:t>zákon č. 215/2004 Z. z. v znení neskorších predpisov.</w:t>
      </w:r>
    </w:p>
    <w:p w14:paraId="4BC10FBD" w14:textId="77777777" w:rsidR="00A84C26" w:rsidRDefault="00A84C26">
      <w:pPr>
        <w:pStyle w:val="Textpoznmkypodiarou"/>
      </w:pPr>
    </w:p>
  </w:footnote>
  <w:footnote w:id="86">
    <w:p w14:paraId="4885B2E8" w14:textId="77777777" w:rsidR="00A84C26" w:rsidRDefault="00A84C26">
      <w:pPr>
        <w:pStyle w:val="Textpoznmkypodiarou"/>
      </w:pPr>
      <w:r>
        <w:rPr>
          <w:rStyle w:val="Odkaznapoznmkupodiarou"/>
        </w:rPr>
        <w:footnoteRef/>
      </w:r>
      <w:r>
        <w:t xml:space="preserve"> Náklady  vyžadovaných úradne osvedčených </w:t>
      </w:r>
      <w:r w:rsidRPr="0070333D">
        <w:t>kópií znáša ich požadovateľ,  preto</w:t>
      </w:r>
      <w:r>
        <w:t xml:space="preserve"> je potrebné zvážiť hospodárnosť a nevyhnutnosť takejto požiadavky.  </w:t>
      </w:r>
    </w:p>
  </w:footnote>
  <w:footnote w:id="87">
    <w:p w14:paraId="4C2D41AD" w14:textId="77777777" w:rsidR="00A84C26" w:rsidRDefault="00A84C26">
      <w:pPr>
        <w:pStyle w:val="Textpoznmkypodiarou"/>
      </w:pPr>
      <w:r>
        <w:rPr>
          <w:rStyle w:val="Odkaznapoznmkupodiarou"/>
        </w:rPr>
        <w:footnoteRef/>
      </w:r>
      <w:r>
        <w:t xml:space="preserve"> Napríklad civilný sporový poriadok, civilný mimosporový poriadok, správny poriadok, zákon Slovenskej národnej rady č. 372/1990 Zb.  o priestupoch v znení neskorších predpisov </w:t>
      </w:r>
    </w:p>
  </w:footnote>
  <w:footnote w:id="88">
    <w:p w14:paraId="7F3D6A0D" w14:textId="77777777" w:rsidR="00A84C26" w:rsidRDefault="00A84C26" w:rsidP="00DE5D89">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w:t>
      </w:r>
      <w:r>
        <w:t xml:space="preserve"> </w:t>
      </w:r>
      <w:r w:rsidRPr="00DE5D89">
        <w:t>j. zaúčtovanie poskytnutého preddavku,  prijatie faktúry, zúčtovanie rozdielu (preplatok/nedoplatok)</w:t>
      </w:r>
      <w:r>
        <w:t>.</w:t>
      </w:r>
    </w:p>
  </w:footnote>
  <w:footnote w:id="89">
    <w:p w14:paraId="721A7D9D" w14:textId="77777777" w:rsidR="00A84C26" w:rsidRDefault="00A84C26">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90">
    <w:p w14:paraId="7D51EAD7" w14:textId="77777777" w:rsidR="00A84C26" w:rsidRDefault="00A84C26" w:rsidP="00C03CE9">
      <w:pPr>
        <w:pStyle w:val="Textpoznmkypodiarou"/>
        <w:jc w:val="both"/>
      </w:pPr>
      <w:r>
        <w:rPr>
          <w:rStyle w:val="Odkaznapoznmkupodiarou"/>
        </w:rPr>
        <w:footnoteRef/>
      </w:r>
      <w:r>
        <w:t xml:space="preserve">) </w:t>
      </w:r>
      <w:r w:rsidRPr="00283980">
        <w:t>Napríklad zákon č. 523/200</w:t>
      </w:r>
      <w:r>
        <w:t>4</w:t>
      </w:r>
      <w:r w:rsidRPr="00283980">
        <w:t xml:space="preserve"> Z. z. v znení neskorších predpisov,</w:t>
      </w:r>
      <w:r>
        <w:t xml:space="preserve"> </w:t>
      </w:r>
      <w:r w:rsidRPr="00283980">
        <w:t>zákon č. 583/2004 Z. z</w:t>
      </w:r>
      <w:r>
        <w:t xml:space="preserve">. v znení neskorších predpisov, </w:t>
      </w:r>
      <w:r w:rsidRPr="00283980">
        <w:t>zákon č. 25/2006 Z. z. o verejnom obstarávaní a o zmene a doplnení niektorých zákonov v znení neskorších predpisov,</w:t>
      </w:r>
      <w:r>
        <w:t xml:space="preserve"> zákon č. 343/2015 Z. z. o verejnom obstarávaní a o zmene a doplnení niektorých zákonov v znení neskorších predpisov, </w:t>
      </w:r>
      <w:r w:rsidRPr="005A1A1E">
        <w:t>zákon č. 528/2008 Z. z. o pomoci a podpore poskytovanej z fondov Európskej únie v znení neskorších predpisov</w:t>
      </w:r>
      <w:r>
        <w:t>,</w:t>
      </w:r>
      <w:r w:rsidRPr="00283980">
        <w:t xml:space="preserve"> Dohoda medzi Európskou úniou, Islandom, Lichtenštajnským kniežatstvom a Nórskym kráľovstvom o finančnom mechanizme EHP</w:t>
      </w:r>
      <w:r>
        <w:t xml:space="preserve"> na obdobie rokov 2009 – 2014 (</w:t>
      </w:r>
      <w:r w:rsidRPr="00283980">
        <w:t>Ú. v. EÚ L 291,</w:t>
      </w:r>
      <w:r>
        <w:t xml:space="preserve"> </w:t>
      </w:r>
      <w:r w:rsidRPr="00283980">
        <w:t>09.</w:t>
      </w:r>
      <w:r>
        <w:t xml:space="preserve"> </w:t>
      </w:r>
      <w:r w:rsidRPr="00283980">
        <w:t>11.</w:t>
      </w:r>
      <w:r>
        <w:t xml:space="preserve"> </w:t>
      </w:r>
      <w:r w:rsidRPr="00283980">
        <w:t>2010), Dohoda medzi Nórskym kráľovstvom a </w:t>
      </w:r>
      <w:r>
        <w:t>E</w:t>
      </w:r>
      <w:r w:rsidRPr="00283980">
        <w:t>urópskou úniou o nórskom finančnom mechanizme</w:t>
      </w:r>
      <w:r>
        <w:t xml:space="preserve"> na obdobie rokov 2009 – 2014 (</w:t>
      </w:r>
      <w:r w:rsidRPr="00283980">
        <w:t>Ú. v. EÚ L 291, 09.</w:t>
      </w:r>
      <w:r>
        <w:t xml:space="preserve"> </w:t>
      </w:r>
      <w:r w:rsidRPr="00283980">
        <w:t>11. 2010),</w:t>
      </w:r>
      <w:r>
        <w:t xml:space="preserve"> </w:t>
      </w:r>
      <w:r w:rsidRPr="00A3725E">
        <w:rPr>
          <w:rFonts w:cs="Calibri"/>
        </w:rPr>
        <w:t>Zmluva o Európskej únii a Zmluva o fungovaní Európskej únie (Ú. v. EÚ C 326, 26. 10. 2012)</w:t>
      </w:r>
      <w:r>
        <w:rPr>
          <w:rFonts w:cs="Calibri"/>
        </w:rPr>
        <w:t>,</w:t>
      </w:r>
      <w:r>
        <w:t xml:space="preserve"> </w:t>
      </w:r>
      <w:r w:rsidRPr="00AD7893">
        <w:t>nariadeni</w:t>
      </w:r>
      <w:r>
        <w:t>e</w:t>
      </w:r>
      <w:r w:rsidRPr="00AD7893">
        <w:t xml:space="preserve"> Európskeho parlamentu a Rady (EÚ, Euratom) č. 966/2012 z 25. októbra 2012 o rozpočtových pravidlách, ktoré sa vzťahujú na všeobecný rozpočet Únie, a zrušení nariadenia Rady (ES, Euratom) č. 1605/2002</w:t>
      </w:r>
      <w:r>
        <w:t xml:space="preserve"> </w:t>
      </w:r>
      <w:r w:rsidRPr="00AD7893">
        <w:t>(Ú. v. EÚ L 298, 26.</w:t>
      </w:r>
      <w:r>
        <w:t xml:space="preserve"> </w:t>
      </w:r>
      <w:r w:rsidRPr="00AD7893">
        <w:t>10.</w:t>
      </w:r>
      <w:r>
        <w:t xml:space="preserve"> </w:t>
      </w:r>
      <w:r w:rsidRPr="00AD7893">
        <w:t>2012)</w:t>
      </w:r>
      <w:r>
        <w:t xml:space="preserve"> v platnom znení</w:t>
      </w:r>
      <w:r w:rsidRPr="00283980">
        <w:t>, nariadenie</w:t>
      </w:r>
      <w:r>
        <w:t xml:space="preserve"> (EÚ)</w:t>
      </w:r>
      <w:r w:rsidRPr="00283980">
        <w:t xml:space="preserve"> č. 1303/2013, nariadenie Európskeho parlamentu a </w:t>
      </w:r>
      <w:r>
        <w:t>R</w:t>
      </w:r>
      <w:r w:rsidRPr="00283980">
        <w:t>ady (EÚ) č. 1305/2013 zo 17. decembra 2013 o podpore rozvoja vidieka prostredníctvom Európskeho poľnohospodárskeho fondu pre rozvoj vidieka (EPFRV) a o zrušení nariadenia Rady (ES) č. 1698/2005 (Ú. v. EÚ L 3</w:t>
      </w:r>
      <w:r>
        <w:t>47</w:t>
      </w:r>
      <w:r w:rsidRPr="00283980">
        <w:t>, 20.</w:t>
      </w:r>
      <w:r>
        <w:t xml:space="preserve"> </w:t>
      </w:r>
      <w:r w:rsidRPr="00283980">
        <w:t>12. 2013)</w:t>
      </w:r>
      <w:r>
        <w:t xml:space="preserve"> v platnom znení</w:t>
      </w:r>
      <w:r w:rsidRPr="00283980">
        <w:t xml:space="preserve">, </w:t>
      </w:r>
      <w:r>
        <w:rPr>
          <w:bCs/>
        </w:rPr>
        <w:t>vykonávacie nariadenie komisie</w:t>
      </w:r>
      <w:r w:rsidRPr="00B024EF">
        <w:rPr>
          <w:bCs/>
        </w:rPr>
        <w:t> (EÚ) č. 215/2014</w:t>
      </w:r>
      <w:r>
        <w:rPr>
          <w:bCs/>
        </w:rPr>
        <w:t xml:space="preserve"> </w:t>
      </w:r>
      <w:r w:rsidRPr="00B024EF">
        <w:rPr>
          <w:bCs/>
        </w:rPr>
        <w:t>zo 7. marca 2014,</w:t>
      </w:r>
      <w:r>
        <w:rPr>
          <w:bCs/>
        </w:rPr>
        <w:t xml:space="preserve"> </w:t>
      </w:r>
      <w:r w:rsidRPr="00B024EF">
        <w:rPr>
          <w:bCs/>
        </w:rPr>
        <w:t>ktorým sa stanovujú pravidlá vykonávania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v súvislosti s metodikami poskytovania podpory na riešenie zmeny klímy, určovaním čiastkových cieľov a zámerov vo výkonnostnom rámci a nomenklatúrou kategórií intervencií pre európske štrukturálne a investičné fondy</w:t>
      </w:r>
      <w:r>
        <w:rPr>
          <w:bCs/>
        </w:rPr>
        <w:t xml:space="preserve"> (</w:t>
      </w:r>
      <w:r w:rsidRPr="00445F97">
        <w:rPr>
          <w:bCs/>
        </w:rPr>
        <w:t>Ú. v. EÚ L 69, 8.3.2014</w:t>
      </w:r>
      <w:r>
        <w:rPr>
          <w:bCs/>
        </w:rPr>
        <w:t>) v platnom znení</w:t>
      </w:r>
      <w:r w:rsidRPr="00445F97">
        <w:rPr>
          <w:bCs/>
        </w:rPr>
        <w:t xml:space="preserve">, </w:t>
      </w:r>
      <w:r>
        <w:t xml:space="preserve"> </w:t>
      </w:r>
      <w:r w:rsidRPr="009407C8">
        <w:t>zákon o príspevku z EŠIF</w:t>
      </w:r>
      <w:r>
        <w:t>.</w:t>
      </w:r>
    </w:p>
  </w:footnote>
  <w:footnote w:id="91">
    <w:p w14:paraId="4AAB2F38" w14:textId="77777777" w:rsidR="00A84C26" w:rsidRDefault="00A84C26" w:rsidP="00AD5656">
      <w:pPr>
        <w:pStyle w:val="Textpoznmkypodiarou"/>
        <w:jc w:val="both"/>
      </w:pPr>
      <w:r w:rsidRPr="00A16FDE">
        <w:rPr>
          <w:rStyle w:val="Odkaznapoznmkupodiarou"/>
        </w:rPr>
        <w:footnoteRef/>
      </w:r>
      <w:r w:rsidRPr="00A16FDE">
        <w:t xml:space="preserve">) </w:t>
      </w:r>
      <w:r>
        <w:t xml:space="preserve">Napríklad zákon č. 71/1967 Zb. o správnom konaní (správny poriadok) v znení neskorších predpisov, zákon č. 238/1998 Z. z. o príspevku na pohreb v znení neskorších predpisov, zákon č. 600/2003 Z. z. o prídavku na dieťa o zmene a doplnení zákona č. 461/2003 Z. z. o sociálnom poistení v znení neskorších predpisov, zákon č. 627/2005 Z. z. o príspevkoch na podporu náhradnej starostlivosti o dieťa v znení neskorších predpisov, zákon č. 543/2007 Z. z. </w:t>
      </w:r>
      <w:r w:rsidRPr="00A3725E">
        <w:rPr>
          <w:rFonts w:cs="Calibri"/>
        </w:rPr>
        <w:t>o pôsobnosti orgánov štátnej správy pri poskytovaní podpory v pôdohospodárstve a rozvoji vidieka</w:t>
      </w:r>
      <w:r>
        <w:t xml:space="preserve"> v znení neskorších predpisov, zákon č. 528/2008 Z. z. v znení neskorších predpisov, zákon č. 571/2009 Z. z. o rodičovskom príspevku a o zmene a doplnení niektorých zákonov v znení neskorších predpisov, zákon č. 383/2013 Z. z. o príspevku pri narodení dieťaťa a príspevku na viac súčasne narodených detí a o zmene a doplnení niektorých zákonov </w:t>
      </w:r>
      <w:r w:rsidRPr="00A3725E">
        <w:rPr>
          <w:rFonts w:cs="Calibri"/>
        </w:rPr>
        <w:t xml:space="preserve">v znení </w:t>
      </w:r>
      <w:r>
        <w:rPr>
          <w:rFonts w:cs="Calibri"/>
        </w:rPr>
        <w:t>neskorších predpisov</w:t>
      </w:r>
      <w:r>
        <w:t xml:space="preserve">, </w:t>
      </w:r>
      <w:r w:rsidRPr="009407C8">
        <w:t xml:space="preserve">zákon o príspevku z EŠIF </w:t>
      </w:r>
      <w:r>
        <w:t>.</w:t>
      </w:r>
    </w:p>
  </w:footnote>
  <w:footnote w:id="92">
    <w:p w14:paraId="243F4D97" w14:textId="77777777" w:rsidR="00A84C26" w:rsidRDefault="00A84C26" w:rsidP="00AD5656">
      <w:pPr>
        <w:pStyle w:val="Textpoznmkypodiarou"/>
        <w:jc w:val="both"/>
      </w:pPr>
      <w:r w:rsidRPr="00A16FDE">
        <w:rPr>
          <w:rStyle w:val="Odkaznapoznmkupodiarou"/>
        </w:rPr>
        <w:footnoteRef/>
      </w:r>
      <w:r w:rsidRPr="00A16FDE">
        <w:t>) Napríklad Občiansky zákonník v znení neskorších predpisov, Obchodný zákonník v znení neskorších predpisov.</w:t>
      </w:r>
    </w:p>
  </w:footnote>
  <w:footnote w:id="93">
    <w:p w14:paraId="2B904FF5" w14:textId="77777777" w:rsidR="00A84C26" w:rsidRDefault="00A84C26">
      <w:pPr>
        <w:pStyle w:val="Textpoznmkypodiarou"/>
      </w:pPr>
      <w:r>
        <w:rPr>
          <w:rStyle w:val="Odkaznapoznmkupodiarou"/>
        </w:rPr>
        <w:footnoteRef/>
      </w:r>
      <w:r>
        <w:t xml:space="preserve"> Č</w:t>
      </w:r>
      <w:r w:rsidRPr="006C1C05">
        <w:t>l. 2 bod 36 a 38 nariadenia (EÚ)č. 1303/2013</w:t>
      </w:r>
      <w:r>
        <w:t>.</w:t>
      </w:r>
    </w:p>
  </w:footnote>
  <w:footnote w:id="94">
    <w:p w14:paraId="02447FCA" w14:textId="77777777" w:rsidR="00A84C26" w:rsidRDefault="00A84C26">
      <w:pPr>
        <w:pStyle w:val="Textpoznmkypodiarou"/>
      </w:pPr>
      <w:r>
        <w:rPr>
          <w:rStyle w:val="Odkaznapoznmkupodiarou"/>
        </w:rPr>
        <w:footnoteRef/>
      </w:r>
      <w:r>
        <w:t xml:space="preserve"> Vzor CKO č. 11 - </w:t>
      </w:r>
      <w:r w:rsidRPr="00625031">
        <w:t xml:space="preserve">Návrh </w:t>
      </w:r>
      <w:r>
        <w:t>čiastkovej správy z kontroly/</w:t>
      </w:r>
      <w:r w:rsidRPr="00625031">
        <w:t>správy z kontroly</w:t>
      </w:r>
    </w:p>
  </w:footnote>
  <w:footnote w:id="95">
    <w:p w14:paraId="18E71D5C" w14:textId="77777777" w:rsidR="00A84C26" w:rsidRDefault="00A84C26">
      <w:pPr>
        <w:pStyle w:val="Textpoznmkypodiarou"/>
      </w:pPr>
      <w:r>
        <w:rPr>
          <w:rStyle w:val="Odkaznapoznmkupodiarou"/>
        </w:rPr>
        <w:footnoteRef/>
      </w:r>
      <w:r>
        <w:t xml:space="preserve"> Vzor CKO č. 12 – Čiastková správa z kontroly/</w:t>
      </w:r>
      <w:r w:rsidRPr="00625031">
        <w:t>Správa z kontroly</w:t>
      </w:r>
    </w:p>
  </w:footnote>
  <w:footnote w:id="96">
    <w:p w14:paraId="755E1602" w14:textId="77777777" w:rsidR="00A84C26" w:rsidRDefault="00A84C26">
      <w:pPr>
        <w:pStyle w:val="Textpoznmkypodiarou"/>
      </w:pPr>
      <w:r>
        <w:rPr>
          <w:rStyle w:val="Odkaznapoznmkupodiarou"/>
        </w:rPr>
        <w:footnoteRef/>
      </w:r>
      <w:r>
        <w:t xml:space="preserve"> Vzor CKO č. 9 - </w:t>
      </w:r>
      <w:r w:rsidRPr="00625031">
        <w:t xml:space="preserve">Poverenie na vykonanie </w:t>
      </w:r>
      <w:r>
        <w:t xml:space="preserve">finančnej </w:t>
      </w:r>
      <w:r w:rsidRPr="00625031">
        <w:t>kontroly na mieste</w:t>
      </w:r>
    </w:p>
  </w:footnote>
  <w:footnote w:id="97">
    <w:p w14:paraId="357F356D" w14:textId="77777777" w:rsidR="00A84C26" w:rsidRPr="002458C7" w:rsidRDefault="00A84C26" w:rsidP="00DE5D89">
      <w:pPr>
        <w:pStyle w:val="Textpoznmkypodiarou"/>
        <w:jc w:val="both"/>
      </w:pPr>
      <w:r w:rsidRPr="001B709E">
        <w:rPr>
          <w:rStyle w:val="Odkaznapoznmkupodiarou"/>
        </w:rPr>
        <w:footnoteRef/>
      </w:r>
      <w:r w:rsidRPr="001B709E">
        <w:t xml:space="preserve"> V prípade, ak rozsah kontrolovaných finančných prostriedkov nepokrýva celý súbor výdavkov, RO sa odporúča pri výbere vzorky postupovať podľa Medzinárodných audítorských štandardov vydaných organizáciou IFAC</w:t>
      </w:r>
    </w:p>
  </w:footnote>
  <w:footnote w:id="98">
    <w:p w14:paraId="6C31633F" w14:textId="77777777" w:rsidR="00A84C26" w:rsidRPr="002458C7" w:rsidRDefault="00A84C26" w:rsidP="00DE5D89">
      <w:pPr>
        <w:pStyle w:val="Textpoznmkypodiarou"/>
        <w:jc w:val="both"/>
      </w:pPr>
      <w:r w:rsidRPr="001B709E">
        <w:rPr>
          <w:rStyle w:val="Odkaznapoznmkupodiarou"/>
        </w:rPr>
        <w:footnoteRef/>
      </w:r>
      <w:r w:rsidRPr="001B709E">
        <w:t xml:space="preserve"> Analýza rizík sa vypracuje v rámci kontroly žiadosti o platbu. Súčasťou analýzy rizík je aj záver o potrebe vykonať finančnú kontrolu na mieste pred preplatením/zúčtovaním ŽoP; uvedené nemá vplyv na povinnosť vykonať finančnú kontrolu na mieste na základe záverov auditov, kontrol alebo certifikačných overovaní.</w:t>
      </w:r>
    </w:p>
  </w:footnote>
  <w:footnote w:id="99">
    <w:p w14:paraId="3DB9611F" w14:textId="77777777" w:rsidR="00A84C26" w:rsidRPr="002458C7" w:rsidRDefault="00A84C26">
      <w:pPr>
        <w:pStyle w:val="Textpoznmkypodiarou"/>
      </w:pPr>
      <w:r w:rsidRPr="002458C7">
        <w:rPr>
          <w:rStyle w:val="Odkaznapoznmkupodiarou"/>
        </w:rPr>
        <w:footnoteRef/>
      </w:r>
      <w:r w:rsidRPr="002458C7">
        <w:t xml:space="preserve"> Vzor CKO č. 8 - Riziková analýza žiadosti o platbu k finančnej kontrole na mieste</w:t>
      </w:r>
    </w:p>
  </w:footnote>
  <w:footnote w:id="100">
    <w:p w14:paraId="0BCFB835" w14:textId="77777777" w:rsidR="00A84C26" w:rsidRPr="002458C7" w:rsidRDefault="00A84C26">
      <w:pPr>
        <w:pStyle w:val="Textpoznmkypodiarou"/>
      </w:pPr>
      <w:r w:rsidRPr="002458C7">
        <w:rPr>
          <w:rStyle w:val="Odkaznapoznmkupodiarou"/>
        </w:rPr>
        <w:footnoteRef/>
      </w:r>
      <w:r w:rsidRPr="002458C7">
        <w:t xml:space="preserve"> Vzor CKO č. 10 - Oznámenie o výkone finančnej kontroly na mieste</w:t>
      </w:r>
    </w:p>
  </w:footnote>
  <w:footnote w:id="101">
    <w:p w14:paraId="3ADA89D8" w14:textId="77777777" w:rsidR="00A84C26" w:rsidRDefault="00A84C26" w:rsidP="001B709E">
      <w:pPr>
        <w:contextualSpacing/>
        <w:jc w:val="both"/>
      </w:pPr>
      <w:r w:rsidRPr="000E286B">
        <w:rPr>
          <w:rStyle w:val="Odkaznapoznmkupodiarou"/>
          <w:sz w:val="20"/>
          <w:szCs w:val="20"/>
        </w:rPr>
        <w:footnoteRef/>
      </w:r>
      <w:r>
        <w:t xml:space="preserve"> </w:t>
      </w:r>
      <w:r w:rsidRPr="0017309C">
        <w:rPr>
          <w:sz w:val="20"/>
          <w:szCs w:val="20"/>
        </w:rPr>
        <w:t xml:space="preserve">Napríklad </w:t>
      </w:r>
      <w:r>
        <w:rPr>
          <w:sz w:val="20"/>
          <w:szCs w:val="20"/>
        </w:rPr>
        <w:t>c</w:t>
      </w:r>
      <w:r w:rsidRPr="006F3C0A">
        <w:rPr>
          <w:sz w:val="20"/>
          <w:szCs w:val="20"/>
        </w:rPr>
        <w:t xml:space="preserve">ivilný sporový poriadok, </w:t>
      </w:r>
      <w:r>
        <w:rPr>
          <w:sz w:val="20"/>
          <w:szCs w:val="20"/>
        </w:rPr>
        <w:t>c</w:t>
      </w:r>
      <w:r w:rsidRPr="006F3C0A">
        <w:rPr>
          <w:sz w:val="20"/>
          <w:szCs w:val="20"/>
        </w:rPr>
        <w:t>ivilný mimosporový poriadok</w:t>
      </w:r>
      <w:r w:rsidRPr="0017309C">
        <w:rPr>
          <w:sz w:val="20"/>
          <w:szCs w:val="20"/>
        </w:rPr>
        <w:t xml:space="preserve">, </w:t>
      </w:r>
      <w:r>
        <w:rPr>
          <w:sz w:val="20"/>
          <w:szCs w:val="20"/>
        </w:rPr>
        <w:t>správny poriadok</w:t>
      </w:r>
      <w:r w:rsidRPr="0017309C">
        <w:rPr>
          <w:sz w:val="20"/>
          <w:szCs w:val="20"/>
        </w:rPr>
        <w:t>, zákon Slovenskej národnej rady č. 372/1990 Zb. o priestupkoch v znení neskorších predpisov, zákon Národnej rady Slovenskej republiky č. 171/1993 Z. z. v znení neskorších predpisov, zákon č. 136/2001 Z. z. o ochrane hospodárskej súťaže a o zmene a doplnení zákona Slovenskej národnej rady č. 347/1990 Zb. o organizácií ministerstiev a ostatných ústredných orgánov štátnej správy Slovenskej republiky v znení neskorších predpisov v znení neskorších predpisov, zákon č. 153/ 2001 Z. z. o prokuratúre v znení neskorších predpisov.</w:t>
      </w:r>
      <w:r>
        <w:t xml:space="preserve">    </w:t>
      </w:r>
    </w:p>
  </w:footnote>
  <w:footnote w:id="102">
    <w:p w14:paraId="6CE6ECF9" w14:textId="77777777" w:rsidR="00A84C26" w:rsidRDefault="00A84C26" w:rsidP="002D40A7">
      <w:pPr>
        <w:pStyle w:val="Textpoznmkypodiarou"/>
        <w:jc w:val="both"/>
      </w:pPr>
      <w:r w:rsidRPr="00C11ACB">
        <w:rPr>
          <w:rStyle w:val="Odkaznapoznmkupodiarou"/>
        </w:rPr>
        <w:footnoteRef/>
      </w:r>
      <w:r>
        <w:t xml:space="preserve">) Napríklad § 39 zákona Slovenskej národnej rady č. 323/1992 Zb. o notároch a notárskej činnosti (Notársky poriadok) v znení neskorších predpisov, § 23 zákona č. 586/2003 Z. z. o advokácii a o zmene a doplnení zákona č. 455/1991 Zb. o živnostenskom podnikaní ( živnostenský zákon) v znení neskorších predpisov </w:t>
      </w:r>
      <w:r w:rsidRPr="00A3725E">
        <w:rPr>
          <w:rFonts w:cs="Calibri"/>
        </w:rPr>
        <w:t>v znení zákona č. 297/2008 Z. z.</w:t>
      </w:r>
    </w:p>
  </w:footnote>
  <w:footnote w:id="103">
    <w:p w14:paraId="721DED90" w14:textId="77777777" w:rsidR="00A84C26" w:rsidRDefault="00A84C26" w:rsidP="00DE5D89">
      <w:pPr>
        <w:pStyle w:val="Textpoznmkypodiarou"/>
        <w:jc w:val="both"/>
      </w:pPr>
      <w:r>
        <w:rPr>
          <w:rStyle w:val="Odkaznapoznmkupodiarou"/>
        </w:rPr>
        <w:footnoteRef/>
      </w:r>
      <w:r>
        <w:t xml:space="preserve"> RO je povinný vykonať kontrolu dodania predmetu plnenia pri využití preddavkových platieb formou administratívnej finančnej kontroly (ak to povaha kontroly umožňuje, využije sa forma administratívnej finančnej kontroly ŽoP) alebo finančnej kontroly na mieste. RO výkonom kontroly musí získať dostatočné uistenie o reálnom dodaní predmetu plnenia.</w:t>
      </w:r>
      <w:r w:rsidRPr="00DE5D89">
        <w:t xml:space="preserve"> Za týmto účelom RO vykoná</w:t>
      </w:r>
      <w:r>
        <w:t xml:space="preserve"> finančnú</w:t>
      </w:r>
      <w:r w:rsidRPr="00DE5D89">
        <w:t xml:space="preserve"> kontrolu na mieste v prípadoch, ak z predloženej dokumentácie k zúčtovaniu preddavkovej platby </w:t>
      </w:r>
      <w:r>
        <w:t>môže vzniknúť pochybnosť</w:t>
      </w:r>
      <w:r w:rsidRPr="00DE5D89">
        <w:t>, že predmet plnenia bol dodaný alebo že bol dodaný v súlade so zmluvnými podmienkami, resp. existuje akékoľvek podozrenie, že mohlo dôjsť k neoprávneným výdavkom, zneužitiu alebo neúčelnému použitiu preddavkovej platby</w:t>
      </w:r>
      <w:r>
        <w:t>.</w:t>
      </w:r>
    </w:p>
  </w:footnote>
  <w:footnote w:id="104">
    <w:p w14:paraId="012F96BE" w14:textId="77777777" w:rsidR="00A84C26" w:rsidRDefault="00A84C26">
      <w:pPr>
        <w:pStyle w:val="Textpoznmkypodiarou"/>
      </w:pPr>
      <w:r>
        <w:rPr>
          <w:rStyle w:val="Odkaznapoznmkupodiarou"/>
        </w:rPr>
        <w:footnoteRef/>
      </w:r>
      <w:r>
        <w:t xml:space="preserve"> MP CKO č. 6 </w:t>
      </w:r>
      <w:r w:rsidRPr="0013742D">
        <w:t>k pravidlám oprávnenosti pre najčastejšie sa vyskytujúce skupiny výdavkov</w:t>
      </w:r>
    </w:p>
  </w:footnote>
  <w:footnote w:id="105">
    <w:p w14:paraId="19B69A05" w14:textId="77777777" w:rsidR="00A84C26" w:rsidRDefault="00A84C26">
      <w:pPr>
        <w:pStyle w:val="Textpoznmkypodiarou"/>
      </w:pPr>
      <w:r>
        <w:rPr>
          <w:rStyle w:val="Odkaznapoznmkupodiarou"/>
        </w:rPr>
        <w:footnoteRef/>
      </w:r>
      <w:r>
        <w:t xml:space="preserve"> </w:t>
      </w:r>
      <w:r w:rsidRPr="001B709E">
        <w:rPr>
          <w:sz w:val="18"/>
          <w:szCs w:val="18"/>
        </w:rPr>
        <w:t>§ 20 ods. 2 písm. a) zákona o finančnej kontrole.</w:t>
      </w:r>
    </w:p>
  </w:footnote>
  <w:footnote w:id="106">
    <w:p w14:paraId="0D3F5EA1" w14:textId="77777777" w:rsidR="00A84C26" w:rsidRDefault="00A84C26" w:rsidP="00DE5D89">
      <w:pPr>
        <w:pStyle w:val="Textpoznmkypodiarou"/>
        <w:jc w:val="both"/>
      </w:pPr>
      <w:r w:rsidRPr="00DE5D89">
        <w:rPr>
          <w:rStyle w:val="Odkaznapoznmkupodiarou"/>
          <w:sz w:val="18"/>
          <w:szCs w:val="18"/>
        </w:rPr>
        <w:footnoteRef/>
      </w:r>
      <w:r w:rsidRPr="00DE5D89">
        <w:rPr>
          <w:sz w:val="18"/>
          <w:szCs w:val="18"/>
        </w:rPr>
        <w:t xml:space="preserve"> V prípade systému predfinancovania vyčlenenie deklarovaných výdavkov</w:t>
      </w:r>
      <w:r>
        <w:rPr>
          <w:sz w:val="18"/>
          <w:szCs w:val="18"/>
        </w:rPr>
        <w:t xml:space="preserve"> do predmetu samostatnej kontroly</w:t>
      </w:r>
      <w:r w:rsidRPr="00DE5D89">
        <w:rPr>
          <w:sz w:val="18"/>
          <w:szCs w:val="18"/>
        </w:rPr>
        <w:t xml:space="preserve"> sa realizuje na úrovni zodpovedajúceho účtovného dokladu.</w:t>
      </w:r>
    </w:p>
  </w:footnote>
  <w:footnote w:id="107">
    <w:p w14:paraId="531DF6EE" w14:textId="77777777" w:rsidR="00A84C26" w:rsidRDefault="00A84C26">
      <w:pPr>
        <w:pStyle w:val="Textpoznmkypodiarou"/>
      </w:pPr>
      <w:r>
        <w:rPr>
          <w:rStyle w:val="Odkaznapoznmkupodiarou"/>
        </w:rPr>
        <w:footnoteRef/>
      </w:r>
      <w:r>
        <w:t xml:space="preserve"> </w:t>
      </w:r>
      <w:r w:rsidRPr="00900169">
        <w:t>MP CKO č. 13 k posudzovaniu konfliktu záujmov v procese verejného obstarávania</w:t>
      </w:r>
    </w:p>
  </w:footnote>
  <w:footnote w:id="108">
    <w:p w14:paraId="3F96DFA4" w14:textId="77777777" w:rsidR="00A84C26" w:rsidRDefault="00A84C26">
      <w:pPr>
        <w:pStyle w:val="Textpoznmkypodiarou"/>
      </w:pPr>
      <w:r>
        <w:rPr>
          <w:rStyle w:val="Odkaznapoznmkupodiarou"/>
        </w:rPr>
        <w:footnoteRef/>
      </w:r>
      <w:r>
        <w:t xml:space="preserve"> MP CKO č. 18 </w:t>
      </w:r>
      <w:r w:rsidRPr="00900169">
        <w:t>k overovaniu hospodárnosti výdavkov</w:t>
      </w:r>
    </w:p>
  </w:footnote>
  <w:footnote w:id="109">
    <w:p w14:paraId="1A0E6A33" w14:textId="77777777" w:rsidR="00A84C26" w:rsidRDefault="00A84C26">
      <w:pPr>
        <w:pStyle w:val="Textpoznmkypodiarou"/>
      </w:pPr>
      <w:r>
        <w:rPr>
          <w:rStyle w:val="Odkaznapoznmkupodiarou"/>
        </w:rPr>
        <w:footnoteRef/>
      </w:r>
      <w:r>
        <w:t xml:space="preserve"> Vzor CKO č. 14 - </w:t>
      </w:r>
      <w:r w:rsidRPr="002B314A">
        <w:t>Kontrolné zoznamy ku kontrole verejného obstarávania a obstarávania</w:t>
      </w:r>
    </w:p>
  </w:footnote>
  <w:footnote w:id="110">
    <w:p w14:paraId="360CF547" w14:textId="77777777" w:rsidR="00A84C26" w:rsidRDefault="00A84C26" w:rsidP="00DC65AE">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111">
    <w:p w14:paraId="2A2A7AF6" w14:textId="77777777" w:rsidR="00A84C26" w:rsidRDefault="00A84C26" w:rsidP="000820AC">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12">
    <w:p w14:paraId="3ABC04DC" w14:textId="77777777" w:rsidR="00A84C26" w:rsidRDefault="00A84C26" w:rsidP="00DE5D89">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13">
    <w:p w14:paraId="5A134F6D" w14:textId="77777777" w:rsidR="00A84C26" w:rsidRDefault="00A84C26">
      <w:pPr>
        <w:pStyle w:val="Textpoznmkypodiarou"/>
        <w:jc w:val="both"/>
      </w:pPr>
      <w:r>
        <w:rPr>
          <w:rStyle w:val="Odkaznapoznmkupodiarou"/>
        </w:rPr>
        <w:footnoteRef/>
      </w:r>
      <w:r>
        <w:t xml:space="preserve"> ex ante finančná oprava:  individuálne zníženie hodnoty deklarovaných výdavkov z dôvodu zistení porušenia legislatívy SR alebo EÚ, najmä v oblasti VO. Výška individuálnej ex 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114">
    <w:p w14:paraId="31DAEAD4" w14:textId="77777777" w:rsidR="00A84C26" w:rsidRDefault="00A84C26" w:rsidP="00DE5D89">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15">
    <w:p w14:paraId="366FA5E0" w14:textId="77777777" w:rsidR="00A84C26" w:rsidRDefault="00A84C26" w:rsidP="00DE5D89">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16">
    <w:p w14:paraId="743B5A90" w14:textId="77777777" w:rsidR="00A84C26" w:rsidRDefault="00A84C26" w:rsidP="00BB45A7">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17">
    <w:p w14:paraId="240E3E80" w14:textId="77777777" w:rsidR="00A84C26" w:rsidRDefault="00A84C26">
      <w:pPr>
        <w:pStyle w:val="Textpoznmkypodiarou"/>
      </w:pPr>
      <w:r>
        <w:rPr>
          <w:rStyle w:val="Odkaznapoznmkupodiarou"/>
        </w:rPr>
        <w:footnoteRef/>
      </w:r>
      <w:r>
        <w:t xml:space="preserve"> MP CKO č. 14 </w:t>
      </w:r>
      <w:r w:rsidRPr="00EA2B51">
        <w:t xml:space="preserve">k zadávaniu zákaziek v hodnote nad </w:t>
      </w:r>
      <w:r>
        <w:t>1</w:t>
      </w:r>
      <w:r w:rsidRPr="00EA2B51">
        <w:t>5 000 EUR</w:t>
      </w:r>
    </w:p>
  </w:footnote>
  <w:footnote w:id="118">
    <w:p w14:paraId="1D99B60D" w14:textId="3B456BA2" w:rsidR="00A84C26" w:rsidRDefault="00A84C26" w:rsidP="00420D7A">
      <w:pPr>
        <w:pStyle w:val="Textpoznmkypodiarou"/>
        <w:jc w:val="both"/>
      </w:pPr>
      <w:r>
        <w:rPr>
          <w:rStyle w:val="Odkaznapoznmkupodiarou"/>
        </w:rPr>
        <w:footnoteRef/>
      </w:r>
      <w:r>
        <w:t xml:space="preserve"> MP CKO č. 18 k overovaniu hospodárnosti výdavkov</w:t>
      </w:r>
    </w:p>
  </w:footnote>
  <w:footnote w:id="119">
    <w:p w14:paraId="51807576" w14:textId="77777777" w:rsidR="00A84C26" w:rsidRDefault="00A84C26" w:rsidP="00953734">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20">
    <w:p w14:paraId="48271C37" w14:textId="77777777" w:rsidR="00A84C26" w:rsidRDefault="00A84C26" w:rsidP="00DE5D89">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121">
    <w:p w14:paraId="1F72367C" w14:textId="77777777" w:rsidR="00A84C26" w:rsidRDefault="00A84C26">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122">
    <w:p w14:paraId="7BA0F7FA" w14:textId="77777777" w:rsidR="00A84C26" w:rsidRDefault="00A84C26">
      <w:pPr>
        <w:pStyle w:val="Textpoznmkypodiarou"/>
      </w:pPr>
      <w:r>
        <w:rPr>
          <w:rStyle w:val="Odkaznapoznmkupodiarou"/>
        </w:rPr>
        <w:footnoteRef/>
      </w:r>
      <w:r>
        <w:t xml:space="preserve"> MP CKO č. 12 pre programové obdobie 2014 - 2020 k </w:t>
      </w:r>
      <w:r w:rsidRPr="00BF6123">
        <w:t>zadávaniu zákaziek nespadajúcich p</w:t>
      </w:r>
      <w:r>
        <w:t>od zákon o verejnom obstarávaní</w:t>
      </w:r>
    </w:p>
  </w:footnote>
  <w:footnote w:id="123">
    <w:p w14:paraId="69563637" w14:textId="77777777" w:rsidR="00A84C26" w:rsidRDefault="00A84C26">
      <w:pPr>
        <w:pStyle w:val="Textpoznmkypodiarou"/>
      </w:pPr>
      <w:r>
        <w:rPr>
          <w:rStyle w:val="Odkaznapoznmkupodiarou"/>
          <w:sz w:val="24"/>
          <w:szCs w:val="24"/>
        </w:rPr>
        <w:footnoteRef/>
      </w:r>
      <w:r>
        <w:rPr>
          <w:sz w:val="24"/>
          <w:szCs w:val="24"/>
        </w:rPr>
        <w:t xml:space="preserve"> </w:t>
      </w:r>
      <w:r w:rsidRPr="000E286B">
        <w:t xml:space="preserve">Vzor CKO č. 32 - Analýza rizík </w:t>
      </w:r>
      <w:r w:rsidRPr="00B917F3">
        <w:t>pod</w:t>
      </w:r>
      <w:r w:rsidRPr="000E286B">
        <w:t>limitných zákaziek</w:t>
      </w:r>
      <w:r>
        <w:t xml:space="preserve"> bez využitia elektronického trhoviska</w:t>
      </w:r>
    </w:p>
  </w:footnote>
  <w:footnote w:id="124">
    <w:p w14:paraId="2B6ADAB0" w14:textId="77777777" w:rsidR="00A84C26" w:rsidRDefault="00A84C26" w:rsidP="001B709E">
      <w:pPr>
        <w:pStyle w:val="Textpoznmkypodiarou"/>
        <w:jc w:val="both"/>
      </w:pPr>
      <w:r>
        <w:rPr>
          <w:rStyle w:val="Odkaznapoznmkupodiarou"/>
        </w:rPr>
        <w:footnoteRef/>
      </w:r>
      <w:r>
        <w:t xml:space="preserve"> Do dátumu nadobudnutia účinnosti metodického pokynu </w:t>
      </w:r>
      <w:r w:rsidRPr="004D6BC8">
        <w:t xml:space="preserve">je možné primerane aplikovať rizikové indikátory podľa verzie 4 </w:t>
      </w:r>
      <w:r>
        <w:t>S</w:t>
      </w:r>
      <w:r w:rsidRPr="004D6BC8">
        <w:t>ystému riadenia</w:t>
      </w:r>
      <w:r>
        <w:t xml:space="preserve"> EŠIF.</w:t>
      </w:r>
    </w:p>
  </w:footnote>
  <w:footnote w:id="125">
    <w:p w14:paraId="3D544B55" w14:textId="77777777" w:rsidR="00A84C26" w:rsidRDefault="00A84C26">
      <w:pPr>
        <w:pStyle w:val="Textpoznmkypodiarou"/>
      </w:pPr>
      <w:r>
        <w:rPr>
          <w:rStyle w:val="Odkaznapoznmkupodiarou"/>
        </w:rPr>
        <w:footnoteRef/>
      </w:r>
      <w:r>
        <w:t xml:space="preserve"> Protiprávne konanie – napr. trestné činy v zmysle § 261 a §266 Trestného zákona</w:t>
      </w:r>
    </w:p>
  </w:footnote>
  <w:footnote w:id="126">
    <w:p w14:paraId="65DADAF6" w14:textId="77777777" w:rsidR="00A84C26" w:rsidRDefault="00A84C26">
      <w:pPr>
        <w:pStyle w:val="Textpoznmkypodiarou"/>
        <w:jc w:val="both"/>
      </w:pPr>
      <w:r>
        <w:rPr>
          <w:rStyle w:val="Odkaznapoznmkupodiarou"/>
        </w:rPr>
        <w:footnoteRef/>
      </w:r>
      <w:r>
        <w:t xml:space="preserve"> Zoznam vychádza z dokumentu EÚ „Information Note on Fraud Indicators for ERDF, ESF and CF“ zo dňa 18.2.2009 a štúdiou pre EK realizovanou PwC, Ecorys a Utrecht University „Identifying and reducing corruption in public procurement in the EU“ zo dňa 30.06.2013</w:t>
      </w:r>
    </w:p>
  </w:footnote>
  <w:footnote w:id="127">
    <w:p w14:paraId="180EFC77" w14:textId="77777777" w:rsidR="00A84C26" w:rsidRDefault="00A84C26">
      <w:pPr>
        <w:pStyle w:val="Textpoznmkypodiarou"/>
      </w:pPr>
      <w:r>
        <w:rPr>
          <w:rStyle w:val="Odkaznapoznmkupodiarou"/>
        </w:rPr>
        <w:footnoteRef/>
      </w:r>
      <w:r>
        <w:t xml:space="preserve"> Označenie „Verejný obstarávateľ“ sa vzťahuje aj na osobu podľa § 8 a obstarávateľa podľa § 9 ZVO</w:t>
      </w:r>
    </w:p>
  </w:footnote>
  <w:footnote w:id="128">
    <w:p w14:paraId="43FC2172" w14:textId="320E8EAF" w:rsidR="00A84C26" w:rsidRDefault="00A84C26">
      <w:pPr>
        <w:pStyle w:val="Textpoznmkypodiarou"/>
      </w:pPr>
      <w:r>
        <w:rPr>
          <w:rStyle w:val="Odkaznapoznmkupodiarou"/>
        </w:rPr>
        <w:footnoteRef/>
      </w:r>
      <w:r>
        <w:t xml:space="preserve"> </w:t>
      </w:r>
      <w:r w:rsidRPr="00CE2906">
        <w:rPr>
          <w:bCs/>
          <w:iCs/>
          <w:szCs w:val="22"/>
          <w:lang w:eastAsia="en-US"/>
        </w:rPr>
        <w:t>Vzor CKO č. 34 Zámer národného projektu</w:t>
      </w:r>
    </w:p>
  </w:footnote>
  <w:footnote w:id="129">
    <w:p w14:paraId="76F4B5BE" w14:textId="77777777" w:rsidR="00A84C26" w:rsidRDefault="00A84C26">
      <w:pPr>
        <w:pStyle w:val="Textpoznmkypodiarou"/>
      </w:pPr>
      <w:r>
        <w:rPr>
          <w:rStyle w:val="Odkaznapoznmkupodiarou"/>
        </w:rPr>
        <w:footnoteRef/>
      </w:r>
      <w:r>
        <w:t xml:space="preserve"> RO je povinný zaslať CKO dokumenty podľa bodu a) a b) aj v prípade schválenia zmien podľa odseku 6.</w:t>
      </w:r>
    </w:p>
  </w:footnote>
  <w:footnote w:id="130">
    <w:p w14:paraId="71BD49B1" w14:textId="32263F1D" w:rsidR="00A84C26" w:rsidRDefault="00A84C26" w:rsidP="00556762">
      <w:pPr>
        <w:pStyle w:val="Textpoznmkypodiarou"/>
        <w:jc w:val="both"/>
      </w:pPr>
      <w:r>
        <w:rPr>
          <w:rStyle w:val="Odkaznapoznmkupodiarou"/>
        </w:rPr>
        <w:footnoteRef/>
      </w:r>
      <w:r>
        <w:t xml:space="preserve"> Za progres je možné považovať </w:t>
      </w:r>
      <w:r w:rsidRPr="004C5F6F">
        <w:t>napr. proces schvaľovania schémy štátnej pomoci</w:t>
      </w:r>
      <w:r>
        <w:t xml:space="preserve"> (resp. komplikovanosť nastavenia štátnej pomoci vo vyzvaní)</w:t>
      </w:r>
      <w:r w:rsidRPr="004C5F6F">
        <w:t>, proces uzatvárania zmlúv s part</w:t>
      </w:r>
      <w:r>
        <w:t>n</w:t>
      </w:r>
      <w:r w:rsidRPr="004C5F6F">
        <w:t>ermi projektu, realizácia štúdií a</w:t>
      </w:r>
      <w:r>
        <w:t> </w:t>
      </w:r>
      <w:r w:rsidRPr="004C5F6F">
        <w:t>analýz</w:t>
      </w:r>
      <w:r>
        <w:t>, príprava nastavenia zjednodušeného vykazovania výdavkov, realizácia VO</w:t>
      </w:r>
      <w:r w:rsidRPr="004C5F6F">
        <w:t xml:space="preserve"> a pod.</w:t>
      </w:r>
    </w:p>
  </w:footnote>
  <w:footnote w:id="131">
    <w:p w14:paraId="3C1ED1F9" w14:textId="77777777" w:rsidR="00A84C26" w:rsidRDefault="00A84C26">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132">
    <w:p w14:paraId="4C6200F9" w14:textId="1EC78A6A" w:rsidR="00A84C26" w:rsidRPr="008D28B0" w:rsidRDefault="00A84C26" w:rsidP="00AF1BF1">
      <w:pPr>
        <w:pStyle w:val="Textpoznmkypodiarou"/>
        <w:jc w:val="both"/>
      </w:pPr>
      <w:r>
        <w:rPr>
          <w:rStyle w:val="Odkaznapoznmkupodiarou"/>
        </w:rPr>
        <w:footnoteRef/>
      </w:r>
      <w:r>
        <w:t xml:space="preserve"> </w:t>
      </w:r>
      <w:r w:rsidR="00BD657E">
        <w:t xml:space="preserve">Pred zaslaním finálneho návrhu vyzvania na CKO a gestorom HP musí byť v prípade relevancie k Stratégii výskumu a inovácií pre inteligentnú špecializáciu SR (RIS3) predložený konsolidovaný zámer vyzvania spoločne s rizikovou analýzou na posúdenie stálej komisii; v rámci OP Výskum a inovácie sa predkladá konsolidovaný zámer vyzvania, podľa relevancie, aj Rade Technologickej agentúry alebo Rade Výskumnej agentúry </w:t>
      </w:r>
      <w:r w:rsidR="00BD657E" w:rsidRPr="00556762">
        <w:t>(výsledky posúdenia nemajú vplyv na rozhodovaciu právomoc RO a jeho zodpovednosť za implementáciu OP v súlade s platnou legislatívou EÚ)</w:t>
      </w:r>
      <w:r w:rsidR="00BD657E">
        <w:t>. Relevantnosť iných OP k RIS3 bude určená na základe schválených plánov vyhlasovania výziev a vyzvaní pre nasledujúci rok stálou komisiou najneskôr do konca roka pre rok nasledujúci. Pri posudzovaní návrhu sa vyjadrujú len tí členovia stálej komisie, ktorí nie sú zainteresovaní na posudzovanom návrhu, aby sa vylúčilo riziko možného konfliktu záujmov.</w:t>
      </w:r>
      <w:r w:rsidR="00BD657E" w:rsidRPr="008D28B0" w:rsidDel="00BD657E">
        <w:t xml:space="preserve"> </w:t>
      </w:r>
    </w:p>
  </w:footnote>
  <w:footnote w:id="133">
    <w:p w14:paraId="056A0FE2" w14:textId="77777777" w:rsidR="00A84C26" w:rsidRDefault="00A84C26">
      <w:pPr>
        <w:pStyle w:val="Textpoznmkypodiarou"/>
      </w:pPr>
      <w:r>
        <w:rPr>
          <w:rStyle w:val="Odkaznapoznmkupodiarou"/>
        </w:rPr>
        <w:footnoteRef/>
      </w:r>
      <w:r>
        <w:t xml:space="preserve"> MP CKO č. 24 </w:t>
      </w:r>
      <w:r w:rsidRPr="00682D0A">
        <w:t>k technickej pomoci</w:t>
      </w:r>
    </w:p>
  </w:footnote>
  <w:footnote w:id="134">
    <w:p w14:paraId="50EFFD15" w14:textId="77777777" w:rsidR="00A84C26" w:rsidRDefault="00A84C26">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135">
    <w:p w14:paraId="21CD005F" w14:textId="77777777" w:rsidR="00A84C26" w:rsidRDefault="00A84C26" w:rsidP="005841B2">
      <w:pPr>
        <w:pStyle w:val="Textpoznmkypodiarou"/>
        <w:jc w:val="both"/>
      </w:pPr>
      <w:r>
        <w:rPr>
          <w:rStyle w:val="Odkaznapoznmkupodiarou"/>
        </w:rPr>
        <w:footnoteRef/>
      </w:r>
      <w:r>
        <w:t xml:space="preserve"> Členenie výdavkov na priame a nepriame je vyžadované v prípade projektov, v ktorých sa aplikuje zjednodušené vykazovanie výdavkov podľa článku </w:t>
      </w:r>
      <w:r w:rsidRPr="00393D67">
        <w:t>68, ods. 1 všeobecného nariadenia a článku 14 ods. 2 nariadenia o</w:t>
      </w:r>
      <w:r>
        <w:t> </w:t>
      </w:r>
      <w:r w:rsidRPr="00393D67">
        <w:t>ESF</w:t>
      </w:r>
      <w:r>
        <w:t>.</w:t>
      </w:r>
    </w:p>
  </w:footnote>
  <w:footnote w:id="136">
    <w:p w14:paraId="50940C03" w14:textId="77777777" w:rsidR="00A84C26" w:rsidRDefault="00A84C26">
      <w:pPr>
        <w:pStyle w:val="Textpoznmkypodiarou"/>
      </w:pPr>
      <w:r>
        <w:rPr>
          <w:rStyle w:val="Odkaznapoznmkupodiarou"/>
        </w:rPr>
        <w:footnoteRef/>
      </w:r>
      <w:r>
        <w:t xml:space="preserve"> </w:t>
      </w:r>
      <w:r w:rsidRPr="00682D0A">
        <w:t>Príloha č. 1 k MP CKO č. 6</w:t>
      </w:r>
    </w:p>
  </w:footnote>
  <w:footnote w:id="137">
    <w:p w14:paraId="5A9D9E36" w14:textId="77777777" w:rsidR="00A84C26" w:rsidRDefault="00A84C26"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138">
    <w:p w14:paraId="6BCB76A0" w14:textId="77777777" w:rsidR="00A84C26" w:rsidRDefault="00A84C26">
      <w:pPr>
        <w:pStyle w:val="Textpoznmkypodiarou"/>
      </w:pPr>
      <w:r>
        <w:rPr>
          <w:rStyle w:val="Odkaznapoznmkupodiarou"/>
        </w:rPr>
        <w:footnoteRef/>
      </w:r>
      <w:r>
        <w:t xml:space="preserve"> Uvedené sa nevzťahuje v prípade aplikácie zjednodušeného vykazovania výdavkov (napr. paušálna sadzba na nepriame výdavky). </w:t>
      </w:r>
    </w:p>
  </w:footnote>
  <w:footnote w:id="139">
    <w:p w14:paraId="7792BF60" w14:textId="77777777" w:rsidR="00A84C26" w:rsidRDefault="00A84C26">
      <w:pPr>
        <w:pStyle w:val="Textpoznmkypodiarou"/>
      </w:pPr>
      <w:r>
        <w:rPr>
          <w:rStyle w:val="Odkaznapoznmkupodiarou"/>
        </w:rPr>
        <w:footnoteRef/>
      </w:r>
      <w:r>
        <w:t xml:space="preserve"> Týmto nie sú dotknuté podmienky platné pre zjednodušené vykazovanie výdavkov.</w:t>
      </w:r>
    </w:p>
  </w:footnote>
  <w:footnote w:id="140">
    <w:p w14:paraId="53C4AB67" w14:textId="77777777" w:rsidR="00A84C26" w:rsidRDefault="00A84C26">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141">
    <w:p w14:paraId="3AF06D0E" w14:textId="77777777" w:rsidR="00A84C26" w:rsidRDefault="00A84C26">
      <w:pPr>
        <w:pStyle w:val="Textpoznmkypodiarou"/>
      </w:pPr>
      <w:r>
        <w:rPr>
          <w:rStyle w:val="Odkaznapoznmkupodiarou"/>
        </w:rPr>
        <w:footnoteRef/>
      </w:r>
      <w:r>
        <w:t xml:space="preserve"> Uvedené sa aplikuje primerane aj na poskytnutie zálohovej platby a poskytnutie predfinancovania.</w:t>
      </w:r>
    </w:p>
  </w:footnote>
  <w:footnote w:id="142">
    <w:p w14:paraId="3494755F" w14:textId="6815D1FB" w:rsidR="00A84C26" w:rsidRDefault="00A84C26" w:rsidP="00556762">
      <w:pPr>
        <w:pStyle w:val="Textpoznmkypodiarou"/>
        <w:jc w:val="both"/>
      </w:pPr>
      <w:r>
        <w:rPr>
          <w:rStyle w:val="Odkaznapoznmkupodiarou"/>
        </w:rPr>
        <w:footnoteRef/>
      </w:r>
      <w:r>
        <w:t xml:space="preserve"> Podrobnejšie pravidlá oprávnenosti pre vecné príspevky sú uvedené v Metodickom pokyne CKO č. 6 </w:t>
      </w:r>
      <w:r w:rsidRPr="00DB0C21">
        <w:t>k pravidlám oprávnenosti pre najčastejšie sa vyskytujúce skupiny výdavkov</w:t>
      </w:r>
      <w:r>
        <w:t>.</w:t>
      </w:r>
    </w:p>
  </w:footnote>
  <w:footnote w:id="143">
    <w:p w14:paraId="3E679BB2" w14:textId="77777777" w:rsidR="00A84C26" w:rsidRDefault="00A84C26">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144">
    <w:p w14:paraId="27CCE1DE" w14:textId="77777777" w:rsidR="00A84C26" w:rsidRDefault="00A84C26">
      <w:pPr>
        <w:pStyle w:val="Textpoznmkypodiarou"/>
      </w:pPr>
      <w:r>
        <w:rPr>
          <w:rStyle w:val="Odkaznapoznmkupodiarou"/>
        </w:rPr>
        <w:footnoteRef/>
      </w:r>
      <w:r>
        <w:t xml:space="preserve"> Pre účely Systému riadenia sa odovzdávajúcim rozumie prijímateľ a príjemcom sa rozumie dodávateľ.</w:t>
      </w:r>
    </w:p>
  </w:footnote>
  <w:footnote w:id="145">
    <w:p w14:paraId="7A01D231" w14:textId="77777777" w:rsidR="00A84C26" w:rsidRDefault="00A84C26">
      <w:pPr>
        <w:pStyle w:val="Textpoznmkypodiarou"/>
      </w:pPr>
      <w:r>
        <w:rPr>
          <w:rStyle w:val="Odkaznapoznmkupodiarou"/>
        </w:rPr>
        <w:footnoteRef/>
      </w:r>
      <w:r>
        <w:t xml:space="preserve"> Grantom sa rozumie nenávratný finančný príspevok.</w:t>
      </w:r>
    </w:p>
  </w:footnote>
  <w:footnote w:id="146">
    <w:p w14:paraId="32E9AC1F" w14:textId="77777777" w:rsidR="00A84C26" w:rsidRDefault="00A84C26" w:rsidP="001B709E">
      <w:pPr>
        <w:pStyle w:val="Textpoznmkypodiarou"/>
        <w:jc w:val="both"/>
      </w:pPr>
      <w:r>
        <w:rPr>
          <w:rStyle w:val="Odkaznapoznmkupodiarou"/>
        </w:rPr>
        <w:footnoteRef/>
      </w:r>
      <w:r>
        <w:t xml:space="preserve"> </w:t>
      </w:r>
      <w:r w:rsidRPr="006326DB">
        <w:t xml:space="preserve">Napríklad čl. 67 ods. 1 písm. b), c) a d) a 68 </w:t>
      </w:r>
      <w:r>
        <w:t xml:space="preserve">všeobecného </w:t>
      </w:r>
      <w:r w:rsidRPr="006326DB">
        <w:t xml:space="preserve">nariadenia, čl. 14 nariadenia </w:t>
      </w:r>
      <w:r>
        <w:t>o ESF</w:t>
      </w:r>
      <w:r w:rsidRPr="006326DB">
        <w:t>.</w:t>
      </w:r>
    </w:p>
  </w:footnote>
  <w:footnote w:id="147">
    <w:p w14:paraId="497CE0BA" w14:textId="77777777" w:rsidR="00A84C26" w:rsidRDefault="00A84C26" w:rsidP="00664983">
      <w:pPr>
        <w:pStyle w:val="Textpoznmkypodiarou"/>
        <w:jc w:val="both"/>
      </w:pPr>
      <w:r>
        <w:rPr>
          <w:rStyle w:val="Odkaznapoznmkupodiarou"/>
        </w:rPr>
        <w:footnoteRef/>
      </w:r>
      <w:r>
        <w:t xml:space="preserve"> </w:t>
      </w:r>
      <w:r w:rsidRPr="006F1EDF">
        <w:t>V prípade, ak sa aplikuje metodika stanovená v rámci legislatívy EÚ</w:t>
      </w:r>
      <w:r>
        <w:t xml:space="preserve">, </w:t>
      </w:r>
      <w:r w:rsidRPr="006F1EDF">
        <w:t>a to podľa článku 68, ods. 1 písm. b) a c) nariadenia 1303/2013 a čl. 14, ods. 1 a ods. 2 nariadenia 1304/2013 o ESF postačuje uviesť odkaz na predmetné ustanovenie legislatívy.</w:t>
      </w:r>
    </w:p>
  </w:footnote>
  <w:footnote w:id="148">
    <w:p w14:paraId="56C613A4" w14:textId="77777777" w:rsidR="00A84C26" w:rsidRDefault="00A84C26">
      <w:pPr>
        <w:pStyle w:val="Textpoznmkypodiarou"/>
      </w:pPr>
      <w:r>
        <w:rPr>
          <w:rStyle w:val="Odkaznapoznmkupodiarou"/>
        </w:rPr>
        <w:footnoteRef/>
      </w:r>
      <w:r>
        <w:t xml:space="preserve"> </w:t>
      </w:r>
      <w:r w:rsidRPr="006326DB">
        <w:t xml:space="preserve">Napríklad čl. 75 ods. 2, čl. 125 ods. 4 písm. c) </w:t>
      </w:r>
      <w:r>
        <w:t xml:space="preserve">všeobecného </w:t>
      </w:r>
      <w:r w:rsidRPr="006326DB">
        <w:t>nariadenia.</w:t>
      </w:r>
    </w:p>
  </w:footnote>
  <w:footnote w:id="149">
    <w:p w14:paraId="07EC4CC7" w14:textId="77777777" w:rsidR="00A84C26" w:rsidRDefault="00A84C26">
      <w:pPr>
        <w:pStyle w:val="Textpoznmkypodiarou"/>
      </w:pPr>
      <w:r>
        <w:rPr>
          <w:rStyle w:val="Odkaznapoznmkupodiarou"/>
        </w:rPr>
        <w:footnoteRef/>
      </w:r>
      <w:r>
        <w:t xml:space="preserve"> </w:t>
      </w:r>
      <w:r w:rsidRPr="006326DB">
        <w:t xml:space="preserve">§ 6 ods. 1 zákona </w:t>
      </w:r>
      <w:r>
        <w:t>o finančnej kontrole.</w:t>
      </w:r>
    </w:p>
  </w:footnote>
  <w:footnote w:id="150">
    <w:p w14:paraId="0F4A2BBD" w14:textId="77777777" w:rsidR="00A84C26" w:rsidRDefault="00A84C26">
      <w:pPr>
        <w:pStyle w:val="Textpoznmkypodiarou"/>
      </w:pPr>
      <w:r>
        <w:rPr>
          <w:rStyle w:val="Odkaznapoznmkupodiarou"/>
        </w:rPr>
        <w:footnoteRef/>
      </w:r>
      <w:r>
        <w:t xml:space="preserve"> </w:t>
      </w:r>
      <w:r w:rsidRPr="006326DB">
        <w:t xml:space="preserve">Napríklad </w:t>
      </w:r>
      <w:r>
        <w:t>ZVO</w:t>
      </w:r>
      <w:r w:rsidRPr="006326DB">
        <w:t xml:space="preserve">, zákon o účtovníctve, zákon </w:t>
      </w:r>
      <w:r>
        <w:t>o rozpočtových pravidlách</w:t>
      </w:r>
      <w:r w:rsidRPr="006326DB">
        <w:t>.</w:t>
      </w:r>
    </w:p>
  </w:footnote>
  <w:footnote w:id="151">
    <w:p w14:paraId="2B7CA30A" w14:textId="77777777" w:rsidR="00A84C26" w:rsidRDefault="00A84C26">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152">
    <w:p w14:paraId="67878501" w14:textId="77777777" w:rsidR="00A84C26" w:rsidRDefault="00A84C26">
      <w:pPr>
        <w:pStyle w:val="Textpoznmkypodiarou"/>
        <w:jc w:val="both"/>
      </w:pPr>
      <w:r>
        <w:rPr>
          <w:rStyle w:val="Odkaznapoznmkupodiarou"/>
        </w:rPr>
        <w:footnoteRef/>
      </w:r>
      <w:r>
        <w:t xml:space="preserve"> Z hľadiska formy úhrady oprávnených výdavkov ide o postup podľa čl. 67 ods. 1 písm. a) všeobecného nariadenia.</w:t>
      </w:r>
    </w:p>
  </w:footnote>
  <w:footnote w:id="153">
    <w:p w14:paraId="5506776A" w14:textId="77777777" w:rsidR="00A84C26" w:rsidRDefault="00A84C26">
      <w:pPr>
        <w:pStyle w:val="Textpoznmkypodiarou"/>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p>
  </w:footnote>
  <w:footnote w:id="154">
    <w:p w14:paraId="7420079A" w14:textId="77777777" w:rsidR="00A84C26" w:rsidRDefault="00A84C26">
      <w:pPr>
        <w:pStyle w:val="Textpoznmkypodiarou"/>
      </w:pP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w:t>
      </w:r>
    </w:p>
  </w:footnote>
  <w:footnote w:id="155">
    <w:p w14:paraId="0BD0A6F2" w14:textId="77777777" w:rsidR="00A84C26" w:rsidRDefault="00A84C26">
      <w:pPr>
        <w:pStyle w:val="Textpoznmkypodiarou"/>
      </w:pPr>
      <w:r>
        <w:rPr>
          <w:rStyle w:val="Odkaznapoznmkupodiarou"/>
        </w:rPr>
        <w:footnoteRef/>
      </w:r>
      <w:r>
        <w:t xml:space="preserve"> Vzor CKO č. 33 - </w:t>
      </w:r>
      <w:r w:rsidRPr="008F2968">
        <w:t>Doplňujúce údaje k preukázaniu dodania predmetu plnenia</w:t>
      </w:r>
    </w:p>
  </w:footnote>
  <w:footnote w:id="156">
    <w:p w14:paraId="5EA1391A" w14:textId="77777777" w:rsidR="00A84C26" w:rsidRDefault="00A84C26">
      <w:pPr>
        <w:pStyle w:val="Textpoznmkypodiarou"/>
      </w:pPr>
      <w:r>
        <w:rPr>
          <w:rStyle w:val="Odkaznapoznmkupodiarou"/>
          <w:sz w:val="18"/>
          <w:szCs w:val="18"/>
        </w:rPr>
        <w:footnoteRef/>
      </w:r>
      <w:r>
        <w:rPr>
          <w:sz w:val="18"/>
          <w:szCs w:val="18"/>
        </w:rPr>
        <w:t xml:space="preserve"> Napr. C-159/91 a 160/191, C-263/86.</w:t>
      </w:r>
    </w:p>
  </w:footnote>
  <w:footnote w:id="157">
    <w:p w14:paraId="6A187435" w14:textId="77777777" w:rsidR="00A84C26" w:rsidRDefault="00A84C26">
      <w:pPr>
        <w:pStyle w:val="Textpoznmkypodiarou"/>
      </w:pPr>
      <w:r>
        <w:rPr>
          <w:rStyle w:val="Odkaznapoznmkupodiarou"/>
          <w:sz w:val="18"/>
          <w:szCs w:val="18"/>
        </w:rPr>
        <w:footnoteRef/>
      </w:r>
      <w:r>
        <w:rPr>
          <w:sz w:val="18"/>
          <w:szCs w:val="18"/>
        </w:rPr>
        <w:t xml:space="preserve"> EK vypracovala tzv. Analytický prehľad pre infraštruktúru.</w:t>
      </w:r>
    </w:p>
  </w:footnote>
  <w:footnote w:id="158">
    <w:p w14:paraId="472F0652" w14:textId="77777777" w:rsidR="00A84C26" w:rsidRDefault="00A84C26">
      <w:pPr>
        <w:pStyle w:val="Textpoznmkypodiarou"/>
      </w:pPr>
      <w:r>
        <w:rPr>
          <w:rStyle w:val="Odkaznapoznmkupodiarou"/>
          <w:sz w:val="18"/>
          <w:szCs w:val="18"/>
        </w:rPr>
        <w:footnoteRef/>
      </w:r>
      <w:r>
        <w:rPr>
          <w:sz w:val="18"/>
          <w:szCs w:val="18"/>
        </w:rPr>
        <w:t xml:space="preserve"> Napr. C-262/12.</w:t>
      </w:r>
    </w:p>
  </w:footnote>
  <w:footnote w:id="159">
    <w:p w14:paraId="7212554C" w14:textId="77777777" w:rsidR="00A84C26" w:rsidRDefault="00A84C26">
      <w:pPr>
        <w:pStyle w:val="Textpoznmkypodiarou"/>
        <w:jc w:val="both"/>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160">
    <w:p w14:paraId="445F38D3" w14:textId="77777777" w:rsidR="00A84C26" w:rsidRDefault="00A84C26">
      <w:pPr>
        <w:pStyle w:val="Textpoznmkypodiarou"/>
      </w:pPr>
      <w:r>
        <w:rPr>
          <w:rStyle w:val="Odkaznapoznmkupodiarou"/>
          <w:sz w:val="18"/>
          <w:szCs w:val="18"/>
        </w:rPr>
        <w:footnoteRef/>
      </w:r>
      <w:r>
        <w:rPr>
          <w:sz w:val="18"/>
          <w:szCs w:val="18"/>
        </w:rPr>
        <w:t xml:space="preserve"> Viď. prípad SA.35606, bod 8.</w:t>
      </w:r>
    </w:p>
  </w:footnote>
  <w:footnote w:id="161">
    <w:p w14:paraId="1413C601" w14:textId="77777777" w:rsidR="00A84C26" w:rsidRDefault="00A84C26">
      <w:pPr>
        <w:pStyle w:val="Textpoznmkypodiarou"/>
      </w:pPr>
      <w:r>
        <w:rPr>
          <w:rStyle w:val="Odkaznapoznmkupodiarou"/>
          <w:sz w:val="18"/>
          <w:szCs w:val="18"/>
        </w:rPr>
        <w:footnoteRef/>
      </w:r>
      <w:r>
        <w:rPr>
          <w:sz w:val="18"/>
          <w:szCs w:val="18"/>
        </w:rPr>
        <w:t xml:space="preserve"> Napr. C-278/92.</w:t>
      </w:r>
    </w:p>
  </w:footnote>
  <w:footnote w:id="162">
    <w:p w14:paraId="559FD58D" w14:textId="77777777" w:rsidR="00A84C26" w:rsidRDefault="00A84C26">
      <w:pPr>
        <w:pStyle w:val="Textpoznmkypodiarou"/>
      </w:pPr>
      <w:r>
        <w:rPr>
          <w:rStyle w:val="Odkaznapoznmkupodiarou"/>
          <w:sz w:val="18"/>
          <w:szCs w:val="18"/>
        </w:rPr>
        <w:footnoteRef/>
      </w:r>
      <w:r>
        <w:rPr>
          <w:sz w:val="18"/>
          <w:szCs w:val="18"/>
        </w:rPr>
        <w:t xml:space="preserve"> Napr. T-289/03, body 209-219.</w:t>
      </w:r>
    </w:p>
  </w:footnote>
  <w:footnote w:id="163">
    <w:p w14:paraId="6FD05D1C" w14:textId="77777777" w:rsidR="00A84C26" w:rsidRDefault="00A84C26">
      <w:pPr>
        <w:pStyle w:val="Textpoznmkypodiarou"/>
        <w:jc w:val="both"/>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164">
    <w:p w14:paraId="2790E1AD" w14:textId="77777777" w:rsidR="00A84C26" w:rsidRDefault="00A84C26" w:rsidP="001B709E">
      <w:pPr>
        <w:pStyle w:val="Textpoznmkypodiarou"/>
        <w:jc w:val="both"/>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o fungovaní EÚ nie je možné poskytnúť, keďže neexistuje právo EÚ, ktoré by takúto pomoc pokladalo za oprávnenú – výnimka zo všeobecného zákazu).</w:t>
      </w:r>
    </w:p>
  </w:footnote>
  <w:footnote w:id="165">
    <w:p w14:paraId="7C2E6FE7" w14:textId="77777777" w:rsidR="00A84C26" w:rsidRDefault="00A84C26">
      <w:pPr>
        <w:pStyle w:val="Textpoznmkypodiarou"/>
        <w:jc w:val="both"/>
      </w:pPr>
      <w:r w:rsidRPr="000E286B">
        <w:rPr>
          <w:rStyle w:val="Odkaznapoznmkupodiarou"/>
          <w:sz w:val="18"/>
        </w:rPr>
        <w:footnoteRef/>
      </w:r>
      <w:r w:rsidRPr="000E286B">
        <w:rPr>
          <w:sz w:val="18"/>
        </w:rPr>
        <w:t xml:space="preserve"> Vzor testu štátnej pomoci sa vyhodnocuje na základe tejto kapitoly 3.6</w:t>
      </w:r>
      <w:r>
        <w:rPr>
          <w:sz w:val="18"/>
        </w:rPr>
        <w:t>,</w:t>
      </w:r>
      <w:r w:rsidRPr="000E286B">
        <w:rPr>
          <w:sz w:val="18"/>
        </w:rPr>
        <w:t xml:space="preserve"> ako aj na základe rozhodovacej praxe Komisie a judikatúry Súdneho dvora, čo predstavuje základný právny rámec pre definovanie pojmu „pomoc“.</w:t>
      </w:r>
    </w:p>
  </w:footnote>
  <w:footnote w:id="166">
    <w:p w14:paraId="1C87EAC1" w14:textId="77777777" w:rsidR="00A84C26" w:rsidRDefault="00A84C26">
      <w:pPr>
        <w:pStyle w:val="Textpoznmkypodiarou"/>
      </w:pPr>
      <w:r w:rsidRPr="001B709E">
        <w:rPr>
          <w:rStyle w:val="Odkaznapoznmkupodiarou"/>
          <w:sz w:val="18"/>
        </w:rPr>
        <w:footnoteRef/>
      </w:r>
      <w:r w:rsidRPr="000E286B">
        <w:t xml:space="preserve"> </w:t>
      </w:r>
      <w:r w:rsidRPr="001B709E">
        <w:rPr>
          <w:sz w:val="18"/>
        </w:rPr>
        <w:t>Vzor CKO č. 6 - Test štátnej pomoci</w:t>
      </w:r>
    </w:p>
  </w:footnote>
  <w:footnote w:id="167">
    <w:p w14:paraId="2545AF14" w14:textId="77777777" w:rsidR="00A84C26" w:rsidRDefault="00A84C26">
      <w:pPr>
        <w:pStyle w:val="Textpoznmkypodiarou"/>
        <w:jc w:val="both"/>
      </w:pPr>
      <w:r w:rsidRPr="000E286B">
        <w:rPr>
          <w:rStyle w:val="Odkaznapoznmkupodiarou"/>
          <w:sz w:val="18"/>
        </w:rPr>
        <w:footnoteRef/>
      </w:r>
      <w:r w:rsidRPr="000E286B">
        <w:rPr>
          <w:sz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168">
    <w:p w14:paraId="7D5A583F" w14:textId="77777777" w:rsidR="00A84C26" w:rsidRDefault="00A84C26">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169">
    <w:p w14:paraId="0DF85BC1" w14:textId="77777777" w:rsidR="00A84C26" w:rsidRDefault="00A84C26" w:rsidP="00DE5D89">
      <w:pPr>
        <w:pStyle w:val="Textpoznmkypodiarou"/>
        <w:jc w:val="both"/>
      </w:pPr>
      <w:r>
        <w:rPr>
          <w:rStyle w:val="Odkaznapoznmkupodiarou"/>
        </w:rPr>
        <w:footnoteRef/>
      </w:r>
      <w:r>
        <w:t xml:space="preserve"> MP ÚV SR č. 21 -  k zberu údajov o</w:t>
      </w:r>
      <w:r w:rsidRPr="002B314A">
        <w:t xml:space="preserve"> administratívnych kapac</w:t>
      </w:r>
      <w:r>
        <w:t>i</w:t>
      </w:r>
      <w:r w:rsidRPr="002B314A">
        <w:t>t</w:t>
      </w:r>
      <w:r>
        <w:t>ách</w:t>
      </w:r>
      <w:r w:rsidRPr="002B314A">
        <w:t xml:space="preserve"> </w:t>
      </w:r>
      <w:r>
        <w:t xml:space="preserve">do Informácie o stave administratívnych kapacít </w:t>
      </w:r>
      <w:r w:rsidRPr="002B314A">
        <w:t>subjektov zapojených do riadenia</w:t>
      </w:r>
      <w:r>
        <w:t>,</w:t>
      </w:r>
      <w:r w:rsidRPr="002B314A">
        <w:t xml:space="preserve"> implementácie, kontroly </w:t>
      </w:r>
      <w:r>
        <w:t>a auditu EŠIF</w:t>
      </w:r>
    </w:p>
  </w:footnote>
  <w:footnote w:id="170">
    <w:p w14:paraId="0BE4C020" w14:textId="77777777" w:rsidR="00A84C26" w:rsidRDefault="00A84C26">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171">
    <w:p w14:paraId="61AB4A43" w14:textId="77777777" w:rsidR="00A84C26" w:rsidRDefault="00A84C26" w:rsidP="00AE4B1D">
      <w:pPr>
        <w:pStyle w:val="Textpoznmkypodiarou"/>
      </w:pPr>
      <w:r>
        <w:rPr>
          <w:rStyle w:val="Odkaznapoznmkupodiarou"/>
        </w:rPr>
        <w:footnoteRef/>
      </w:r>
      <w:r>
        <w:t xml:space="preserve"> MP CKO č. 9 k záväznému plánu operačného programu</w:t>
      </w:r>
    </w:p>
  </w:footnote>
  <w:footnote w:id="172">
    <w:p w14:paraId="034CE6DA" w14:textId="77777777" w:rsidR="00A84C26" w:rsidRDefault="00A84C26" w:rsidP="00226058">
      <w:pPr>
        <w:pStyle w:val="Textpoznmkypodiarou"/>
      </w:pPr>
      <w:r>
        <w:rPr>
          <w:rStyle w:val="Odkaznapoznmkupodiarou"/>
        </w:rPr>
        <w:footnoteRef/>
      </w:r>
      <w:r>
        <w:t xml:space="preserve"> MP CKO č. 10 </w:t>
      </w:r>
      <w:r w:rsidRPr="002B314A">
        <w:t>k obsahu informácie o realizovaní operačného programu</w:t>
      </w:r>
    </w:p>
  </w:footnote>
  <w:footnote w:id="173">
    <w:p w14:paraId="3840EBFF" w14:textId="77777777" w:rsidR="00A84C26" w:rsidRDefault="00A84C26">
      <w:pPr>
        <w:pStyle w:val="Textpoznmkypodiarou"/>
      </w:pPr>
      <w:r>
        <w:rPr>
          <w:rStyle w:val="Odkaznapoznmkupodiarou"/>
        </w:rPr>
        <w:footnoteRef/>
      </w:r>
      <w:r>
        <w:t xml:space="preserve"> MP CKO č. 20 </w:t>
      </w:r>
      <w:r w:rsidRPr="00781C23">
        <w:t>k vypracovaniu plánu hodnotení operačných programov na programové obdobie 2014 - 2020</w:t>
      </w:r>
    </w:p>
  </w:footnote>
  <w:footnote w:id="174">
    <w:p w14:paraId="2DAA7553" w14:textId="77777777" w:rsidR="00A84C26" w:rsidRDefault="00A84C26">
      <w:pPr>
        <w:pStyle w:val="Textpoznmkypodiarou"/>
      </w:pPr>
      <w:r>
        <w:rPr>
          <w:rStyle w:val="Odkaznapoznmkupodiarou"/>
        </w:rPr>
        <w:footnoteRef/>
      </w:r>
      <w:r>
        <w:t xml:space="preserve"> Príloha č. 1 k MP CKO č. 16 – Komunikačná stratégia</w:t>
      </w:r>
    </w:p>
  </w:footnote>
  <w:footnote w:id="175">
    <w:p w14:paraId="7F63B9E7" w14:textId="77777777" w:rsidR="00A84C26" w:rsidRDefault="00A84C26">
      <w:pPr>
        <w:pStyle w:val="Textpoznmkypodiarou"/>
      </w:pPr>
      <w:r>
        <w:rPr>
          <w:rStyle w:val="Odkaznapoznmkupodiarou"/>
        </w:rPr>
        <w:footnoteRef/>
      </w:r>
      <w:r>
        <w:t xml:space="preserve"> Príloha č. 5 k MP CKO č. 16 – Manuál pre informovanie a komunikáciu</w:t>
      </w:r>
    </w:p>
  </w:footnote>
  <w:footnote w:id="176">
    <w:p w14:paraId="2FDFE16F" w14:textId="77777777" w:rsidR="00A84C26" w:rsidRDefault="00A84C26">
      <w:pPr>
        <w:pStyle w:val="Textpoznmkypodiarou"/>
      </w:pPr>
      <w:r>
        <w:rPr>
          <w:rStyle w:val="Odkaznapoznmkupodiarou"/>
        </w:rPr>
        <w:footnoteRef/>
      </w:r>
      <w:r>
        <w:t xml:space="preserve"> MP CKO č. 16 pre informovanie a komunikáciu EŠIF</w:t>
      </w:r>
    </w:p>
  </w:footnote>
  <w:footnote w:id="177">
    <w:p w14:paraId="3AD82562" w14:textId="77777777" w:rsidR="00A84C26" w:rsidRDefault="00A84C26">
      <w:pPr>
        <w:pStyle w:val="Textpoznmkypodiarou"/>
      </w:pPr>
      <w:r>
        <w:rPr>
          <w:rStyle w:val="Odkaznapoznmkupodiarou"/>
        </w:rPr>
        <w:footnoteRef/>
      </w:r>
      <w:r>
        <w:t xml:space="preserve"> Príloha č. 1 k MP CKO č. 16 – Komunikačná stratégia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jc w:val="center"/>
      <w:tblCellMar>
        <w:top w:w="72" w:type="dxa"/>
        <w:left w:w="115" w:type="dxa"/>
        <w:bottom w:w="72" w:type="dxa"/>
        <w:right w:w="115" w:type="dxa"/>
      </w:tblCellMar>
      <w:tblLook w:val="00A0" w:firstRow="1" w:lastRow="0" w:firstColumn="1" w:lastColumn="0" w:noHBand="0" w:noVBand="0"/>
    </w:tblPr>
    <w:tblGrid>
      <w:gridCol w:w="7267"/>
      <w:gridCol w:w="2798"/>
    </w:tblGrid>
    <w:tr w:rsidR="00A84C26" w14:paraId="7C9AB995" w14:textId="77777777">
      <w:trPr>
        <w:jc w:val="center"/>
      </w:trPr>
      <w:tc>
        <w:tcPr>
          <w:tcW w:w="3610" w:type="pct"/>
          <w:tcBorders>
            <w:bottom w:val="single" w:sz="4" w:space="0" w:color="auto"/>
          </w:tcBorders>
          <w:vAlign w:val="bottom"/>
        </w:tcPr>
        <w:p w14:paraId="17FA73E5" w14:textId="77777777" w:rsidR="00A84C26" w:rsidRDefault="00A84C26">
          <w:pPr>
            <w:jc w:val="right"/>
            <w:rPr>
              <w:rFonts w:ascii="Arial Narrow" w:hAnsi="Arial Narrow"/>
              <w:color w:val="76923C"/>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cBorders>
          <w:shd w:val="clear" w:color="auto" w:fill="943634"/>
          <w:vAlign w:val="bottom"/>
        </w:tcPr>
        <w:p w14:paraId="7E3CC692" w14:textId="03464F98" w:rsidR="00A84C26" w:rsidRDefault="00E232B8" w:rsidP="00E87F31">
          <w:pPr>
            <w:ind w:left="-115"/>
            <w:jc w:val="right"/>
            <w:rPr>
              <w:color w:val="FFFFFF"/>
            </w:rPr>
          </w:pPr>
          <w:r>
            <w:rPr>
              <w:color w:val="FFFFFF"/>
            </w:rPr>
            <w:t>21.</w:t>
          </w:r>
          <w:r w:rsidR="00E87F31">
            <w:rPr>
              <w:color w:val="FFFFFF"/>
            </w:rPr>
            <w:t xml:space="preserve"> decembra </w:t>
          </w:r>
          <w:r>
            <w:rPr>
              <w:color w:val="FFFFFF"/>
            </w:rPr>
            <w:t>2017</w:t>
          </w:r>
        </w:p>
      </w:tc>
    </w:tr>
  </w:tbl>
  <w:p w14:paraId="56CE94B8" w14:textId="77777777" w:rsidR="00A84C26" w:rsidRDefault="00A84C26"/>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DAB4D704"/>
    <w:lvl w:ilvl="0">
      <w:start w:val="1"/>
      <w:numFmt w:val="bullet"/>
      <w:lvlText w:val=""/>
      <w:lvlJc w:val="left"/>
      <w:pPr>
        <w:tabs>
          <w:tab w:val="num" w:pos="360"/>
        </w:tabs>
        <w:ind w:left="360" w:hanging="360"/>
      </w:pPr>
      <w:rPr>
        <w:rFonts w:ascii="Symbol" w:hAnsi="Symbol" w:hint="default"/>
      </w:rPr>
    </w:lvl>
  </w:abstractNum>
  <w:abstractNum w:abstractNumId="1">
    <w:nsid w:val="000C678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
    <w:nsid w:val="00237B4C"/>
    <w:multiLevelType w:val="hybridMultilevel"/>
    <w:tmpl w:val="A010F46A"/>
    <w:lvl w:ilvl="0" w:tplc="041B0017">
      <w:start w:val="1"/>
      <w:numFmt w:val="lowerLetter"/>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
    <w:nsid w:val="005E388B"/>
    <w:multiLevelType w:val="hybridMultilevel"/>
    <w:tmpl w:val="DA28D42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
    <w:nsid w:val="008A6D40"/>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
    <w:nsid w:val="0137450E"/>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
    <w:nsid w:val="0170456F"/>
    <w:multiLevelType w:val="hybridMultilevel"/>
    <w:tmpl w:val="58984706"/>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
    <w:nsid w:val="01E00C5F"/>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
    <w:nsid w:val="01FA7ABF"/>
    <w:multiLevelType w:val="hybridMultilevel"/>
    <w:tmpl w:val="6A4A08F4"/>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
    <w:nsid w:val="02C03F0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
    <w:nsid w:val="03451B1F"/>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2">
    <w:nsid w:val="03614A28"/>
    <w:multiLevelType w:val="hybridMultilevel"/>
    <w:tmpl w:val="E82EE4A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
    <w:nsid w:val="03E93D86"/>
    <w:multiLevelType w:val="hybridMultilevel"/>
    <w:tmpl w:val="C99C1444"/>
    <w:lvl w:ilvl="0" w:tplc="DD6AEE4A">
      <w:start w:val="1"/>
      <w:numFmt w:val="decimal"/>
      <w:lvlText w:val="%1."/>
      <w:lvlJc w:val="left"/>
      <w:pPr>
        <w:ind w:left="1080" w:hanging="360"/>
      </w:pPr>
      <w:rPr>
        <w:rFonts w:cs="Times New Roman"/>
        <w:b w:val="0"/>
        <w:i w:val="0"/>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E732EA54">
      <w:start w:val="1"/>
      <w:numFmt w:val="decimal"/>
      <w:lvlText w:val="%4."/>
      <w:lvlJc w:val="left"/>
      <w:pPr>
        <w:ind w:left="3240" w:hanging="360"/>
      </w:pPr>
      <w:rPr>
        <w:rFonts w:cs="Times New Roman"/>
        <w:i w:val="0"/>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14">
    <w:nsid w:val="042C457F"/>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
    <w:nsid w:val="042D5B0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
    <w:nsid w:val="04A60403"/>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8">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
    <w:nsid w:val="059B2D48"/>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20">
    <w:nsid w:val="05E43B6B"/>
    <w:multiLevelType w:val="hybridMultilevel"/>
    <w:tmpl w:val="9CBC4FE8"/>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1">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
    <w:nsid w:val="06133BEF"/>
    <w:multiLevelType w:val="hybridMultilevel"/>
    <w:tmpl w:val="3F482594"/>
    <w:lvl w:ilvl="0" w:tplc="496C4B22">
      <w:start w:val="1"/>
      <w:numFmt w:val="lowerLetter"/>
      <w:lvlText w:val="%1)"/>
      <w:lvlJc w:val="left"/>
      <w:pPr>
        <w:ind w:left="1065" w:hanging="705"/>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
    <w:nsid w:val="0627283F"/>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
    <w:nsid w:val="06D008C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5">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
    <w:nsid w:val="06E76F7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
    <w:nsid w:val="07086C56"/>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
    <w:nsid w:val="07167A43"/>
    <w:multiLevelType w:val="hybridMultilevel"/>
    <w:tmpl w:val="11264036"/>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9">
    <w:nsid w:val="07766235"/>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0">
    <w:nsid w:val="08AA0017"/>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1">
    <w:nsid w:val="08AF4169"/>
    <w:multiLevelType w:val="hybridMultilevel"/>
    <w:tmpl w:val="5C70C534"/>
    <w:lvl w:ilvl="0" w:tplc="874A889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2">
    <w:nsid w:val="08F70FC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
    <w:nsid w:val="0970367F"/>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4">
    <w:nsid w:val="0A3377CB"/>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
    <w:nsid w:val="0A3964A6"/>
    <w:multiLevelType w:val="hybridMultilevel"/>
    <w:tmpl w:val="0CC8A1CC"/>
    <w:lvl w:ilvl="0" w:tplc="041B0017">
      <w:start w:val="1"/>
      <w:numFmt w:val="lowerLetter"/>
      <w:lvlText w:val="%1)"/>
      <w:lvlJc w:val="left"/>
      <w:pPr>
        <w:ind w:left="1145" w:hanging="360"/>
      </w:pPr>
      <w:rPr>
        <w:rFonts w:cs="Times New Roman"/>
      </w:rPr>
    </w:lvl>
    <w:lvl w:ilvl="1" w:tplc="041B0017">
      <w:start w:val="1"/>
      <w:numFmt w:val="lowerLetter"/>
      <w:lvlText w:val="%2)"/>
      <w:lvlJc w:val="left"/>
      <w:pPr>
        <w:ind w:left="1865" w:hanging="360"/>
      </w:pPr>
      <w:rPr>
        <w:rFonts w:cs="Times New Roman"/>
      </w:rPr>
    </w:lvl>
    <w:lvl w:ilvl="2" w:tplc="041B001B" w:tentative="1">
      <w:start w:val="1"/>
      <w:numFmt w:val="lowerRoman"/>
      <w:lvlText w:val="%3."/>
      <w:lvlJc w:val="right"/>
      <w:pPr>
        <w:ind w:left="2585" w:hanging="180"/>
      </w:pPr>
      <w:rPr>
        <w:rFonts w:cs="Times New Roman"/>
      </w:rPr>
    </w:lvl>
    <w:lvl w:ilvl="3" w:tplc="041B000F" w:tentative="1">
      <w:start w:val="1"/>
      <w:numFmt w:val="decimal"/>
      <w:lvlText w:val="%4."/>
      <w:lvlJc w:val="left"/>
      <w:pPr>
        <w:ind w:left="3305" w:hanging="360"/>
      </w:pPr>
      <w:rPr>
        <w:rFonts w:cs="Times New Roman"/>
      </w:rPr>
    </w:lvl>
    <w:lvl w:ilvl="4" w:tplc="041B0019" w:tentative="1">
      <w:start w:val="1"/>
      <w:numFmt w:val="lowerLetter"/>
      <w:lvlText w:val="%5."/>
      <w:lvlJc w:val="left"/>
      <w:pPr>
        <w:ind w:left="4025" w:hanging="360"/>
      </w:pPr>
      <w:rPr>
        <w:rFonts w:cs="Times New Roman"/>
      </w:rPr>
    </w:lvl>
    <w:lvl w:ilvl="5" w:tplc="041B001B" w:tentative="1">
      <w:start w:val="1"/>
      <w:numFmt w:val="lowerRoman"/>
      <w:lvlText w:val="%6."/>
      <w:lvlJc w:val="right"/>
      <w:pPr>
        <w:ind w:left="4745" w:hanging="180"/>
      </w:pPr>
      <w:rPr>
        <w:rFonts w:cs="Times New Roman"/>
      </w:rPr>
    </w:lvl>
    <w:lvl w:ilvl="6" w:tplc="041B000F" w:tentative="1">
      <w:start w:val="1"/>
      <w:numFmt w:val="decimal"/>
      <w:lvlText w:val="%7."/>
      <w:lvlJc w:val="left"/>
      <w:pPr>
        <w:ind w:left="5465" w:hanging="360"/>
      </w:pPr>
      <w:rPr>
        <w:rFonts w:cs="Times New Roman"/>
      </w:rPr>
    </w:lvl>
    <w:lvl w:ilvl="7" w:tplc="041B0019" w:tentative="1">
      <w:start w:val="1"/>
      <w:numFmt w:val="lowerLetter"/>
      <w:lvlText w:val="%8."/>
      <w:lvlJc w:val="left"/>
      <w:pPr>
        <w:ind w:left="6185" w:hanging="360"/>
      </w:pPr>
      <w:rPr>
        <w:rFonts w:cs="Times New Roman"/>
      </w:rPr>
    </w:lvl>
    <w:lvl w:ilvl="8" w:tplc="041B001B" w:tentative="1">
      <w:start w:val="1"/>
      <w:numFmt w:val="lowerRoman"/>
      <w:lvlText w:val="%9."/>
      <w:lvlJc w:val="right"/>
      <w:pPr>
        <w:ind w:left="6905" w:hanging="180"/>
      </w:pPr>
      <w:rPr>
        <w:rFonts w:cs="Times New Roman"/>
      </w:rPr>
    </w:lvl>
  </w:abstractNum>
  <w:abstractNum w:abstractNumId="36">
    <w:nsid w:val="0A95334E"/>
    <w:multiLevelType w:val="hybridMultilevel"/>
    <w:tmpl w:val="1FBCB4AE"/>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37">
    <w:nsid w:val="0B223DC9"/>
    <w:multiLevelType w:val="hybridMultilevel"/>
    <w:tmpl w:val="16F28132"/>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7">
      <w:start w:val="1"/>
      <w:numFmt w:val="lowerLetter"/>
      <w:lvlText w:val="%3)"/>
      <w:lvlJc w:val="lef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38">
    <w:nsid w:val="0B5D28AA"/>
    <w:multiLevelType w:val="hybridMultilevel"/>
    <w:tmpl w:val="6C22C78C"/>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
    <w:nsid w:val="0BB53F3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
    <w:nsid w:val="0C070EE6"/>
    <w:multiLevelType w:val="hybridMultilevel"/>
    <w:tmpl w:val="67EAF12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1">
    <w:nsid w:val="0C141407"/>
    <w:multiLevelType w:val="hybridMultilevel"/>
    <w:tmpl w:val="2050FD28"/>
    <w:lvl w:ilvl="0" w:tplc="041B001B">
      <w:start w:val="1"/>
      <w:numFmt w:val="lowerRoman"/>
      <w:lvlText w:val="%1."/>
      <w:lvlJc w:val="right"/>
      <w:pPr>
        <w:ind w:left="1713" w:hanging="360"/>
      </w:pPr>
      <w:rPr>
        <w:rFonts w:cs="Times New Roman"/>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42">
    <w:nsid w:val="0C77762B"/>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43">
    <w:nsid w:val="0CCA6082"/>
    <w:multiLevelType w:val="hybridMultilevel"/>
    <w:tmpl w:val="73086B26"/>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44">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5">
    <w:nsid w:val="0D0A5C8E"/>
    <w:multiLevelType w:val="hybridMultilevel"/>
    <w:tmpl w:val="5CACB6B8"/>
    <w:lvl w:ilvl="0" w:tplc="041B0017">
      <w:start w:val="1"/>
      <w:numFmt w:val="lowerLetter"/>
      <w:lvlText w:val="%1)"/>
      <w:lvlJc w:val="left"/>
      <w:pPr>
        <w:ind w:left="1428" w:hanging="360"/>
      </w:pPr>
      <w:rPr>
        <w:rFonts w:cs="Times New Roman"/>
      </w:rPr>
    </w:lvl>
    <w:lvl w:ilvl="1" w:tplc="55DE7752">
      <w:start w:val="1"/>
      <w:numFmt w:val="bullet"/>
      <w:lvlText w:val="-"/>
      <w:lvlJc w:val="left"/>
      <w:pPr>
        <w:ind w:left="2148" w:hanging="360"/>
      </w:pPr>
      <w:rPr>
        <w:rFonts w:ascii="Times New Roman" w:eastAsia="Times New Roman" w:hAnsi="Times New Roman" w:hint="default"/>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46">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7">
    <w:nsid w:val="0D8564A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48">
    <w:nsid w:val="0D9B20DC"/>
    <w:multiLevelType w:val="hybridMultilevel"/>
    <w:tmpl w:val="C158EC0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49">
    <w:nsid w:val="0DF354F6"/>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50">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51">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rPr>
        <w:rFonts w:cs="Times New Roman"/>
      </w:rPr>
    </w:lvl>
    <w:lvl w:ilvl="2" w:tplc="041B001B" w:tentative="1">
      <w:start w:val="1"/>
      <w:numFmt w:val="lowerRoman"/>
      <w:lvlText w:val="%3."/>
      <w:lvlJc w:val="right"/>
      <w:pPr>
        <w:ind w:left="3153" w:hanging="180"/>
      </w:pPr>
      <w:rPr>
        <w:rFonts w:cs="Times New Roman"/>
      </w:rPr>
    </w:lvl>
    <w:lvl w:ilvl="3" w:tplc="041B000F" w:tentative="1">
      <w:start w:val="1"/>
      <w:numFmt w:val="decimal"/>
      <w:lvlText w:val="%4."/>
      <w:lvlJc w:val="left"/>
      <w:pPr>
        <w:ind w:left="3873" w:hanging="360"/>
      </w:pPr>
      <w:rPr>
        <w:rFonts w:cs="Times New Roman"/>
      </w:rPr>
    </w:lvl>
    <w:lvl w:ilvl="4" w:tplc="041B0019" w:tentative="1">
      <w:start w:val="1"/>
      <w:numFmt w:val="lowerLetter"/>
      <w:lvlText w:val="%5."/>
      <w:lvlJc w:val="left"/>
      <w:pPr>
        <w:ind w:left="4593" w:hanging="360"/>
      </w:pPr>
      <w:rPr>
        <w:rFonts w:cs="Times New Roman"/>
      </w:rPr>
    </w:lvl>
    <w:lvl w:ilvl="5" w:tplc="041B001B" w:tentative="1">
      <w:start w:val="1"/>
      <w:numFmt w:val="lowerRoman"/>
      <w:lvlText w:val="%6."/>
      <w:lvlJc w:val="right"/>
      <w:pPr>
        <w:ind w:left="5313" w:hanging="180"/>
      </w:pPr>
      <w:rPr>
        <w:rFonts w:cs="Times New Roman"/>
      </w:rPr>
    </w:lvl>
    <w:lvl w:ilvl="6" w:tplc="041B000F" w:tentative="1">
      <w:start w:val="1"/>
      <w:numFmt w:val="decimal"/>
      <w:lvlText w:val="%7."/>
      <w:lvlJc w:val="left"/>
      <w:pPr>
        <w:ind w:left="6033" w:hanging="360"/>
      </w:pPr>
      <w:rPr>
        <w:rFonts w:cs="Times New Roman"/>
      </w:rPr>
    </w:lvl>
    <w:lvl w:ilvl="7" w:tplc="041B0019" w:tentative="1">
      <w:start w:val="1"/>
      <w:numFmt w:val="lowerLetter"/>
      <w:lvlText w:val="%8."/>
      <w:lvlJc w:val="left"/>
      <w:pPr>
        <w:ind w:left="6753" w:hanging="360"/>
      </w:pPr>
      <w:rPr>
        <w:rFonts w:cs="Times New Roman"/>
      </w:rPr>
    </w:lvl>
    <w:lvl w:ilvl="8" w:tplc="041B001B" w:tentative="1">
      <w:start w:val="1"/>
      <w:numFmt w:val="lowerRoman"/>
      <w:lvlText w:val="%9."/>
      <w:lvlJc w:val="right"/>
      <w:pPr>
        <w:ind w:left="7473" w:hanging="180"/>
      </w:pPr>
      <w:rPr>
        <w:rFonts w:cs="Times New Roman"/>
      </w:rPr>
    </w:lvl>
  </w:abstractNum>
  <w:abstractNum w:abstractNumId="52">
    <w:nsid w:val="0ED95694"/>
    <w:multiLevelType w:val="hybridMultilevel"/>
    <w:tmpl w:val="B492B6CC"/>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53">
    <w:nsid w:val="0F560F96"/>
    <w:multiLevelType w:val="hybridMultilevel"/>
    <w:tmpl w:val="E7DC8208"/>
    <w:lvl w:ilvl="0" w:tplc="453EC8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54">
    <w:nsid w:val="0F80486C"/>
    <w:multiLevelType w:val="hybridMultilevel"/>
    <w:tmpl w:val="40F20BFA"/>
    <w:lvl w:ilvl="0" w:tplc="E732EA54">
      <w:start w:val="1"/>
      <w:numFmt w:val="decimal"/>
      <w:lvlText w:val="%1."/>
      <w:lvlJc w:val="left"/>
      <w:pPr>
        <w:ind w:left="324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5">
    <w:nsid w:val="0FED2198"/>
    <w:multiLevelType w:val="hybridMultilevel"/>
    <w:tmpl w:val="C7B4BF3E"/>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6">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nsid w:val="10177819"/>
    <w:multiLevelType w:val="hybridMultilevel"/>
    <w:tmpl w:val="8C98274E"/>
    <w:lvl w:ilvl="0" w:tplc="041B000F">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8">
    <w:nsid w:val="10250879"/>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9">
    <w:nsid w:val="11051002"/>
    <w:multiLevelType w:val="hybridMultilevel"/>
    <w:tmpl w:val="C5361EE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0">
    <w:nsid w:val="11977BF5"/>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61">
    <w:nsid w:val="11A46939"/>
    <w:multiLevelType w:val="hybridMultilevel"/>
    <w:tmpl w:val="1EB8F6BC"/>
    <w:lvl w:ilvl="0" w:tplc="041B0017">
      <w:start w:val="1"/>
      <w:numFmt w:val="lowerLetter"/>
      <w:lvlText w:val="%1)"/>
      <w:lvlJc w:val="left"/>
      <w:pPr>
        <w:ind w:left="786" w:hanging="360"/>
      </w:pPr>
      <w:rPr>
        <w:rFonts w:cs="Times New Roman"/>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62">
    <w:nsid w:val="125C08E8"/>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3">
    <w:nsid w:val="131674C2"/>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64">
    <w:nsid w:val="13217C7F"/>
    <w:multiLevelType w:val="hybridMultilevel"/>
    <w:tmpl w:val="133EAC2E"/>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5">
    <w:nsid w:val="1362425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66">
    <w:nsid w:val="137933A2"/>
    <w:multiLevelType w:val="multilevel"/>
    <w:tmpl w:val="2034E20C"/>
    <w:lvl w:ilvl="0">
      <w:start w:val="1"/>
      <w:numFmt w:val="decimal"/>
      <w:lvlText w:val="%1."/>
      <w:lvlJc w:val="left"/>
      <w:pPr>
        <w:ind w:left="4897" w:hanging="360"/>
      </w:pPr>
      <w:rPr>
        <w:rFonts w:cs="Times New Roman" w:hint="default"/>
      </w:rPr>
    </w:lvl>
    <w:lvl w:ilvl="1">
      <w:start w:val="5"/>
      <w:numFmt w:val="decimal"/>
      <w:isLgl/>
      <w:lvlText w:val="%1.%2"/>
      <w:lvlJc w:val="left"/>
      <w:pPr>
        <w:ind w:left="5197" w:hanging="660"/>
      </w:pPr>
      <w:rPr>
        <w:rFonts w:cs="Times New Roman" w:hint="default"/>
      </w:rPr>
    </w:lvl>
    <w:lvl w:ilvl="2">
      <w:start w:val="10"/>
      <w:numFmt w:val="decimal"/>
      <w:isLgl/>
      <w:lvlText w:val="%1.%2.%3"/>
      <w:lvlJc w:val="left"/>
      <w:pPr>
        <w:ind w:left="5257" w:hanging="720"/>
      </w:pPr>
      <w:rPr>
        <w:rFonts w:cs="Times New Roman" w:hint="default"/>
      </w:rPr>
    </w:lvl>
    <w:lvl w:ilvl="3">
      <w:start w:val="1"/>
      <w:numFmt w:val="decimal"/>
      <w:isLgl/>
      <w:lvlText w:val="%1.%2.%3.%4"/>
      <w:lvlJc w:val="left"/>
      <w:pPr>
        <w:ind w:left="5257" w:hanging="720"/>
      </w:pPr>
      <w:rPr>
        <w:rFonts w:cs="Times New Roman" w:hint="default"/>
      </w:rPr>
    </w:lvl>
    <w:lvl w:ilvl="4">
      <w:start w:val="1"/>
      <w:numFmt w:val="decimal"/>
      <w:isLgl/>
      <w:lvlText w:val="%1.%2.%3.%4.%5"/>
      <w:lvlJc w:val="left"/>
      <w:pPr>
        <w:ind w:left="5617" w:hanging="1080"/>
      </w:pPr>
      <w:rPr>
        <w:rFonts w:cs="Times New Roman" w:hint="default"/>
      </w:rPr>
    </w:lvl>
    <w:lvl w:ilvl="5">
      <w:start w:val="1"/>
      <w:numFmt w:val="decimal"/>
      <w:isLgl/>
      <w:lvlText w:val="%1.%2.%3.%4.%5.%6"/>
      <w:lvlJc w:val="left"/>
      <w:pPr>
        <w:ind w:left="5617" w:hanging="1080"/>
      </w:pPr>
      <w:rPr>
        <w:rFonts w:cs="Times New Roman" w:hint="default"/>
      </w:rPr>
    </w:lvl>
    <w:lvl w:ilvl="6">
      <w:start w:val="1"/>
      <w:numFmt w:val="decimal"/>
      <w:isLgl/>
      <w:lvlText w:val="%1.%2.%3.%4.%5.%6.%7"/>
      <w:lvlJc w:val="left"/>
      <w:pPr>
        <w:ind w:left="5977" w:hanging="1440"/>
      </w:pPr>
      <w:rPr>
        <w:rFonts w:cs="Times New Roman" w:hint="default"/>
      </w:rPr>
    </w:lvl>
    <w:lvl w:ilvl="7">
      <w:start w:val="1"/>
      <w:numFmt w:val="decimal"/>
      <w:isLgl/>
      <w:lvlText w:val="%1.%2.%3.%4.%5.%6.%7.%8"/>
      <w:lvlJc w:val="left"/>
      <w:pPr>
        <w:ind w:left="5977" w:hanging="1440"/>
      </w:pPr>
      <w:rPr>
        <w:rFonts w:cs="Times New Roman" w:hint="default"/>
      </w:rPr>
    </w:lvl>
    <w:lvl w:ilvl="8">
      <w:start w:val="1"/>
      <w:numFmt w:val="decimal"/>
      <w:isLgl/>
      <w:lvlText w:val="%1.%2.%3.%4.%5.%6.%7.%8.%9"/>
      <w:lvlJc w:val="left"/>
      <w:pPr>
        <w:ind w:left="6337" w:hanging="1800"/>
      </w:pPr>
      <w:rPr>
        <w:rFonts w:cs="Times New Roman" w:hint="default"/>
      </w:rPr>
    </w:lvl>
  </w:abstractNum>
  <w:abstractNum w:abstractNumId="67">
    <w:nsid w:val="1402476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68">
    <w:nsid w:val="14D5736F"/>
    <w:multiLevelType w:val="hybridMultilevel"/>
    <w:tmpl w:val="34805F5C"/>
    <w:lvl w:ilvl="0" w:tplc="5B2AF608">
      <w:start w:val="1"/>
      <w:numFmt w:val="lowerLetter"/>
      <w:lvlText w:val="%1)"/>
      <w:lvlJc w:val="left"/>
      <w:pPr>
        <w:ind w:left="1080" w:hanging="360"/>
      </w:pPr>
      <w:rPr>
        <w:rFonts w:cs="Times New Roman" w:hint="default"/>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69">
    <w:nsid w:val="14DB470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0">
    <w:nsid w:val="14E7131E"/>
    <w:multiLevelType w:val="hybridMultilevel"/>
    <w:tmpl w:val="180E1824"/>
    <w:lvl w:ilvl="0" w:tplc="041B0017">
      <w:start w:val="1"/>
      <w:numFmt w:val="lowerLetter"/>
      <w:lvlText w:val="%1)"/>
      <w:lvlJc w:val="left"/>
      <w:pPr>
        <w:ind w:left="765" w:hanging="360"/>
      </w:pPr>
      <w:rPr>
        <w:rFonts w:cs="Times New Roman"/>
      </w:rPr>
    </w:lvl>
    <w:lvl w:ilvl="1" w:tplc="041B0019" w:tentative="1">
      <w:start w:val="1"/>
      <w:numFmt w:val="lowerLetter"/>
      <w:lvlText w:val="%2."/>
      <w:lvlJc w:val="left"/>
      <w:pPr>
        <w:ind w:left="1485" w:hanging="360"/>
      </w:pPr>
      <w:rPr>
        <w:rFonts w:cs="Times New Roman"/>
      </w:rPr>
    </w:lvl>
    <w:lvl w:ilvl="2" w:tplc="041B001B" w:tentative="1">
      <w:start w:val="1"/>
      <w:numFmt w:val="lowerRoman"/>
      <w:lvlText w:val="%3."/>
      <w:lvlJc w:val="right"/>
      <w:pPr>
        <w:ind w:left="2205" w:hanging="180"/>
      </w:pPr>
      <w:rPr>
        <w:rFonts w:cs="Times New Roman"/>
      </w:rPr>
    </w:lvl>
    <w:lvl w:ilvl="3" w:tplc="041B000F" w:tentative="1">
      <w:start w:val="1"/>
      <w:numFmt w:val="decimal"/>
      <w:lvlText w:val="%4."/>
      <w:lvlJc w:val="left"/>
      <w:pPr>
        <w:ind w:left="2925" w:hanging="360"/>
      </w:pPr>
      <w:rPr>
        <w:rFonts w:cs="Times New Roman"/>
      </w:rPr>
    </w:lvl>
    <w:lvl w:ilvl="4" w:tplc="041B0019" w:tentative="1">
      <w:start w:val="1"/>
      <w:numFmt w:val="lowerLetter"/>
      <w:lvlText w:val="%5."/>
      <w:lvlJc w:val="left"/>
      <w:pPr>
        <w:ind w:left="3645" w:hanging="360"/>
      </w:pPr>
      <w:rPr>
        <w:rFonts w:cs="Times New Roman"/>
      </w:rPr>
    </w:lvl>
    <w:lvl w:ilvl="5" w:tplc="041B001B" w:tentative="1">
      <w:start w:val="1"/>
      <w:numFmt w:val="lowerRoman"/>
      <w:lvlText w:val="%6."/>
      <w:lvlJc w:val="right"/>
      <w:pPr>
        <w:ind w:left="4365" w:hanging="180"/>
      </w:pPr>
      <w:rPr>
        <w:rFonts w:cs="Times New Roman"/>
      </w:rPr>
    </w:lvl>
    <w:lvl w:ilvl="6" w:tplc="041B000F" w:tentative="1">
      <w:start w:val="1"/>
      <w:numFmt w:val="decimal"/>
      <w:lvlText w:val="%7."/>
      <w:lvlJc w:val="left"/>
      <w:pPr>
        <w:ind w:left="5085" w:hanging="360"/>
      </w:pPr>
      <w:rPr>
        <w:rFonts w:cs="Times New Roman"/>
      </w:rPr>
    </w:lvl>
    <w:lvl w:ilvl="7" w:tplc="041B0019" w:tentative="1">
      <w:start w:val="1"/>
      <w:numFmt w:val="lowerLetter"/>
      <w:lvlText w:val="%8."/>
      <w:lvlJc w:val="left"/>
      <w:pPr>
        <w:ind w:left="5805" w:hanging="360"/>
      </w:pPr>
      <w:rPr>
        <w:rFonts w:cs="Times New Roman"/>
      </w:rPr>
    </w:lvl>
    <w:lvl w:ilvl="8" w:tplc="041B001B" w:tentative="1">
      <w:start w:val="1"/>
      <w:numFmt w:val="lowerRoman"/>
      <w:lvlText w:val="%9."/>
      <w:lvlJc w:val="right"/>
      <w:pPr>
        <w:ind w:left="6525" w:hanging="180"/>
      </w:pPr>
      <w:rPr>
        <w:rFonts w:cs="Times New Roman"/>
      </w:rPr>
    </w:lvl>
  </w:abstractNum>
  <w:abstractNum w:abstractNumId="71">
    <w:nsid w:val="152D175E"/>
    <w:multiLevelType w:val="hybridMultilevel"/>
    <w:tmpl w:val="71BCC576"/>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72">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3">
    <w:nsid w:val="15964C5B"/>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4">
    <w:nsid w:val="15BA3377"/>
    <w:multiLevelType w:val="multilevel"/>
    <w:tmpl w:val="ED2E9078"/>
    <w:lvl w:ilvl="0">
      <w:start w:val="1"/>
      <w:numFmt w:val="decimal"/>
      <w:lvlText w:val="%1."/>
      <w:lvlJc w:val="left"/>
      <w:pPr>
        <w:ind w:left="720" w:hanging="360"/>
      </w:pPr>
      <w:rPr>
        <w:rFonts w:cs="Times New Roman"/>
      </w:rPr>
    </w:lvl>
    <w:lvl w:ilvl="1">
      <w:start w:val="3"/>
      <w:numFmt w:val="decimal"/>
      <w:isLgl/>
      <w:lvlText w:val="%1.%2"/>
      <w:lvlJc w:val="left"/>
      <w:pPr>
        <w:ind w:left="1200" w:hanging="840"/>
      </w:pPr>
      <w:rPr>
        <w:rFonts w:cs="Times New Roman" w:hint="default"/>
      </w:rPr>
    </w:lvl>
    <w:lvl w:ilvl="2">
      <w:start w:val="6"/>
      <w:numFmt w:val="decimal"/>
      <w:isLgl/>
      <w:lvlText w:val="%1.%2.%3"/>
      <w:lvlJc w:val="left"/>
      <w:pPr>
        <w:ind w:left="1200" w:hanging="840"/>
      </w:pPr>
      <w:rPr>
        <w:rFonts w:cs="Times New Roman" w:hint="default"/>
      </w:rPr>
    </w:lvl>
    <w:lvl w:ilvl="3">
      <w:start w:val="1"/>
      <w:numFmt w:val="decimal"/>
      <w:isLgl/>
      <w:lvlText w:val="%1.%2.%3.%4"/>
      <w:lvlJc w:val="left"/>
      <w:pPr>
        <w:ind w:left="1200" w:hanging="840"/>
      </w:pPr>
      <w:rPr>
        <w:rFonts w:cs="Times New Roman" w:hint="default"/>
      </w:rPr>
    </w:lvl>
    <w:lvl w:ilvl="4">
      <w:start w:val="3"/>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75">
    <w:nsid w:val="15C56E0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6">
    <w:nsid w:val="15DD6AD2"/>
    <w:multiLevelType w:val="hybridMultilevel"/>
    <w:tmpl w:val="7472CFA6"/>
    <w:lvl w:ilvl="0" w:tplc="041B0017">
      <w:start w:val="1"/>
      <w:numFmt w:val="lowerLetter"/>
      <w:lvlText w:val="%1)"/>
      <w:lvlJc w:val="left"/>
      <w:pPr>
        <w:ind w:left="1004" w:hanging="360"/>
      </w:pPr>
      <w:rPr>
        <w:rFonts w:cs="Times New Roman"/>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77">
    <w:nsid w:val="161378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78">
    <w:nsid w:val="16351831"/>
    <w:multiLevelType w:val="hybridMultilevel"/>
    <w:tmpl w:val="92D0A158"/>
    <w:lvl w:ilvl="0" w:tplc="041B0011">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9">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0">
    <w:nsid w:val="173A4B38"/>
    <w:multiLevelType w:val="hybridMultilevel"/>
    <w:tmpl w:val="10FA973A"/>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1">
    <w:nsid w:val="178B6AC0"/>
    <w:multiLevelType w:val="hybridMultilevel"/>
    <w:tmpl w:val="06F8D830"/>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82">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83">
    <w:nsid w:val="17AD07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84">
    <w:nsid w:val="17B81F16"/>
    <w:multiLevelType w:val="hybridMultilevel"/>
    <w:tmpl w:val="668EB02E"/>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5">
    <w:nsid w:val="17DD1BA1"/>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86">
    <w:nsid w:val="18291051"/>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7">
    <w:nsid w:val="18331DD1"/>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8">
    <w:nsid w:val="18411B7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89">
    <w:nsid w:val="18A47D04"/>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90">
    <w:nsid w:val="19EE7D80"/>
    <w:multiLevelType w:val="hybridMultilevel"/>
    <w:tmpl w:val="2CC05094"/>
    <w:lvl w:ilvl="0" w:tplc="9E0CA4B0">
      <w:start w:val="1"/>
      <w:numFmt w:val="decimal"/>
      <w:lvlText w:val="%1."/>
      <w:lvlJc w:val="left"/>
      <w:pPr>
        <w:ind w:left="4897" w:hanging="360"/>
      </w:pPr>
      <w:rPr>
        <w:rFonts w:cs="Times New Roman" w:hint="default"/>
        <w:b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1">
    <w:nsid w:val="1A114544"/>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92">
    <w:nsid w:val="1A5B5AD1"/>
    <w:multiLevelType w:val="hybridMultilevel"/>
    <w:tmpl w:val="95C66918"/>
    <w:lvl w:ilvl="0" w:tplc="041B0017">
      <w:start w:val="1"/>
      <w:numFmt w:val="lowerLetter"/>
      <w:lvlText w:val="%1)"/>
      <w:lvlJc w:val="left"/>
      <w:pPr>
        <w:ind w:left="1866" w:hanging="360"/>
      </w:pPr>
      <w:rPr>
        <w:rFonts w:cs="Times New Roman"/>
      </w:rPr>
    </w:lvl>
    <w:lvl w:ilvl="1" w:tplc="041B0019" w:tentative="1">
      <w:start w:val="1"/>
      <w:numFmt w:val="lowerLetter"/>
      <w:lvlText w:val="%2."/>
      <w:lvlJc w:val="left"/>
      <w:pPr>
        <w:ind w:left="2586" w:hanging="360"/>
      </w:pPr>
      <w:rPr>
        <w:rFonts w:cs="Times New Roman"/>
      </w:rPr>
    </w:lvl>
    <w:lvl w:ilvl="2" w:tplc="041B001B" w:tentative="1">
      <w:start w:val="1"/>
      <w:numFmt w:val="lowerRoman"/>
      <w:lvlText w:val="%3."/>
      <w:lvlJc w:val="right"/>
      <w:pPr>
        <w:ind w:left="3306" w:hanging="180"/>
      </w:pPr>
      <w:rPr>
        <w:rFonts w:cs="Times New Roman"/>
      </w:rPr>
    </w:lvl>
    <w:lvl w:ilvl="3" w:tplc="041B000F" w:tentative="1">
      <w:start w:val="1"/>
      <w:numFmt w:val="decimal"/>
      <w:lvlText w:val="%4."/>
      <w:lvlJc w:val="left"/>
      <w:pPr>
        <w:ind w:left="4026" w:hanging="360"/>
      </w:pPr>
      <w:rPr>
        <w:rFonts w:cs="Times New Roman"/>
      </w:rPr>
    </w:lvl>
    <w:lvl w:ilvl="4" w:tplc="041B0019" w:tentative="1">
      <w:start w:val="1"/>
      <w:numFmt w:val="lowerLetter"/>
      <w:lvlText w:val="%5."/>
      <w:lvlJc w:val="left"/>
      <w:pPr>
        <w:ind w:left="4746" w:hanging="360"/>
      </w:pPr>
      <w:rPr>
        <w:rFonts w:cs="Times New Roman"/>
      </w:rPr>
    </w:lvl>
    <w:lvl w:ilvl="5" w:tplc="041B001B" w:tentative="1">
      <w:start w:val="1"/>
      <w:numFmt w:val="lowerRoman"/>
      <w:lvlText w:val="%6."/>
      <w:lvlJc w:val="right"/>
      <w:pPr>
        <w:ind w:left="5466" w:hanging="180"/>
      </w:pPr>
      <w:rPr>
        <w:rFonts w:cs="Times New Roman"/>
      </w:rPr>
    </w:lvl>
    <w:lvl w:ilvl="6" w:tplc="041B000F" w:tentative="1">
      <w:start w:val="1"/>
      <w:numFmt w:val="decimal"/>
      <w:lvlText w:val="%7."/>
      <w:lvlJc w:val="left"/>
      <w:pPr>
        <w:ind w:left="6186" w:hanging="360"/>
      </w:pPr>
      <w:rPr>
        <w:rFonts w:cs="Times New Roman"/>
      </w:rPr>
    </w:lvl>
    <w:lvl w:ilvl="7" w:tplc="041B0019" w:tentative="1">
      <w:start w:val="1"/>
      <w:numFmt w:val="lowerLetter"/>
      <w:lvlText w:val="%8."/>
      <w:lvlJc w:val="left"/>
      <w:pPr>
        <w:ind w:left="6906" w:hanging="360"/>
      </w:pPr>
      <w:rPr>
        <w:rFonts w:cs="Times New Roman"/>
      </w:rPr>
    </w:lvl>
    <w:lvl w:ilvl="8" w:tplc="041B001B" w:tentative="1">
      <w:start w:val="1"/>
      <w:numFmt w:val="lowerRoman"/>
      <w:lvlText w:val="%9."/>
      <w:lvlJc w:val="right"/>
      <w:pPr>
        <w:ind w:left="7626" w:hanging="180"/>
      </w:pPr>
      <w:rPr>
        <w:rFonts w:cs="Times New Roman"/>
      </w:rPr>
    </w:lvl>
  </w:abstractNum>
  <w:abstractNum w:abstractNumId="93">
    <w:nsid w:val="1A6427D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4">
    <w:nsid w:val="1A7C38AC"/>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5">
    <w:nsid w:val="1ACD7251"/>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6">
    <w:nsid w:val="1AE036AB"/>
    <w:multiLevelType w:val="hybridMultilevel"/>
    <w:tmpl w:val="EC341F8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7">
    <w:nsid w:val="1B2640A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98">
    <w:nsid w:val="1B36214A"/>
    <w:multiLevelType w:val="hybridMultilevel"/>
    <w:tmpl w:val="50B0035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CD66729C">
      <w:start w:val="1"/>
      <w:numFmt w:val="lowerLetter"/>
      <w:lvlText w:val="%3)"/>
      <w:lvlJc w:val="left"/>
      <w:pPr>
        <w:ind w:left="2385" w:hanging="405"/>
      </w:pPr>
      <w:rPr>
        <w:rFonts w:cs="Times New Roman" w:hint="default"/>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99">
    <w:nsid w:val="1C23203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0">
    <w:nsid w:val="1CD725C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1">
    <w:nsid w:val="1D0A4F9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02">
    <w:nsid w:val="1D7372DC"/>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3">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cs="Times New Roman" w:hint="default"/>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04">
    <w:nsid w:val="1D9D36E9"/>
    <w:multiLevelType w:val="hybridMultilevel"/>
    <w:tmpl w:val="B48CF416"/>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5">
    <w:nsid w:val="1DD22B00"/>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6">
    <w:nsid w:val="1DFD202D"/>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07">
    <w:nsid w:val="1E2110B2"/>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8">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9">
    <w:nsid w:val="1E8763A6"/>
    <w:multiLevelType w:val="hybridMultilevel"/>
    <w:tmpl w:val="83B887C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0">
    <w:nsid w:val="1ED501CE"/>
    <w:multiLevelType w:val="hybridMultilevel"/>
    <w:tmpl w:val="11264036"/>
    <w:lvl w:ilvl="0" w:tplc="041B000F">
      <w:start w:val="1"/>
      <w:numFmt w:val="decimal"/>
      <w:lvlText w:val="%1."/>
      <w:lvlJc w:val="left"/>
      <w:pPr>
        <w:ind w:left="4897"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1">
    <w:nsid w:val="1EE14807"/>
    <w:multiLevelType w:val="hybridMultilevel"/>
    <w:tmpl w:val="FDA6561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2">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13">
    <w:nsid w:val="1F3028F3"/>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4">
    <w:nsid w:val="1F6340AE"/>
    <w:multiLevelType w:val="hybridMultilevel"/>
    <w:tmpl w:val="14FC5D8E"/>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15">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6">
    <w:nsid w:val="1F9C53E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17">
    <w:nsid w:val="1FC3351E"/>
    <w:multiLevelType w:val="hybridMultilevel"/>
    <w:tmpl w:val="6DB40E42"/>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8">
    <w:nsid w:val="1FC73C11"/>
    <w:multiLevelType w:val="hybridMultilevel"/>
    <w:tmpl w:val="4BB83B4C"/>
    <w:lvl w:ilvl="0" w:tplc="DE1214B8">
      <w:start w:val="16"/>
      <w:numFmt w:val="bullet"/>
      <w:lvlText w:val="-"/>
      <w:lvlJc w:val="left"/>
      <w:pPr>
        <w:ind w:left="720" w:hanging="360"/>
      </w:pPr>
      <w:rPr>
        <w:rFonts w:ascii="Corbel" w:eastAsia="Times New Roman" w:hAnsi="Corbel"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9">
    <w:nsid w:val="20202FB2"/>
    <w:multiLevelType w:val="hybridMultilevel"/>
    <w:tmpl w:val="C428D43A"/>
    <w:lvl w:ilvl="0" w:tplc="4B6CCEA2">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20">
    <w:nsid w:val="20731C1D"/>
    <w:multiLevelType w:val="hybridMultilevel"/>
    <w:tmpl w:val="2332A33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1">
    <w:nsid w:val="2095231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22">
    <w:nsid w:val="21591DE6"/>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3">
    <w:nsid w:val="21951A2F"/>
    <w:multiLevelType w:val="hybridMultilevel"/>
    <w:tmpl w:val="3B00CB80"/>
    <w:lvl w:ilvl="0" w:tplc="1E863E60">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24">
    <w:nsid w:val="21F85A9F"/>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25">
    <w:nsid w:val="22F9611F"/>
    <w:multiLevelType w:val="hybridMultilevel"/>
    <w:tmpl w:val="29DA1D7E"/>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26">
    <w:nsid w:val="241C0E1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27">
    <w:nsid w:val="24545A80"/>
    <w:multiLevelType w:val="hybridMultilevel"/>
    <w:tmpl w:val="060C6F9E"/>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28">
    <w:nsid w:val="245B6BC9"/>
    <w:multiLevelType w:val="hybridMultilevel"/>
    <w:tmpl w:val="1EB8F6BC"/>
    <w:lvl w:ilvl="0" w:tplc="041B0017">
      <w:start w:val="1"/>
      <w:numFmt w:val="lowerLetter"/>
      <w:lvlText w:val="%1)"/>
      <w:lvlJc w:val="left"/>
      <w:pPr>
        <w:ind w:left="405" w:hanging="360"/>
      </w:pPr>
      <w:rPr>
        <w:rFonts w:cs="Times New Roman"/>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29">
    <w:nsid w:val="24FD2C5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30">
    <w:nsid w:val="259B5C2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1">
    <w:nsid w:val="261C2C25"/>
    <w:multiLevelType w:val="hybridMultilevel"/>
    <w:tmpl w:val="C8BC8FC6"/>
    <w:lvl w:ilvl="0" w:tplc="041B000F">
      <w:start w:val="1"/>
      <w:numFmt w:val="decimal"/>
      <w:lvlText w:val="%1."/>
      <w:lvlJc w:val="left"/>
      <w:pPr>
        <w:ind w:left="644" w:hanging="360"/>
      </w:pPr>
      <w:rPr>
        <w:rFonts w:cs="Times New Roman" w:hint="default"/>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2">
    <w:nsid w:val="265C3E91"/>
    <w:multiLevelType w:val="hybridMultilevel"/>
    <w:tmpl w:val="D4EE46C6"/>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33">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4">
    <w:nsid w:val="269C79D7"/>
    <w:multiLevelType w:val="hybridMultilevel"/>
    <w:tmpl w:val="F9D27440"/>
    <w:lvl w:ilvl="0" w:tplc="041B0017">
      <w:start w:val="1"/>
      <w:numFmt w:val="lowerLetter"/>
      <w:lvlText w:val="%1)"/>
      <w:lvlJc w:val="left"/>
      <w:pPr>
        <w:ind w:left="1080" w:hanging="360"/>
      </w:pPr>
      <w:rPr>
        <w:rFonts w:cs="Times New Roman"/>
      </w:rPr>
    </w:lvl>
    <w:lvl w:ilvl="1" w:tplc="041B0019" w:tentative="1">
      <w:start w:val="1"/>
      <w:numFmt w:val="lowerLetter"/>
      <w:lvlText w:val="%2."/>
      <w:lvlJc w:val="left"/>
      <w:pPr>
        <w:ind w:left="1800" w:hanging="360"/>
      </w:pPr>
      <w:rPr>
        <w:rFonts w:cs="Times New Roman"/>
      </w:rPr>
    </w:lvl>
    <w:lvl w:ilvl="2" w:tplc="041B001B" w:tentative="1">
      <w:start w:val="1"/>
      <w:numFmt w:val="lowerRoman"/>
      <w:lvlText w:val="%3."/>
      <w:lvlJc w:val="right"/>
      <w:pPr>
        <w:ind w:left="2520" w:hanging="180"/>
      </w:pPr>
      <w:rPr>
        <w:rFonts w:cs="Times New Roman"/>
      </w:rPr>
    </w:lvl>
    <w:lvl w:ilvl="3" w:tplc="041B000F" w:tentative="1">
      <w:start w:val="1"/>
      <w:numFmt w:val="decimal"/>
      <w:lvlText w:val="%4."/>
      <w:lvlJc w:val="left"/>
      <w:pPr>
        <w:ind w:left="3240" w:hanging="360"/>
      </w:pPr>
      <w:rPr>
        <w:rFonts w:cs="Times New Roman"/>
      </w:rPr>
    </w:lvl>
    <w:lvl w:ilvl="4" w:tplc="041B0019" w:tentative="1">
      <w:start w:val="1"/>
      <w:numFmt w:val="lowerLetter"/>
      <w:lvlText w:val="%5."/>
      <w:lvlJc w:val="left"/>
      <w:pPr>
        <w:ind w:left="3960" w:hanging="360"/>
      </w:pPr>
      <w:rPr>
        <w:rFonts w:cs="Times New Roman"/>
      </w:rPr>
    </w:lvl>
    <w:lvl w:ilvl="5" w:tplc="041B001B" w:tentative="1">
      <w:start w:val="1"/>
      <w:numFmt w:val="lowerRoman"/>
      <w:lvlText w:val="%6."/>
      <w:lvlJc w:val="right"/>
      <w:pPr>
        <w:ind w:left="4680" w:hanging="180"/>
      </w:pPr>
      <w:rPr>
        <w:rFonts w:cs="Times New Roman"/>
      </w:rPr>
    </w:lvl>
    <w:lvl w:ilvl="6" w:tplc="041B000F" w:tentative="1">
      <w:start w:val="1"/>
      <w:numFmt w:val="decimal"/>
      <w:lvlText w:val="%7."/>
      <w:lvlJc w:val="left"/>
      <w:pPr>
        <w:ind w:left="5400" w:hanging="360"/>
      </w:pPr>
      <w:rPr>
        <w:rFonts w:cs="Times New Roman"/>
      </w:rPr>
    </w:lvl>
    <w:lvl w:ilvl="7" w:tplc="041B0019" w:tentative="1">
      <w:start w:val="1"/>
      <w:numFmt w:val="lowerLetter"/>
      <w:lvlText w:val="%8."/>
      <w:lvlJc w:val="left"/>
      <w:pPr>
        <w:ind w:left="6120" w:hanging="360"/>
      </w:pPr>
      <w:rPr>
        <w:rFonts w:cs="Times New Roman"/>
      </w:rPr>
    </w:lvl>
    <w:lvl w:ilvl="8" w:tplc="041B001B" w:tentative="1">
      <w:start w:val="1"/>
      <w:numFmt w:val="lowerRoman"/>
      <w:lvlText w:val="%9."/>
      <w:lvlJc w:val="right"/>
      <w:pPr>
        <w:ind w:left="6840" w:hanging="180"/>
      </w:pPr>
      <w:rPr>
        <w:rFonts w:cs="Times New Roman"/>
      </w:rPr>
    </w:lvl>
  </w:abstractNum>
  <w:abstractNum w:abstractNumId="135">
    <w:nsid w:val="26A65FB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36">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37">
    <w:nsid w:val="26CD3F93"/>
    <w:multiLevelType w:val="hybridMultilevel"/>
    <w:tmpl w:val="CED2E650"/>
    <w:lvl w:ilvl="0" w:tplc="4664F600">
      <w:start w:val="1"/>
      <w:numFmt w:val="decimal"/>
      <w:lvlText w:val="%1."/>
      <w:lvlJc w:val="left"/>
      <w:pPr>
        <w:ind w:left="720" w:hanging="360"/>
      </w:pPr>
      <w:rPr>
        <w:rFonts w:cs="Times New Roman" w:hint="default"/>
        <w:b w:val="0"/>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8">
    <w:nsid w:val="272C787D"/>
    <w:multiLevelType w:val="hybridMultilevel"/>
    <w:tmpl w:val="1EC82A2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39">
    <w:nsid w:val="274252F5"/>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140">
    <w:nsid w:val="276635A4"/>
    <w:multiLevelType w:val="hybridMultilevel"/>
    <w:tmpl w:val="190A03D4"/>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1">
    <w:nsid w:val="27CF63F2"/>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42">
    <w:nsid w:val="28185B00"/>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43">
    <w:nsid w:val="284777F3"/>
    <w:multiLevelType w:val="hybridMultilevel"/>
    <w:tmpl w:val="D4404B7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4">
    <w:nsid w:val="28A20E88"/>
    <w:multiLevelType w:val="hybridMultilevel"/>
    <w:tmpl w:val="48A436CE"/>
    <w:lvl w:ilvl="0" w:tplc="041B0011">
      <w:start w:val="1"/>
      <w:numFmt w:val="decimal"/>
      <w:lvlText w:val="%1)"/>
      <w:lvlJc w:val="left"/>
      <w:pPr>
        <w:ind w:left="2280" w:hanging="360"/>
      </w:pPr>
      <w:rPr>
        <w:rFonts w:cs="Times New Roman"/>
      </w:rPr>
    </w:lvl>
    <w:lvl w:ilvl="1" w:tplc="041B0019" w:tentative="1">
      <w:start w:val="1"/>
      <w:numFmt w:val="lowerLetter"/>
      <w:lvlText w:val="%2."/>
      <w:lvlJc w:val="left"/>
      <w:pPr>
        <w:ind w:left="3000" w:hanging="360"/>
      </w:pPr>
      <w:rPr>
        <w:rFonts w:cs="Times New Roman"/>
      </w:rPr>
    </w:lvl>
    <w:lvl w:ilvl="2" w:tplc="041B001B" w:tentative="1">
      <w:start w:val="1"/>
      <w:numFmt w:val="lowerRoman"/>
      <w:lvlText w:val="%3."/>
      <w:lvlJc w:val="right"/>
      <w:pPr>
        <w:ind w:left="3720" w:hanging="180"/>
      </w:pPr>
      <w:rPr>
        <w:rFonts w:cs="Times New Roman"/>
      </w:rPr>
    </w:lvl>
    <w:lvl w:ilvl="3" w:tplc="041B000F" w:tentative="1">
      <w:start w:val="1"/>
      <w:numFmt w:val="decimal"/>
      <w:lvlText w:val="%4."/>
      <w:lvlJc w:val="left"/>
      <w:pPr>
        <w:ind w:left="4440" w:hanging="360"/>
      </w:pPr>
      <w:rPr>
        <w:rFonts w:cs="Times New Roman"/>
      </w:rPr>
    </w:lvl>
    <w:lvl w:ilvl="4" w:tplc="041B0019" w:tentative="1">
      <w:start w:val="1"/>
      <w:numFmt w:val="lowerLetter"/>
      <w:lvlText w:val="%5."/>
      <w:lvlJc w:val="left"/>
      <w:pPr>
        <w:ind w:left="5160" w:hanging="360"/>
      </w:pPr>
      <w:rPr>
        <w:rFonts w:cs="Times New Roman"/>
      </w:rPr>
    </w:lvl>
    <w:lvl w:ilvl="5" w:tplc="041B001B" w:tentative="1">
      <w:start w:val="1"/>
      <w:numFmt w:val="lowerRoman"/>
      <w:lvlText w:val="%6."/>
      <w:lvlJc w:val="right"/>
      <w:pPr>
        <w:ind w:left="5880" w:hanging="180"/>
      </w:pPr>
      <w:rPr>
        <w:rFonts w:cs="Times New Roman"/>
      </w:rPr>
    </w:lvl>
    <w:lvl w:ilvl="6" w:tplc="041B000F" w:tentative="1">
      <w:start w:val="1"/>
      <w:numFmt w:val="decimal"/>
      <w:lvlText w:val="%7."/>
      <w:lvlJc w:val="left"/>
      <w:pPr>
        <w:ind w:left="6600" w:hanging="360"/>
      </w:pPr>
      <w:rPr>
        <w:rFonts w:cs="Times New Roman"/>
      </w:rPr>
    </w:lvl>
    <w:lvl w:ilvl="7" w:tplc="041B0019" w:tentative="1">
      <w:start w:val="1"/>
      <w:numFmt w:val="lowerLetter"/>
      <w:lvlText w:val="%8."/>
      <w:lvlJc w:val="left"/>
      <w:pPr>
        <w:ind w:left="7320" w:hanging="360"/>
      </w:pPr>
      <w:rPr>
        <w:rFonts w:cs="Times New Roman"/>
      </w:rPr>
    </w:lvl>
    <w:lvl w:ilvl="8" w:tplc="041B001B" w:tentative="1">
      <w:start w:val="1"/>
      <w:numFmt w:val="lowerRoman"/>
      <w:lvlText w:val="%9."/>
      <w:lvlJc w:val="right"/>
      <w:pPr>
        <w:ind w:left="8040" w:hanging="180"/>
      </w:pPr>
      <w:rPr>
        <w:rFonts w:cs="Times New Roman"/>
      </w:rPr>
    </w:lvl>
  </w:abstractNum>
  <w:abstractNum w:abstractNumId="145">
    <w:nsid w:val="28F3238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46">
    <w:nsid w:val="28FB4FB7"/>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147">
    <w:nsid w:val="296A0382"/>
    <w:multiLevelType w:val="hybridMultilevel"/>
    <w:tmpl w:val="96BAD5EE"/>
    <w:lvl w:ilvl="0" w:tplc="041B0017">
      <w:start w:val="1"/>
      <w:numFmt w:val="lowerLetter"/>
      <w:lvlText w:val="%1)"/>
      <w:lvlJc w:val="left"/>
      <w:pPr>
        <w:ind w:left="1429" w:hanging="360"/>
      </w:pPr>
      <w:rPr>
        <w:rFonts w:cs="Times New Roman" w:hint="default"/>
      </w:rPr>
    </w:lvl>
    <w:lvl w:ilvl="1" w:tplc="041B0003" w:tentative="1">
      <w:start w:val="1"/>
      <w:numFmt w:val="bullet"/>
      <w:lvlText w:val="o"/>
      <w:lvlJc w:val="left"/>
      <w:pPr>
        <w:ind w:left="2149" w:hanging="360"/>
      </w:pPr>
      <w:rPr>
        <w:rFonts w:ascii="Courier New" w:hAnsi="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48">
    <w:nsid w:val="297073E5"/>
    <w:multiLevelType w:val="hybridMultilevel"/>
    <w:tmpl w:val="F4D428E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49">
    <w:nsid w:val="29712080"/>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0">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51">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52">
    <w:nsid w:val="2A5A05EC"/>
    <w:multiLevelType w:val="hybridMultilevel"/>
    <w:tmpl w:val="8F3C63B4"/>
    <w:lvl w:ilvl="0" w:tplc="041B001B">
      <w:start w:val="1"/>
      <w:numFmt w:val="lowerRoman"/>
      <w:lvlText w:val="%1."/>
      <w:lvlJc w:val="right"/>
      <w:pPr>
        <w:ind w:left="1713" w:hanging="360"/>
      </w:pPr>
      <w:rPr>
        <w:rFonts w:cs="Times New Roman"/>
        <w:b w:val="0"/>
        <w:i w:val="0"/>
      </w:rPr>
    </w:lvl>
    <w:lvl w:ilvl="1" w:tplc="041B0019">
      <w:start w:val="1"/>
      <w:numFmt w:val="lowerLetter"/>
      <w:lvlText w:val="%2."/>
      <w:lvlJc w:val="left"/>
      <w:pPr>
        <w:ind w:left="2433" w:hanging="360"/>
      </w:pPr>
      <w:rPr>
        <w:rFonts w:cs="Times New Roman"/>
      </w:rPr>
    </w:lvl>
    <w:lvl w:ilvl="2" w:tplc="041B001B">
      <w:start w:val="1"/>
      <w:numFmt w:val="lowerRoman"/>
      <w:lvlText w:val="%3."/>
      <w:lvlJc w:val="right"/>
      <w:pPr>
        <w:ind w:left="3153" w:hanging="180"/>
      </w:pPr>
      <w:rPr>
        <w:rFonts w:cs="Times New Roman"/>
      </w:rPr>
    </w:lvl>
    <w:lvl w:ilvl="3" w:tplc="041B000F">
      <w:start w:val="1"/>
      <w:numFmt w:val="decimal"/>
      <w:lvlText w:val="%4."/>
      <w:lvlJc w:val="left"/>
      <w:pPr>
        <w:ind w:left="3873" w:hanging="360"/>
      </w:pPr>
      <w:rPr>
        <w:rFonts w:cs="Times New Roman"/>
      </w:rPr>
    </w:lvl>
    <w:lvl w:ilvl="4" w:tplc="041B0019">
      <w:start w:val="1"/>
      <w:numFmt w:val="lowerLetter"/>
      <w:lvlText w:val="%5."/>
      <w:lvlJc w:val="left"/>
      <w:pPr>
        <w:ind w:left="4593" w:hanging="360"/>
      </w:pPr>
      <w:rPr>
        <w:rFonts w:cs="Times New Roman"/>
      </w:rPr>
    </w:lvl>
    <w:lvl w:ilvl="5" w:tplc="041B001B">
      <w:start w:val="1"/>
      <w:numFmt w:val="lowerRoman"/>
      <w:lvlText w:val="%6."/>
      <w:lvlJc w:val="right"/>
      <w:pPr>
        <w:ind w:left="5313" w:hanging="180"/>
      </w:pPr>
      <w:rPr>
        <w:rFonts w:cs="Times New Roman"/>
      </w:rPr>
    </w:lvl>
    <w:lvl w:ilvl="6" w:tplc="041B000F">
      <w:start w:val="1"/>
      <w:numFmt w:val="decimal"/>
      <w:lvlText w:val="%7."/>
      <w:lvlJc w:val="left"/>
      <w:pPr>
        <w:ind w:left="6033" w:hanging="360"/>
      </w:pPr>
      <w:rPr>
        <w:rFonts w:cs="Times New Roman"/>
      </w:rPr>
    </w:lvl>
    <w:lvl w:ilvl="7" w:tplc="041B0019">
      <w:start w:val="1"/>
      <w:numFmt w:val="lowerLetter"/>
      <w:lvlText w:val="%8."/>
      <w:lvlJc w:val="left"/>
      <w:pPr>
        <w:ind w:left="6753" w:hanging="360"/>
      </w:pPr>
      <w:rPr>
        <w:rFonts w:cs="Times New Roman"/>
      </w:rPr>
    </w:lvl>
    <w:lvl w:ilvl="8" w:tplc="041B001B">
      <w:start w:val="1"/>
      <w:numFmt w:val="lowerRoman"/>
      <w:lvlText w:val="%9."/>
      <w:lvlJc w:val="right"/>
      <w:pPr>
        <w:ind w:left="7473" w:hanging="180"/>
      </w:pPr>
      <w:rPr>
        <w:rFonts w:cs="Times New Roman"/>
      </w:rPr>
    </w:lvl>
  </w:abstractNum>
  <w:abstractNum w:abstractNumId="153">
    <w:nsid w:val="2A80282D"/>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4">
    <w:nsid w:val="2AA1110B"/>
    <w:multiLevelType w:val="hybridMultilevel"/>
    <w:tmpl w:val="19042596"/>
    <w:lvl w:ilvl="0" w:tplc="4664F600">
      <w:start w:val="1"/>
      <w:numFmt w:val="decimal"/>
      <w:lvlText w:val="%1."/>
      <w:lvlJc w:val="left"/>
      <w:pPr>
        <w:ind w:left="720" w:hanging="360"/>
      </w:pPr>
      <w:rPr>
        <w:rFonts w:cs="Times New Roman" w:hint="default"/>
        <w:b w:val="0"/>
        <w:i w:val="0"/>
      </w:rPr>
    </w:lvl>
    <w:lvl w:ilvl="1" w:tplc="041B0017">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5">
    <w:nsid w:val="2AD02197"/>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56">
    <w:nsid w:val="2C463B1D"/>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57">
    <w:nsid w:val="2C492C3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58">
    <w:nsid w:val="2C752FD1"/>
    <w:multiLevelType w:val="hybridMultilevel"/>
    <w:tmpl w:val="12D82C3C"/>
    <w:lvl w:ilvl="0" w:tplc="112C3448">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159">
    <w:nsid w:val="2D7E66A4"/>
    <w:multiLevelType w:val="hybridMultilevel"/>
    <w:tmpl w:val="C0389C2A"/>
    <w:lvl w:ilvl="0" w:tplc="041B0017">
      <w:start w:val="1"/>
      <w:numFmt w:val="lowerLetter"/>
      <w:lvlText w:val="%1)"/>
      <w:lvlJc w:val="left"/>
      <w:pPr>
        <w:tabs>
          <w:tab w:val="num" w:pos="720"/>
        </w:tabs>
        <w:ind w:left="720" w:hanging="360"/>
      </w:pPr>
      <w:rPr>
        <w:rFonts w:cs="Times New Roman" w:hint="default"/>
      </w:rPr>
    </w:lvl>
    <w:lvl w:ilvl="1" w:tplc="041B0003">
      <w:start w:val="1"/>
      <w:numFmt w:val="bullet"/>
      <w:lvlText w:val="o"/>
      <w:lvlJc w:val="left"/>
      <w:pPr>
        <w:tabs>
          <w:tab w:val="num" w:pos="1440"/>
        </w:tabs>
        <w:ind w:left="1440" w:hanging="360"/>
      </w:pPr>
      <w:rPr>
        <w:rFonts w:ascii="Courier New" w:hAnsi="Courier New"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60">
    <w:nsid w:val="2D7F0E9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61">
    <w:nsid w:val="2D9F60D8"/>
    <w:multiLevelType w:val="hybridMultilevel"/>
    <w:tmpl w:val="F7180228"/>
    <w:lvl w:ilvl="0" w:tplc="041B000F">
      <w:start w:val="1"/>
      <w:numFmt w:val="decimal"/>
      <w:lvlText w:val="%1."/>
      <w:lvlJc w:val="left"/>
      <w:pPr>
        <w:ind w:left="1211"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162">
    <w:nsid w:val="2E2571A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63">
    <w:nsid w:val="2E6058C3"/>
    <w:multiLevelType w:val="hybridMultilevel"/>
    <w:tmpl w:val="F1F262F8"/>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4">
    <w:nsid w:val="2EB75093"/>
    <w:multiLevelType w:val="hybridMultilevel"/>
    <w:tmpl w:val="9AE83C9E"/>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5">
    <w:nsid w:val="2EFB0AB9"/>
    <w:multiLevelType w:val="hybridMultilevel"/>
    <w:tmpl w:val="1E1A3FF4"/>
    <w:lvl w:ilvl="0" w:tplc="041B0017">
      <w:start w:val="1"/>
      <w:numFmt w:val="lowerLetter"/>
      <w:lvlText w:val="%1)"/>
      <w:lvlJc w:val="left"/>
      <w:pPr>
        <w:ind w:left="786" w:hanging="360"/>
      </w:pPr>
      <w:rPr>
        <w:rFonts w:cs="Times New Roman" w:hint="default"/>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66">
    <w:nsid w:val="2F1C7056"/>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7">
    <w:nsid w:val="302A069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8">
    <w:nsid w:val="310D6CA9"/>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69">
    <w:nsid w:val="329B2B79"/>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70">
    <w:nsid w:val="32A23975"/>
    <w:multiLevelType w:val="hybridMultilevel"/>
    <w:tmpl w:val="510CA8B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1">
    <w:nsid w:val="32CF7320"/>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2">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3">
    <w:nsid w:val="33590BF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74">
    <w:nsid w:val="3376643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75">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6">
    <w:nsid w:val="33B56915"/>
    <w:multiLevelType w:val="hybridMultilevel"/>
    <w:tmpl w:val="D70C7F44"/>
    <w:lvl w:ilvl="0" w:tplc="041B0017">
      <w:start w:val="1"/>
      <w:numFmt w:val="lowerLetter"/>
      <w:lvlText w:val="%1)"/>
      <w:lvlJc w:val="left"/>
      <w:pPr>
        <w:ind w:left="1068" w:hanging="360"/>
      </w:pPr>
      <w:rPr>
        <w:rFonts w:cs="Times New Roman" w:hint="default"/>
      </w:rPr>
    </w:lvl>
    <w:lvl w:ilvl="1" w:tplc="041B0019" w:tentative="1">
      <w:start w:val="1"/>
      <w:numFmt w:val="lowerLetter"/>
      <w:lvlText w:val="%2."/>
      <w:lvlJc w:val="left"/>
      <w:pPr>
        <w:ind w:left="1788" w:hanging="360"/>
      </w:pPr>
      <w:rPr>
        <w:rFonts w:cs="Times New Roman"/>
      </w:rPr>
    </w:lvl>
    <w:lvl w:ilvl="2" w:tplc="041B001B" w:tentative="1">
      <w:start w:val="1"/>
      <w:numFmt w:val="lowerRoman"/>
      <w:lvlText w:val="%3."/>
      <w:lvlJc w:val="right"/>
      <w:pPr>
        <w:ind w:left="2508" w:hanging="180"/>
      </w:pPr>
      <w:rPr>
        <w:rFonts w:cs="Times New Roman"/>
      </w:rPr>
    </w:lvl>
    <w:lvl w:ilvl="3" w:tplc="041B000F" w:tentative="1">
      <w:start w:val="1"/>
      <w:numFmt w:val="decimal"/>
      <w:lvlText w:val="%4."/>
      <w:lvlJc w:val="left"/>
      <w:pPr>
        <w:ind w:left="3228" w:hanging="360"/>
      </w:pPr>
      <w:rPr>
        <w:rFonts w:cs="Times New Roman"/>
      </w:rPr>
    </w:lvl>
    <w:lvl w:ilvl="4" w:tplc="041B0019" w:tentative="1">
      <w:start w:val="1"/>
      <w:numFmt w:val="lowerLetter"/>
      <w:lvlText w:val="%5."/>
      <w:lvlJc w:val="left"/>
      <w:pPr>
        <w:ind w:left="3948" w:hanging="360"/>
      </w:pPr>
      <w:rPr>
        <w:rFonts w:cs="Times New Roman"/>
      </w:rPr>
    </w:lvl>
    <w:lvl w:ilvl="5" w:tplc="041B001B" w:tentative="1">
      <w:start w:val="1"/>
      <w:numFmt w:val="lowerRoman"/>
      <w:lvlText w:val="%6."/>
      <w:lvlJc w:val="right"/>
      <w:pPr>
        <w:ind w:left="4668" w:hanging="180"/>
      </w:pPr>
      <w:rPr>
        <w:rFonts w:cs="Times New Roman"/>
      </w:rPr>
    </w:lvl>
    <w:lvl w:ilvl="6" w:tplc="041B000F" w:tentative="1">
      <w:start w:val="1"/>
      <w:numFmt w:val="decimal"/>
      <w:lvlText w:val="%7."/>
      <w:lvlJc w:val="left"/>
      <w:pPr>
        <w:ind w:left="5388" w:hanging="360"/>
      </w:pPr>
      <w:rPr>
        <w:rFonts w:cs="Times New Roman"/>
      </w:rPr>
    </w:lvl>
    <w:lvl w:ilvl="7" w:tplc="041B0019" w:tentative="1">
      <w:start w:val="1"/>
      <w:numFmt w:val="lowerLetter"/>
      <w:lvlText w:val="%8."/>
      <w:lvlJc w:val="left"/>
      <w:pPr>
        <w:ind w:left="6108" w:hanging="360"/>
      </w:pPr>
      <w:rPr>
        <w:rFonts w:cs="Times New Roman"/>
      </w:rPr>
    </w:lvl>
    <w:lvl w:ilvl="8" w:tplc="041B001B" w:tentative="1">
      <w:start w:val="1"/>
      <w:numFmt w:val="lowerRoman"/>
      <w:lvlText w:val="%9."/>
      <w:lvlJc w:val="right"/>
      <w:pPr>
        <w:ind w:left="6828" w:hanging="180"/>
      </w:pPr>
      <w:rPr>
        <w:rFonts w:cs="Times New Roman"/>
      </w:rPr>
    </w:lvl>
  </w:abstractNum>
  <w:abstractNum w:abstractNumId="177">
    <w:nsid w:val="33DA7670"/>
    <w:multiLevelType w:val="hybridMultilevel"/>
    <w:tmpl w:val="07CA2E0E"/>
    <w:lvl w:ilvl="0" w:tplc="041B0017">
      <w:start w:val="1"/>
      <w:numFmt w:val="lowerLetter"/>
      <w:lvlText w:val="%1)"/>
      <w:lvlJc w:val="left"/>
      <w:pPr>
        <w:ind w:left="3552" w:hanging="360"/>
      </w:pPr>
      <w:rPr>
        <w:rFonts w:cs="Times New Roman" w:hint="default"/>
      </w:rPr>
    </w:lvl>
    <w:lvl w:ilvl="1" w:tplc="041B0003" w:tentative="1">
      <w:start w:val="1"/>
      <w:numFmt w:val="bullet"/>
      <w:lvlText w:val="o"/>
      <w:lvlJc w:val="left"/>
      <w:pPr>
        <w:ind w:left="4272" w:hanging="360"/>
      </w:pPr>
      <w:rPr>
        <w:rFonts w:ascii="Courier New" w:hAnsi="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178">
    <w:nsid w:val="3403249A"/>
    <w:multiLevelType w:val="hybridMultilevel"/>
    <w:tmpl w:val="05EC6B2A"/>
    <w:lvl w:ilvl="0" w:tplc="4664F600">
      <w:start w:val="1"/>
      <w:numFmt w:val="decimal"/>
      <w:lvlText w:val="%1."/>
      <w:lvlJc w:val="left"/>
      <w:pPr>
        <w:ind w:left="720" w:hanging="360"/>
      </w:pPr>
      <w:rPr>
        <w:rFonts w:cs="Times New Roman" w:hint="default"/>
        <w:b w:val="0"/>
        <w:i w:val="0"/>
      </w:rPr>
    </w:lvl>
    <w:lvl w:ilvl="1" w:tplc="8E6C2CDA">
      <w:start w:val="1"/>
      <w:numFmt w:val="lowerLetter"/>
      <w:lvlText w:val="%2."/>
      <w:lvlJc w:val="left"/>
      <w:pPr>
        <w:ind w:left="1440" w:hanging="360"/>
      </w:pPr>
      <w:rPr>
        <w:rFonts w:cs="Times New Roman"/>
        <w:b w:val="0"/>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9">
    <w:nsid w:val="347A5F7B"/>
    <w:multiLevelType w:val="hybridMultilevel"/>
    <w:tmpl w:val="52DE9966"/>
    <w:lvl w:ilvl="0" w:tplc="041B0011">
      <w:start w:val="1"/>
      <w:numFmt w:val="decimal"/>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80">
    <w:nsid w:val="35165970"/>
    <w:multiLevelType w:val="hybridMultilevel"/>
    <w:tmpl w:val="F82AF99A"/>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181">
    <w:nsid w:val="35262C49"/>
    <w:multiLevelType w:val="hybridMultilevel"/>
    <w:tmpl w:val="33FA81E0"/>
    <w:lvl w:ilvl="0" w:tplc="041B000F">
      <w:start w:val="1"/>
      <w:numFmt w:val="decimal"/>
      <w:lvlText w:val="%1."/>
      <w:lvlJc w:val="left"/>
      <w:pPr>
        <w:ind w:left="720" w:hanging="360"/>
      </w:pPr>
      <w:rPr>
        <w:rFonts w:cs="Times New Roman" w:hint="default"/>
        <w:sz w:val="24"/>
        <w:szCs w:val="24"/>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2">
    <w:nsid w:val="35B759FA"/>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3">
    <w:nsid w:val="35CD3E0E"/>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184">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5">
    <w:nsid w:val="36870BF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186">
    <w:nsid w:val="36C14A35"/>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187">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8">
    <w:nsid w:val="37656981"/>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9">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0">
    <w:nsid w:val="38332DDD"/>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91">
    <w:nsid w:val="387F25CF"/>
    <w:multiLevelType w:val="hybridMultilevel"/>
    <w:tmpl w:val="556EE9EA"/>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2">
    <w:nsid w:val="39035F64"/>
    <w:multiLevelType w:val="hybridMultilevel"/>
    <w:tmpl w:val="EF9818A4"/>
    <w:lvl w:ilvl="0" w:tplc="041B0017">
      <w:start w:val="1"/>
      <w:numFmt w:val="lowerLetter"/>
      <w:lvlText w:val="%1)"/>
      <w:lvlJc w:val="left"/>
      <w:pPr>
        <w:ind w:left="1146" w:hanging="360"/>
      </w:pPr>
      <w:rPr>
        <w:rFonts w:cs="Times New Roman"/>
      </w:rPr>
    </w:lvl>
    <w:lvl w:ilvl="1" w:tplc="041B0017">
      <w:start w:val="1"/>
      <w:numFmt w:val="lowerLetter"/>
      <w:lvlText w:val="%2)"/>
      <w:lvlJc w:val="left"/>
      <w:pPr>
        <w:ind w:left="1866" w:hanging="360"/>
      </w:pPr>
      <w:rPr>
        <w:rFonts w:cs="Times New Roman"/>
      </w:rPr>
    </w:lvl>
    <w:lvl w:ilvl="2" w:tplc="C99AD1F6">
      <w:start w:val="69"/>
      <w:numFmt w:val="decimal"/>
      <w:lvlText w:val="%3."/>
      <w:lvlJc w:val="left"/>
      <w:pPr>
        <w:ind w:left="2766" w:hanging="360"/>
      </w:pPr>
      <w:rPr>
        <w:rFonts w:cs="Times New Roman" w:hint="default"/>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193">
    <w:nsid w:val="390C4FB2"/>
    <w:multiLevelType w:val="hybridMultilevel"/>
    <w:tmpl w:val="EB128FF8"/>
    <w:lvl w:ilvl="0" w:tplc="041B000F">
      <w:start w:val="1"/>
      <w:numFmt w:val="decimal"/>
      <w:lvlText w:val="%1."/>
      <w:lvlJc w:val="left"/>
      <w:pPr>
        <w:tabs>
          <w:tab w:val="num" w:pos="360"/>
        </w:tabs>
        <w:ind w:left="360" w:hanging="360"/>
      </w:pPr>
      <w:rPr>
        <w:rFonts w:cs="Times New Roman"/>
      </w:r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hint="default"/>
      </w:rPr>
    </w:lvl>
    <w:lvl w:ilvl="3" w:tplc="5F42D948">
      <w:start w:val="1"/>
      <w:numFmt w:val="upperLetter"/>
      <w:lvlText w:val="%4."/>
      <w:lvlJc w:val="left"/>
      <w:pPr>
        <w:ind w:left="2520" w:hanging="360"/>
      </w:pPr>
      <w:rPr>
        <w:rFonts w:cs="Times New Roman" w:hint="default"/>
      </w:rPr>
    </w:lvl>
    <w:lvl w:ilvl="4" w:tplc="041B0019" w:tentative="1">
      <w:start w:val="1"/>
      <w:numFmt w:val="lowerLetter"/>
      <w:lvlText w:val="%5."/>
      <w:lvlJc w:val="left"/>
      <w:pPr>
        <w:tabs>
          <w:tab w:val="num" w:pos="3240"/>
        </w:tabs>
        <w:ind w:left="3240" w:hanging="360"/>
      </w:pPr>
      <w:rPr>
        <w:rFonts w:cs="Times New Roman"/>
      </w:rPr>
    </w:lvl>
    <w:lvl w:ilvl="5" w:tplc="041B001B" w:tentative="1">
      <w:start w:val="1"/>
      <w:numFmt w:val="lowerRoman"/>
      <w:lvlText w:val="%6."/>
      <w:lvlJc w:val="right"/>
      <w:pPr>
        <w:tabs>
          <w:tab w:val="num" w:pos="3960"/>
        </w:tabs>
        <w:ind w:left="3960" w:hanging="180"/>
      </w:pPr>
      <w:rPr>
        <w:rFonts w:cs="Times New Roman"/>
      </w:rPr>
    </w:lvl>
    <w:lvl w:ilvl="6" w:tplc="041B000F" w:tentative="1">
      <w:start w:val="1"/>
      <w:numFmt w:val="decimal"/>
      <w:lvlText w:val="%7."/>
      <w:lvlJc w:val="left"/>
      <w:pPr>
        <w:tabs>
          <w:tab w:val="num" w:pos="4680"/>
        </w:tabs>
        <w:ind w:left="4680" w:hanging="360"/>
      </w:pPr>
      <w:rPr>
        <w:rFonts w:cs="Times New Roman"/>
      </w:rPr>
    </w:lvl>
    <w:lvl w:ilvl="7" w:tplc="041B0019" w:tentative="1">
      <w:start w:val="1"/>
      <w:numFmt w:val="lowerLetter"/>
      <w:lvlText w:val="%8."/>
      <w:lvlJc w:val="left"/>
      <w:pPr>
        <w:tabs>
          <w:tab w:val="num" w:pos="5400"/>
        </w:tabs>
        <w:ind w:left="5400" w:hanging="360"/>
      </w:pPr>
      <w:rPr>
        <w:rFonts w:cs="Times New Roman"/>
      </w:rPr>
    </w:lvl>
    <w:lvl w:ilvl="8" w:tplc="041B001B" w:tentative="1">
      <w:start w:val="1"/>
      <w:numFmt w:val="lowerRoman"/>
      <w:lvlText w:val="%9."/>
      <w:lvlJc w:val="right"/>
      <w:pPr>
        <w:tabs>
          <w:tab w:val="num" w:pos="6120"/>
        </w:tabs>
        <w:ind w:left="6120" w:hanging="180"/>
      </w:pPr>
      <w:rPr>
        <w:rFonts w:cs="Times New Roman"/>
      </w:rPr>
    </w:lvl>
  </w:abstractNum>
  <w:abstractNum w:abstractNumId="194">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95">
    <w:nsid w:val="39831A70"/>
    <w:multiLevelType w:val="hybridMultilevel"/>
    <w:tmpl w:val="17404004"/>
    <w:lvl w:ilvl="0" w:tplc="F82AFA12">
      <w:start w:val="1"/>
      <w:numFmt w:val="lowerLetter"/>
      <w:lvlText w:val="%1)"/>
      <w:lvlJc w:val="left"/>
      <w:pPr>
        <w:ind w:left="831" w:hanging="360"/>
      </w:pPr>
      <w:rPr>
        <w:rFonts w:cs="Times New Roman" w:hint="default"/>
      </w:rPr>
    </w:lvl>
    <w:lvl w:ilvl="1" w:tplc="041B0019" w:tentative="1">
      <w:start w:val="1"/>
      <w:numFmt w:val="lowerLetter"/>
      <w:lvlText w:val="%2."/>
      <w:lvlJc w:val="left"/>
      <w:pPr>
        <w:ind w:left="1551" w:hanging="360"/>
      </w:pPr>
      <w:rPr>
        <w:rFonts w:cs="Times New Roman"/>
      </w:rPr>
    </w:lvl>
    <w:lvl w:ilvl="2" w:tplc="041B001B" w:tentative="1">
      <w:start w:val="1"/>
      <w:numFmt w:val="lowerRoman"/>
      <w:lvlText w:val="%3."/>
      <w:lvlJc w:val="right"/>
      <w:pPr>
        <w:ind w:left="2271" w:hanging="180"/>
      </w:pPr>
      <w:rPr>
        <w:rFonts w:cs="Times New Roman"/>
      </w:rPr>
    </w:lvl>
    <w:lvl w:ilvl="3" w:tplc="041B000F" w:tentative="1">
      <w:start w:val="1"/>
      <w:numFmt w:val="decimal"/>
      <w:lvlText w:val="%4."/>
      <w:lvlJc w:val="left"/>
      <w:pPr>
        <w:ind w:left="2991" w:hanging="360"/>
      </w:pPr>
      <w:rPr>
        <w:rFonts w:cs="Times New Roman"/>
      </w:rPr>
    </w:lvl>
    <w:lvl w:ilvl="4" w:tplc="041B0019" w:tentative="1">
      <w:start w:val="1"/>
      <w:numFmt w:val="lowerLetter"/>
      <w:lvlText w:val="%5."/>
      <w:lvlJc w:val="left"/>
      <w:pPr>
        <w:ind w:left="3711" w:hanging="360"/>
      </w:pPr>
      <w:rPr>
        <w:rFonts w:cs="Times New Roman"/>
      </w:rPr>
    </w:lvl>
    <w:lvl w:ilvl="5" w:tplc="041B001B" w:tentative="1">
      <w:start w:val="1"/>
      <w:numFmt w:val="lowerRoman"/>
      <w:lvlText w:val="%6."/>
      <w:lvlJc w:val="right"/>
      <w:pPr>
        <w:ind w:left="4431" w:hanging="180"/>
      </w:pPr>
      <w:rPr>
        <w:rFonts w:cs="Times New Roman"/>
      </w:rPr>
    </w:lvl>
    <w:lvl w:ilvl="6" w:tplc="041B000F" w:tentative="1">
      <w:start w:val="1"/>
      <w:numFmt w:val="decimal"/>
      <w:lvlText w:val="%7."/>
      <w:lvlJc w:val="left"/>
      <w:pPr>
        <w:ind w:left="5151" w:hanging="360"/>
      </w:pPr>
      <w:rPr>
        <w:rFonts w:cs="Times New Roman"/>
      </w:rPr>
    </w:lvl>
    <w:lvl w:ilvl="7" w:tplc="041B0019" w:tentative="1">
      <w:start w:val="1"/>
      <w:numFmt w:val="lowerLetter"/>
      <w:lvlText w:val="%8."/>
      <w:lvlJc w:val="left"/>
      <w:pPr>
        <w:ind w:left="5871" w:hanging="360"/>
      </w:pPr>
      <w:rPr>
        <w:rFonts w:cs="Times New Roman"/>
      </w:rPr>
    </w:lvl>
    <w:lvl w:ilvl="8" w:tplc="041B001B" w:tentative="1">
      <w:start w:val="1"/>
      <w:numFmt w:val="lowerRoman"/>
      <w:lvlText w:val="%9."/>
      <w:lvlJc w:val="right"/>
      <w:pPr>
        <w:ind w:left="6591" w:hanging="180"/>
      </w:pPr>
      <w:rPr>
        <w:rFonts w:cs="Times New Roman"/>
      </w:rPr>
    </w:lvl>
  </w:abstractNum>
  <w:abstractNum w:abstractNumId="196">
    <w:nsid w:val="3AB7440B"/>
    <w:multiLevelType w:val="hybridMultilevel"/>
    <w:tmpl w:val="A808BD2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97">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198">
    <w:nsid w:val="3AEB0363"/>
    <w:multiLevelType w:val="hybridMultilevel"/>
    <w:tmpl w:val="46BAA3B4"/>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99">
    <w:nsid w:val="3B6670E4"/>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rPr>
        <w:rFonts w:cs="Times New Roman"/>
      </w:rPr>
    </w:lvl>
    <w:lvl w:ilvl="2" w:tplc="041B001B" w:tentative="1">
      <w:start w:val="1"/>
      <w:numFmt w:val="lowerRoman"/>
      <w:lvlText w:val="%3."/>
      <w:lvlJc w:val="right"/>
      <w:pPr>
        <w:tabs>
          <w:tab w:val="num" w:pos="2508"/>
        </w:tabs>
        <w:ind w:left="2508" w:hanging="180"/>
      </w:pPr>
      <w:rPr>
        <w:rFonts w:cs="Times New Roman"/>
      </w:rPr>
    </w:lvl>
    <w:lvl w:ilvl="3" w:tplc="041B000F" w:tentative="1">
      <w:start w:val="1"/>
      <w:numFmt w:val="decimal"/>
      <w:lvlText w:val="%4."/>
      <w:lvlJc w:val="left"/>
      <w:pPr>
        <w:tabs>
          <w:tab w:val="num" w:pos="3228"/>
        </w:tabs>
        <w:ind w:left="3228" w:hanging="360"/>
      </w:pPr>
      <w:rPr>
        <w:rFonts w:cs="Times New Roman"/>
      </w:rPr>
    </w:lvl>
    <w:lvl w:ilvl="4" w:tplc="041B0019" w:tentative="1">
      <w:start w:val="1"/>
      <w:numFmt w:val="lowerLetter"/>
      <w:lvlText w:val="%5."/>
      <w:lvlJc w:val="left"/>
      <w:pPr>
        <w:tabs>
          <w:tab w:val="num" w:pos="3948"/>
        </w:tabs>
        <w:ind w:left="3948" w:hanging="360"/>
      </w:pPr>
      <w:rPr>
        <w:rFonts w:cs="Times New Roman"/>
      </w:rPr>
    </w:lvl>
    <w:lvl w:ilvl="5" w:tplc="041B001B" w:tentative="1">
      <w:start w:val="1"/>
      <w:numFmt w:val="lowerRoman"/>
      <w:lvlText w:val="%6."/>
      <w:lvlJc w:val="right"/>
      <w:pPr>
        <w:tabs>
          <w:tab w:val="num" w:pos="4668"/>
        </w:tabs>
        <w:ind w:left="4668" w:hanging="180"/>
      </w:pPr>
      <w:rPr>
        <w:rFonts w:cs="Times New Roman"/>
      </w:rPr>
    </w:lvl>
    <w:lvl w:ilvl="6" w:tplc="041B000F" w:tentative="1">
      <w:start w:val="1"/>
      <w:numFmt w:val="decimal"/>
      <w:lvlText w:val="%7."/>
      <w:lvlJc w:val="left"/>
      <w:pPr>
        <w:tabs>
          <w:tab w:val="num" w:pos="5388"/>
        </w:tabs>
        <w:ind w:left="5388" w:hanging="360"/>
      </w:pPr>
      <w:rPr>
        <w:rFonts w:cs="Times New Roman"/>
      </w:rPr>
    </w:lvl>
    <w:lvl w:ilvl="7" w:tplc="041B0019" w:tentative="1">
      <w:start w:val="1"/>
      <w:numFmt w:val="lowerLetter"/>
      <w:lvlText w:val="%8."/>
      <w:lvlJc w:val="left"/>
      <w:pPr>
        <w:tabs>
          <w:tab w:val="num" w:pos="6108"/>
        </w:tabs>
        <w:ind w:left="6108" w:hanging="360"/>
      </w:pPr>
      <w:rPr>
        <w:rFonts w:cs="Times New Roman"/>
      </w:rPr>
    </w:lvl>
    <w:lvl w:ilvl="8" w:tplc="041B001B" w:tentative="1">
      <w:start w:val="1"/>
      <w:numFmt w:val="lowerRoman"/>
      <w:lvlText w:val="%9."/>
      <w:lvlJc w:val="right"/>
      <w:pPr>
        <w:tabs>
          <w:tab w:val="num" w:pos="6828"/>
        </w:tabs>
        <w:ind w:left="6828" w:hanging="180"/>
      </w:pPr>
      <w:rPr>
        <w:rFonts w:cs="Times New Roman"/>
      </w:rPr>
    </w:lvl>
  </w:abstractNum>
  <w:abstractNum w:abstractNumId="200">
    <w:nsid w:val="3BA44826"/>
    <w:multiLevelType w:val="hybridMultilevel"/>
    <w:tmpl w:val="35BE2552"/>
    <w:lvl w:ilvl="0" w:tplc="041B0017">
      <w:start w:val="1"/>
      <w:numFmt w:val="lowerLetter"/>
      <w:lvlText w:val="%1)"/>
      <w:lvlJc w:val="left"/>
      <w:pPr>
        <w:ind w:left="1146" w:hanging="360"/>
      </w:pPr>
      <w:rPr>
        <w:rFonts w:cs="Times New Roman"/>
      </w:rPr>
    </w:lvl>
    <w:lvl w:ilvl="1" w:tplc="041B0019" w:tentative="1">
      <w:start w:val="1"/>
      <w:numFmt w:val="lowerLetter"/>
      <w:lvlText w:val="%2."/>
      <w:lvlJc w:val="left"/>
      <w:pPr>
        <w:ind w:left="1866" w:hanging="360"/>
      </w:pPr>
      <w:rPr>
        <w:rFonts w:cs="Times New Roman"/>
      </w:rPr>
    </w:lvl>
    <w:lvl w:ilvl="2" w:tplc="041B001B" w:tentative="1">
      <w:start w:val="1"/>
      <w:numFmt w:val="lowerRoman"/>
      <w:lvlText w:val="%3."/>
      <w:lvlJc w:val="right"/>
      <w:pPr>
        <w:ind w:left="2586" w:hanging="180"/>
      </w:pPr>
      <w:rPr>
        <w:rFonts w:cs="Times New Roman"/>
      </w:rPr>
    </w:lvl>
    <w:lvl w:ilvl="3" w:tplc="041B000F" w:tentative="1">
      <w:start w:val="1"/>
      <w:numFmt w:val="decimal"/>
      <w:lvlText w:val="%4."/>
      <w:lvlJc w:val="left"/>
      <w:pPr>
        <w:ind w:left="3306" w:hanging="360"/>
      </w:pPr>
      <w:rPr>
        <w:rFonts w:cs="Times New Roman"/>
      </w:rPr>
    </w:lvl>
    <w:lvl w:ilvl="4" w:tplc="041B0019" w:tentative="1">
      <w:start w:val="1"/>
      <w:numFmt w:val="lowerLetter"/>
      <w:lvlText w:val="%5."/>
      <w:lvlJc w:val="left"/>
      <w:pPr>
        <w:ind w:left="4026" w:hanging="360"/>
      </w:pPr>
      <w:rPr>
        <w:rFonts w:cs="Times New Roman"/>
      </w:rPr>
    </w:lvl>
    <w:lvl w:ilvl="5" w:tplc="041B001B" w:tentative="1">
      <w:start w:val="1"/>
      <w:numFmt w:val="lowerRoman"/>
      <w:lvlText w:val="%6."/>
      <w:lvlJc w:val="right"/>
      <w:pPr>
        <w:ind w:left="4746" w:hanging="180"/>
      </w:pPr>
      <w:rPr>
        <w:rFonts w:cs="Times New Roman"/>
      </w:rPr>
    </w:lvl>
    <w:lvl w:ilvl="6" w:tplc="041B000F" w:tentative="1">
      <w:start w:val="1"/>
      <w:numFmt w:val="decimal"/>
      <w:lvlText w:val="%7."/>
      <w:lvlJc w:val="left"/>
      <w:pPr>
        <w:ind w:left="5466" w:hanging="360"/>
      </w:pPr>
      <w:rPr>
        <w:rFonts w:cs="Times New Roman"/>
      </w:rPr>
    </w:lvl>
    <w:lvl w:ilvl="7" w:tplc="041B0019" w:tentative="1">
      <w:start w:val="1"/>
      <w:numFmt w:val="lowerLetter"/>
      <w:lvlText w:val="%8."/>
      <w:lvlJc w:val="left"/>
      <w:pPr>
        <w:ind w:left="6186" w:hanging="360"/>
      </w:pPr>
      <w:rPr>
        <w:rFonts w:cs="Times New Roman"/>
      </w:rPr>
    </w:lvl>
    <w:lvl w:ilvl="8" w:tplc="041B001B" w:tentative="1">
      <w:start w:val="1"/>
      <w:numFmt w:val="lowerRoman"/>
      <w:lvlText w:val="%9."/>
      <w:lvlJc w:val="right"/>
      <w:pPr>
        <w:ind w:left="6906" w:hanging="180"/>
      </w:pPr>
      <w:rPr>
        <w:rFonts w:cs="Times New Roman"/>
      </w:rPr>
    </w:lvl>
  </w:abstractNum>
  <w:abstractNum w:abstractNumId="201">
    <w:nsid w:val="3CA11C6C"/>
    <w:multiLevelType w:val="hybridMultilevel"/>
    <w:tmpl w:val="0996155E"/>
    <w:lvl w:ilvl="0" w:tplc="75D04772">
      <w:start w:val="1"/>
      <w:numFmt w:val="decimal"/>
      <w:lvlText w:val="%1."/>
      <w:lvlJc w:val="left"/>
      <w:pPr>
        <w:ind w:left="1080" w:hanging="360"/>
      </w:pPr>
      <w:rPr>
        <w:rFonts w:cs="Times New Roman"/>
        <w:b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02">
    <w:nsid w:val="3CEE44F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03">
    <w:nsid w:val="3D005722"/>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4">
    <w:nsid w:val="3D2B67C4"/>
    <w:multiLevelType w:val="hybridMultilevel"/>
    <w:tmpl w:val="44B2ACB8"/>
    <w:lvl w:ilvl="0" w:tplc="041B000F">
      <w:start w:val="1"/>
      <w:numFmt w:val="decimal"/>
      <w:lvlText w:val="%1."/>
      <w:lvlJc w:val="left"/>
      <w:pPr>
        <w:ind w:left="4897" w:hanging="360"/>
      </w:pPr>
      <w:rPr>
        <w:rFonts w:cs="Times New Roman" w:hint="default"/>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5">
    <w:nsid w:val="3DF77703"/>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06">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7">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08">
    <w:nsid w:val="3E690298"/>
    <w:multiLevelType w:val="hybridMultilevel"/>
    <w:tmpl w:val="5DD42B4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09">
    <w:nsid w:val="3E7C5C87"/>
    <w:multiLevelType w:val="hybridMultilevel"/>
    <w:tmpl w:val="C8AE62D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0">
    <w:nsid w:val="3EA5760D"/>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1">
    <w:nsid w:val="3EFA300B"/>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2">
    <w:nsid w:val="3F28174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3">
    <w:nsid w:val="3F456C84"/>
    <w:multiLevelType w:val="hybridMultilevel"/>
    <w:tmpl w:val="6926676E"/>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14">
    <w:nsid w:val="3F8D39E3"/>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15">
    <w:nsid w:val="3FC068C8"/>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16">
    <w:nsid w:val="3FEA227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17">
    <w:nsid w:val="40541111"/>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18">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9">
    <w:nsid w:val="40DD19D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20">
    <w:nsid w:val="40E2516B"/>
    <w:multiLevelType w:val="hybridMultilevel"/>
    <w:tmpl w:val="7D2CA470"/>
    <w:lvl w:ilvl="0" w:tplc="6B6EB5D6">
      <w:start w:val="1"/>
      <w:numFmt w:val="lowerLetter"/>
      <w:lvlText w:val="%1)"/>
      <w:lvlJc w:val="left"/>
      <w:pPr>
        <w:ind w:left="144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1">
    <w:nsid w:val="41522E1C"/>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22">
    <w:nsid w:val="41B21A33"/>
    <w:multiLevelType w:val="hybridMultilevel"/>
    <w:tmpl w:val="94643D92"/>
    <w:lvl w:ilvl="0" w:tplc="041B000F">
      <w:start w:val="1"/>
      <w:numFmt w:val="decimal"/>
      <w:lvlText w:val="%1."/>
      <w:lvlJc w:val="left"/>
      <w:pPr>
        <w:ind w:left="360" w:hanging="360"/>
      </w:pPr>
      <w:rPr>
        <w:rFonts w:cs="Times New Roman" w:hint="default"/>
      </w:rPr>
    </w:lvl>
    <w:lvl w:ilvl="1" w:tplc="041B0019" w:tentative="1">
      <w:start w:val="1"/>
      <w:numFmt w:val="lowerLetter"/>
      <w:lvlText w:val="%2."/>
      <w:lvlJc w:val="left"/>
      <w:pPr>
        <w:ind w:left="-3097" w:hanging="360"/>
      </w:pPr>
      <w:rPr>
        <w:rFonts w:cs="Times New Roman"/>
      </w:rPr>
    </w:lvl>
    <w:lvl w:ilvl="2" w:tplc="041B001B" w:tentative="1">
      <w:start w:val="1"/>
      <w:numFmt w:val="lowerRoman"/>
      <w:lvlText w:val="%3."/>
      <w:lvlJc w:val="right"/>
      <w:pPr>
        <w:ind w:left="-2377" w:hanging="180"/>
      </w:pPr>
      <w:rPr>
        <w:rFonts w:cs="Times New Roman"/>
      </w:rPr>
    </w:lvl>
    <w:lvl w:ilvl="3" w:tplc="041B000F" w:tentative="1">
      <w:start w:val="1"/>
      <w:numFmt w:val="decimal"/>
      <w:lvlText w:val="%4."/>
      <w:lvlJc w:val="left"/>
      <w:pPr>
        <w:ind w:left="-1657" w:hanging="360"/>
      </w:pPr>
      <w:rPr>
        <w:rFonts w:cs="Times New Roman"/>
      </w:rPr>
    </w:lvl>
    <w:lvl w:ilvl="4" w:tplc="041B0019" w:tentative="1">
      <w:start w:val="1"/>
      <w:numFmt w:val="lowerLetter"/>
      <w:lvlText w:val="%5."/>
      <w:lvlJc w:val="left"/>
      <w:pPr>
        <w:ind w:left="-937" w:hanging="360"/>
      </w:pPr>
      <w:rPr>
        <w:rFonts w:cs="Times New Roman"/>
      </w:rPr>
    </w:lvl>
    <w:lvl w:ilvl="5" w:tplc="041B001B" w:tentative="1">
      <w:start w:val="1"/>
      <w:numFmt w:val="lowerRoman"/>
      <w:lvlText w:val="%6."/>
      <w:lvlJc w:val="right"/>
      <w:pPr>
        <w:ind w:left="-217" w:hanging="180"/>
      </w:pPr>
      <w:rPr>
        <w:rFonts w:cs="Times New Roman"/>
      </w:rPr>
    </w:lvl>
    <w:lvl w:ilvl="6" w:tplc="041B000F" w:tentative="1">
      <w:start w:val="1"/>
      <w:numFmt w:val="decimal"/>
      <w:lvlText w:val="%7."/>
      <w:lvlJc w:val="left"/>
      <w:pPr>
        <w:ind w:left="503" w:hanging="360"/>
      </w:pPr>
      <w:rPr>
        <w:rFonts w:cs="Times New Roman"/>
      </w:rPr>
    </w:lvl>
    <w:lvl w:ilvl="7" w:tplc="041B0019" w:tentative="1">
      <w:start w:val="1"/>
      <w:numFmt w:val="lowerLetter"/>
      <w:lvlText w:val="%8."/>
      <w:lvlJc w:val="left"/>
      <w:pPr>
        <w:ind w:left="1223" w:hanging="360"/>
      </w:pPr>
      <w:rPr>
        <w:rFonts w:cs="Times New Roman"/>
      </w:rPr>
    </w:lvl>
    <w:lvl w:ilvl="8" w:tplc="041B001B" w:tentative="1">
      <w:start w:val="1"/>
      <w:numFmt w:val="lowerRoman"/>
      <w:lvlText w:val="%9."/>
      <w:lvlJc w:val="right"/>
      <w:pPr>
        <w:ind w:left="1943" w:hanging="180"/>
      </w:pPr>
      <w:rPr>
        <w:rFonts w:cs="Times New Roman"/>
      </w:rPr>
    </w:lvl>
  </w:abstractNum>
  <w:abstractNum w:abstractNumId="223">
    <w:nsid w:val="41C85462"/>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24">
    <w:nsid w:val="430852AB"/>
    <w:multiLevelType w:val="hybridMultilevel"/>
    <w:tmpl w:val="3D08D52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5">
    <w:nsid w:val="434860E6"/>
    <w:multiLevelType w:val="hybridMultilevel"/>
    <w:tmpl w:val="2356FBC8"/>
    <w:lvl w:ilvl="0" w:tplc="56F09CE0">
      <w:start w:val="1"/>
      <w:numFmt w:val="decimal"/>
      <w:lvlText w:val="%1."/>
      <w:lvlJc w:val="left"/>
      <w:pPr>
        <w:ind w:left="720" w:hanging="360"/>
      </w:pPr>
      <w:rPr>
        <w:rFonts w:cs="Times New Roman"/>
        <w:i w:val="0"/>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6">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7">
    <w:nsid w:val="43740297"/>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8">
    <w:nsid w:val="439F73E8"/>
    <w:multiLevelType w:val="hybridMultilevel"/>
    <w:tmpl w:val="6922DF6A"/>
    <w:lvl w:ilvl="0" w:tplc="8E92F010">
      <w:start w:val="1"/>
      <w:numFmt w:val="decimal"/>
      <w:lvlText w:val="%1."/>
      <w:lvlJc w:val="left"/>
      <w:pPr>
        <w:ind w:left="720" w:hanging="360"/>
      </w:pPr>
      <w:rPr>
        <w:rFonts w:cs="Times New Roman" w:hint="default"/>
        <w:b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29">
    <w:nsid w:val="43C06FE3"/>
    <w:multiLevelType w:val="hybridMultilevel"/>
    <w:tmpl w:val="2D1CFCC6"/>
    <w:lvl w:ilvl="0" w:tplc="CD66729C">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0">
    <w:nsid w:val="43C9298B"/>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31">
    <w:nsid w:val="44897DA9"/>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2">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3">
    <w:nsid w:val="44E712F4"/>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4">
    <w:nsid w:val="450474F8"/>
    <w:multiLevelType w:val="hybridMultilevel"/>
    <w:tmpl w:val="31D06022"/>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35">
    <w:nsid w:val="459829E1"/>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236">
    <w:nsid w:val="45E933E8"/>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7">
    <w:nsid w:val="45EA6BC6"/>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38">
    <w:nsid w:val="463A673D"/>
    <w:multiLevelType w:val="hybridMultilevel"/>
    <w:tmpl w:val="C8CCE33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041B0017">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39">
    <w:nsid w:val="465C0C95"/>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40">
    <w:nsid w:val="468065B1"/>
    <w:multiLevelType w:val="hybridMultilevel"/>
    <w:tmpl w:val="0D3E77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1">
    <w:nsid w:val="46A02474"/>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42">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rPr>
        <w:rFonts w:cs="Times New Roman"/>
      </w:rPr>
    </w:lvl>
    <w:lvl w:ilvl="2" w:tplc="041B001B" w:tentative="1">
      <w:start w:val="1"/>
      <w:numFmt w:val="lowerRoman"/>
      <w:lvlText w:val="%3."/>
      <w:lvlJc w:val="right"/>
      <w:pPr>
        <w:ind w:left="2444" w:hanging="180"/>
      </w:pPr>
      <w:rPr>
        <w:rFonts w:cs="Times New Roman"/>
      </w:rPr>
    </w:lvl>
    <w:lvl w:ilvl="3" w:tplc="041B000F" w:tentative="1">
      <w:start w:val="1"/>
      <w:numFmt w:val="decimal"/>
      <w:lvlText w:val="%4."/>
      <w:lvlJc w:val="left"/>
      <w:pPr>
        <w:ind w:left="3164" w:hanging="360"/>
      </w:pPr>
      <w:rPr>
        <w:rFonts w:cs="Times New Roman"/>
      </w:rPr>
    </w:lvl>
    <w:lvl w:ilvl="4" w:tplc="041B0019" w:tentative="1">
      <w:start w:val="1"/>
      <w:numFmt w:val="lowerLetter"/>
      <w:lvlText w:val="%5."/>
      <w:lvlJc w:val="left"/>
      <w:pPr>
        <w:ind w:left="3884" w:hanging="360"/>
      </w:pPr>
      <w:rPr>
        <w:rFonts w:cs="Times New Roman"/>
      </w:rPr>
    </w:lvl>
    <w:lvl w:ilvl="5" w:tplc="041B001B" w:tentative="1">
      <w:start w:val="1"/>
      <w:numFmt w:val="lowerRoman"/>
      <w:lvlText w:val="%6."/>
      <w:lvlJc w:val="right"/>
      <w:pPr>
        <w:ind w:left="4604" w:hanging="180"/>
      </w:pPr>
      <w:rPr>
        <w:rFonts w:cs="Times New Roman"/>
      </w:rPr>
    </w:lvl>
    <w:lvl w:ilvl="6" w:tplc="041B000F" w:tentative="1">
      <w:start w:val="1"/>
      <w:numFmt w:val="decimal"/>
      <w:lvlText w:val="%7."/>
      <w:lvlJc w:val="left"/>
      <w:pPr>
        <w:ind w:left="5324" w:hanging="360"/>
      </w:pPr>
      <w:rPr>
        <w:rFonts w:cs="Times New Roman"/>
      </w:rPr>
    </w:lvl>
    <w:lvl w:ilvl="7" w:tplc="041B0019" w:tentative="1">
      <w:start w:val="1"/>
      <w:numFmt w:val="lowerLetter"/>
      <w:lvlText w:val="%8."/>
      <w:lvlJc w:val="left"/>
      <w:pPr>
        <w:ind w:left="6044" w:hanging="360"/>
      </w:pPr>
      <w:rPr>
        <w:rFonts w:cs="Times New Roman"/>
      </w:rPr>
    </w:lvl>
    <w:lvl w:ilvl="8" w:tplc="041B001B" w:tentative="1">
      <w:start w:val="1"/>
      <w:numFmt w:val="lowerRoman"/>
      <w:lvlText w:val="%9."/>
      <w:lvlJc w:val="right"/>
      <w:pPr>
        <w:ind w:left="6764" w:hanging="180"/>
      </w:pPr>
      <w:rPr>
        <w:rFonts w:cs="Times New Roman"/>
      </w:rPr>
    </w:lvl>
  </w:abstractNum>
  <w:abstractNum w:abstractNumId="243">
    <w:nsid w:val="46D81CE2"/>
    <w:multiLevelType w:val="hybridMultilevel"/>
    <w:tmpl w:val="7EB8F1CE"/>
    <w:lvl w:ilvl="0" w:tplc="041B0017">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2869" w:hanging="360"/>
      </w:pPr>
      <w:rPr>
        <w:rFonts w:cs="Times New Roman"/>
      </w:rPr>
    </w:lvl>
    <w:lvl w:ilvl="2" w:tplc="041B001B" w:tentative="1">
      <w:start w:val="1"/>
      <w:numFmt w:val="lowerRoman"/>
      <w:lvlText w:val="%3."/>
      <w:lvlJc w:val="right"/>
      <w:pPr>
        <w:ind w:left="3589" w:hanging="180"/>
      </w:pPr>
      <w:rPr>
        <w:rFonts w:cs="Times New Roman"/>
      </w:rPr>
    </w:lvl>
    <w:lvl w:ilvl="3" w:tplc="041B000F" w:tentative="1">
      <w:start w:val="1"/>
      <w:numFmt w:val="decimal"/>
      <w:lvlText w:val="%4."/>
      <w:lvlJc w:val="left"/>
      <w:pPr>
        <w:ind w:left="4309" w:hanging="360"/>
      </w:pPr>
      <w:rPr>
        <w:rFonts w:cs="Times New Roman"/>
      </w:rPr>
    </w:lvl>
    <w:lvl w:ilvl="4" w:tplc="041B0019" w:tentative="1">
      <w:start w:val="1"/>
      <w:numFmt w:val="lowerLetter"/>
      <w:lvlText w:val="%5."/>
      <w:lvlJc w:val="left"/>
      <w:pPr>
        <w:ind w:left="5029" w:hanging="360"/>
      </w:pPr>
      <w:rPr>
        <w:rFonts w:cs="Times New Roman"/>
      </w:rPr>
    </w:lvl>
    <w:lvl w:ilvl="5" w:tplc="041B001B" w:tentative="1">
      <w:start w:val="1"/>
      <w:numFmt w:val="lowerRoman"/>
      <w:lvlText w:val="%6."/>
      <w:lvlJc w:val="right"/>
      <w:pPr>
        <w:ind w:left="5749" w:hanging="180"/>
      </w:pPr>
      <w:rPr>
        <w:rFonts w:cs="Times New Roman"/>
      </w:rPr>
    </w:lvl>
    <w:lvl w:ilvl="6" w:tplc="041B000F" w:tentative="1">
      <w:start w:val="1"/>
      <w:numFmt w:val="decimal"/>
      <w:lvlText w:val="%7."/>
      <w:lvlJc w:val="left"/>
      <w:pPr>
        <w:ind w:left="6469" w:hanging="360"/>
      </w:pPr>
      <w:rPr>
        <w:rFonts w:cs="Times New Roman"/>
      </w:rPr>
    </w:lvl>
    <w:lvl w:ilvl="7" w:tplc="041B0019" w:tentative="1">
      <w:start w:val="1"/>
      <w:numFmt w:val="lowerLetter"/>
      <w:lvlText w:val="%8."/>
      <w:lvlJc w:val="left"/>
      <w:pPr>
        <w:ind w:left="7189" w:hanging="360"/>
      </w:pPr>
      <w:rPr>
        <w:rFonts w:cs="Times New Roman"/>
      </w:rPr>
    </w:lvl>
    <w:lvl w:ilvl="8" w:tplc="041B001B" w:tentative="1">
      <w:start w:val="1"/>
      <w:numFmt w:val="lowerRoman"/>
      <w:lvlText w:val="%9."/>
      <w:lvlJc w:val="right"/>
      <w:pPr>
        <w:ind w:left="7909" w:hanging="180"/>
      </w:pPr>
      <w:rPr>
        <w:rFonts w:cs="Times New Roman"/>
      </w:rPr>
    </w:lvl>
  </w:abstractNum>
  <w:abstractNum w:abstractNumId="244">
    <w:nsid w:val="46E62AC1"/>
    <w:multiLevelType w:val="hybridMultilevel"/>
    <w:tmpl w:val="C58C1168"/>
    <w:lvl w:ilvl="0" w:tplc="041B0001">
      <w:start w:val="1"/>
      <w:numFmt w:val="bullet"/>
      <w:lvlText w:val=""/>
      <w:lvlJc w:val="left"/>
      <w:pPr>
        <w:ind w:left="774" w:hanging="360"/>
      </w:pPr>
      <w:rPr>
        <w:rFonts w:ascii="Symbol" w:hAnsi="Symbol" w:hint="default"/>
        <w:sz w:val="22"/>
      </w:rPr>
    </w:lvl>
    <w:lvl w:ilvl="1" w:tplc="041B0003" w:tentative="1">
      <w:start w:val="1"/>
      <w:numFmt w:val="bullet"/>
      <w:lvlText w:val="o"/>
      <w:lvlJc w:val="left"/>
      <w:pPr>
        <w:ind w:left="1494" w:hanging="360"/>
      </w:pPr>
      <w:rPr>
        <w:rFonts w:ascii="Courier New" w:hAnsi="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45">
    <w:nsid w:val="477E72B3"/>
    <w:multiLevelType w:val="hybridMultilevel"/>
    <w:tmpl w:val="34A05D46"/>
    <w:lvl w:ilvl="0" w:tplc="FF36808E">
      <w:start w:val="1"/>
      <w:numFmt w:val="decimal"/>
      <w:lvlText w:val="%1."/>
      <w:lvlJc w:val="left"/>
      <w:pPr>
        <w:ind w:left="786" w:hanging="360"/>
      </w:pPr>
      <w:rPr>
        <w:rFonts w:cs="Times New Roman"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6">
    <w:nsid w:val="4796107F"/>
    <w:multiLevelType w:val="hybridMultilevel"/>
    <w:tmpl w:val="5C28D106"/>
    <w:lvl w:ilvl="0" w:tplc="E732EA54">
      <w:start w:val="1"/>
      <w:numFmt w:val="decimal"/>
      <w:lvlText w:val="%1."/>
      <w:lvlJc w:val="left"/>
      <w:pPr>
        <w:ind w:left="3240" w:hanging="360"/>
      </w:pPr>
      <w:rPr>
        <w:rFonts w:cs="Times New Roman"/>
        <w:i w:val="0"/>
      </w:rPr>
    </w:lvl>
    <w:lvl w:ilvl="1" w:tplc="8858301E">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7">
    <w:nsid w:val="480F393A"/>
    <w:multiLevelType w:val="hybridMultilevel"/>
    <w:tmpl w:val="51CC531E"/>
    <w:lvl w:ilvl="0" w:tplc="2E56EE12">
      <w:start w:val="1"/>
      <w:numFmt w:val="decimal"/>
      <w:lvlText w:val="%1."/>
      <w:lvlJc w:val="left"/>
      <w:pPr>
        <w:ind w:left="36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8">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9">
    <w:nsid w:val="491C030A"/>
    <w:multiLevelType w:val="hybridMultilevel"/>
    <w:tmpl w:val="6C8001F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0">
    <w:nsid w:val="496E5099"/>
    <w:multiLevelType w:val="hybridMultilevel"/>
    <w:tmpl w:val="D534C4D4"/>
    <w:lvl w:ilvl="0" w:tplc="041B000F">
      <w:start w:val="1"/>
      <w:numFmt w:val="decimal"/>
      <w:lvlText w:val="%1."/>
      <w:lvlJc w:val="left"/>
      <w:pPr>
        <w:ind w:left="720" w:hanging="360"/>
      </w:pPr>
      <w:rPr>
        <w:rFonts w:cs="Times New Roman"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cs="Times New Roman"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1">
    <w:nsid w:val="4A6C60F3"/>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52">
    <w:nsid w:val="4B0B3C33"/>
    <w:multiLevelType w:val="hybridMultilevel"/>
    <w:tmpl w:val="50648384"/>
    <w:lvl w:ilvl="0" w:tplc="041B0017">
      <w:start w:val="1"/>
      <w:numFmt w:val="lowerLetter"/>
      <w:lvlText w:val="%1)"/>
      <w:lvlJc w:val="left"/>
      <w:pPr>
        <w:ind w:left="1080" w:hanging="360"/>
      </w:pPr>
      <w:rPr>
        <w:rFonts w:cs="Times New Roman" w:hint="default"/>
      </w:rPr>
    </w:lvl>
    <w:lvl w:ilvl="1" w:tplc="041B0003" w:tentative="1">
      <w:start w:val="1"/>
      <w:numFmt w:val="bullet"/>
      <w:lvlText w:val="o"/>
      <w:lvlJc w:val="left"/>
      <w:pPr>
        <w:ind w:left="1800" w:hanging="360"/>
      </w:pPr>
      <w:rPr>
        <w:rFonts w:ascii="Courier New" w:hAnsi="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53">
    <w:nsid w:val="4B45529A"/>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4">
    <w:nsid w:val="4C883663"/>
    <w:multiLevelType w:val="hybridMultilevel"/>
    <w:tmpl w:val="CF7449B0"/>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5">
    <w:nsid w:val="4CB16EF9"/>
    <w:multiLevelType w:val="hybridMultilevel"/>
    <w:tmpl w:val="1B528CDC"/>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56">
    <w:nsid w:val="4CF81BED"/>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57">
    <w:nsid w:val="4D131431"/>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58">
    <w:nsid w:val="4D3F2807"/>
    <w:multiLevelType w:val="hybridMultilevel"/>
    <w:tmpl w:val="94643D92"/>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9">
    <w:nsid w:val="4DCB29A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60">
    <w:nsid w:val="4DE62D98"/>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61">
    <w:nsid w:val="4DEA41A6"/>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62">
    <w:nsid w:val="4EBC4ED8"/>
    <w:multiLevelType w:val="hybridMultilevel"/>
    <w:tmpl w:val="E0E8E40A"/>
    <w:lvl w:ilvl="0" w:tplc="041B0001">
      <w:start w:val="1"/>
      <w:numFmt w:val="bullet"/>
      <w:lvlText w:val=""/>
      <w:lvlJc w:val="left"/>
      <w:pPr>
        <w:ind w:left="1146" w:hanging="360"/>
      </w:pPr>
      <w:rPr>
        <w:rFonts w:ascii="Symbol" w:hAnsi="Symbol" w:hint="default"/>
      </w:rPr>
    </w:lvl>
    <w:lvl w:ilvl="1" w:tplc="041B0003" w:tentative="1">
      <w:start w:val="1"/>
      <w:numFmt w:val="bullet"/>
      <w:lvlText w:val="o"/>
      <w:lvlJc w:val="left"/>
      <w:pPr>
        <w:ind w:left="1866" w:hanging="360"/>
      </w:pPr>
      <w:rPr>
        <w:rFonts w:ascii="Courier New" w:hAnsi="Courier New" w:cs="Courier New" w:hint="default"/>
      </w:rPr>
    </w:lvl>
    <w:lvl w:ilvl="2" w:tplc="041B0005" w:tentative="1">
      <w:start w:val="1"/>
      <w:numFmt w:val="bullet"/>
      <w:lvlText w:val=""/>
      <w:lvlJc w:val="left"/>
      <w:pPr>
        <w:ind w:left="2586" w:hanging="360"/>
      </w:pPr>
      <w:rPr>
        <w:rFonts w:ascii="Wingdings" w:hAnsi="Wingdings" w:hint="default"/>
      </w:rPr>
    </w:lvl>
    <w:lvl w:ilvl="3" w:tplc="041B0001" w:tentative="1">
      <w:start w:val="1"/>
      <w:numFmt w:val="bullet"/>
      <w:lvlText w:val=""/>
      <w:lvlJc w:val="left"/>
      <w:pPr>
        <w:ind w:left="3306" w:hanging="360"/>
      </w:pPr>
      <w:rPr>
        <w:rFonts w:ascii="Symbol" w:hAnsi="Symbol" w:hint="default"/>
      </w:rPr>
    </w:lvl>
    <w:lvl w:ilvl="4" w:tplc="041B0003" w:tentative="1">
      <w:start w:val="1"/>
      <w:numFmt w:val="bullet"/>
      <w:lvlText w:val="o"/>
      <w:lvlJc w:val="left"/>
      <w:pPr>
        <w:ind w:left="4026" w:hanging="360"/>
      </w:pPr>
      <w:rPr>
        <w:rFonts w:ascii="Courier New" w:hAnsi="Courier New" w:cs="Courier New" w:hint="default"/>
      </w:rPr>
    </w:lvl>
    <w:lvl w:ilvl="5" w:tplc="041B0005" w:tentative="1">
      <w:start w:val="1"/>
      <w:numFmt w:val="bullet"/>
      <w:lvlText w:val=""/>
      <w:lvlJc w:val="left"/>
      <w:pPr>
        <w:ind w:left="4746" w:hanging="360"/>
      </w:pPr>
      <w:rPr>
        <w:rFonts w:ascii="Wingdings" w:hAnsi="Wingdings" w:hint="default"/>
      </w:rPr>
    </w:lvl>
    <w:lvl w:ilvl="6" w:tplc="041B0001" w:tentative="1">
      <w:start w:val="1"/>
      <w:numFmt w:val="bullet"/>
      <w:lvlText w:val=""/>
      <w:lvlJc w:val="left"/>
      <w:pPr>
        <w:ind w:left="5466" w:hanging="360"/>
      </w:pPr>
      <w:rPr>
        <w:rFonts w:ascii="Symbol" w:hAnsi="Symbol" w:hint="default"/>
      </w:rPr>
    </w:lvl>
    <w:lvl w:ilvl="7" w:tplc="041B0003" w:tentative="1">
      <w:start w:val="1"/>
      <w:numFmt w:val="bullet"/>
      <w:lvlText w:val="o"/>
      <w:lvlJc w:val="left"/>
      <w:pPr>
        <w:ind w:left="6186" w:hanging="360"/>
      </w:pPr>
      <w:rPr>
        <w:rFonts w:ascii="Courier New" w:hAnsi="Courier New" w:cs="Courier New" w:hint="default"/>
      </w:rPr>
    </w:lvl>
    <w:lvl w:ilvl="8" w:tplc="041B0005" w:tentative="1">
      <w:start w:val="1"/>
      <w:numFmt w:val="bullet"/>
      <w:lvlText w:val=""/>
      <w:lvlJc w:val="left"/>
      <w:pPr>
        <w:ind w:left="6906" w:hanging="360"/>
      </w:pPr>
      <w:rPr>
        <w:rFonts w:ascii="Wingdings" w:hAnsi="Wingdings" w:hint="default"/>
      </w:rPr>
    </w:lvl>
  </w:abstractNum>
  <w:abstractNum w:abstractNumId="263">
    <w:nsid w:val="4EFA0426"/>
    <w:multiLevelType w:val="hybridMultilevel"/>
    <w:tmpl w:val="80A6CA84"/>
    <w:lvl w:ilvl="0" w:tplc="B2BA187A">
      <w:start w:val="1"/>
      <w:numFmt w:val="decimal"/>
      <w:lvlText w:val="%1."/>
      <w:lvlJc w:val="left"/>
      <w:pPr>
        <w:ind w:left="1065" w:hanging="360"/>
      </w:pPr>
      <w:rPr>
        <w:rFonts w:cs="Times New Roman" w:hint="default"/>
      </w:rPr>
    </w:lvl>
    <w:lvl w:ilvl="1" w:tplc="041B0019">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264">
    <w:nsid w:val="503D711A"/>
    <w:multiLevelType w:val="multilevel"/>
    <w:tmpl w:val="23F60E94"/>
    <w:lvl w:ilvl="0">
      <w:start w:val="1"/>
      <w:numFmt w:val="decimal"/>
      <w:lvlText w:val="%1."/>
      <w:lvlJc w:val="left"/>
      <w:pPr>
        <w:ind w:left="720" w:hanging="360"/>
      </w:pPr>
      <w:rPr>
        <w:rFonts w:ascii="Times New Roman" w:hAnsi="Times New Roman" w:cs="Times New Roman" w:hint="default"/>
        <w:sz w:val="24"/>
        <w:szCs w:val="24"/>
      </w:rPr>
    </w:lvl>
    <w:lvl w:ilvl="1">
      <w:start w:val="2"/>
      <w:numFmt w:val="decimal"/>
      <w:isLgl/>
      <w:lvlText w:val="%1.%2"/>
      <w:lvlJc w:val="left"/>
      <w:pPr>
        <w:ind w:left="1020" w:hanging="660"/>
      </w:pPr>
      <w:rPr>
        <w:rFonts w:cs="Times New Roman" w:hint="default"/>
      </w:rPr>
    </w:lvl>
    <w:lvl w:ilvl="2">
      <w:start w:val="1"/>
      <w:numFmt w:val="decimal"/>
      <w:isLgl/>
      <w:lvlText w:val="%1.%2.%3"/>
      <w:lvlJc w:val="left"/>
      <w:pPr>
        <w:ind w:left="1080" w:hanging="720"/>
      </w:pPr>
      <w:rPr>
        <w:rFonts w:cs="Times New Roman" w:hint="default"/>
      </w:rPr>
    </w:lvl>
    <w:lvl w:ilvl="3">
      <w:start w:val="2"/>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265">
    <w:nsid w:val="506216EA"/>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6">
    <w:nsid w:val="51C66BCE"/>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67">
    <w:nsid w:val="51EA368E"/>
    <w:multiLevelType w:val="hybridMultilevel"/>
    <w:tmpl w:val="303CE27A"/>
    <w:lvl w:ilvl="0" w:tplc="041B0017">
      <w:start w:val="1"/>
      <w:numFmt w:val="lowerLetter"/>
      <w:lvlText w:val="%1)"/>
      <w:lvlJc w:val="left"/>
      <w:pPr>
        <w:ind w:left="1494" w:hanging="360"/>
      </w:pPr>
      <w:rPr>
        <w:rFonts w:cs="Times New Roman"/>
      </w:rPr>
    </w:lvl>
    <w:lvl w:ilvl="1" w:tplc="041B0019" w:tentative="1">
      <w:start w:val="1"/>
      <w:numFmt w:val="lowerLetter"/>
      <w:lvlText w:val="%2."/>
      <w:lvlJc w:val="left"/>
      <w:pPr>
        <w:ind w:left="2214" w:hanging="360"/>
      </w:pPr>
      <w:rPr>
        <w:rFonts w:cs="Times New Roman"/>
      </w:rPr>
    </w:lvl>
    <w:lvl w:ilvl="2" w:tplc="041B001B" w:tentative="1">
      <w:start w:val="1"/>
      <w:numFmt w:val="lowerRoman"/>
      <w:lvlText w:val="%3."/>
      <w:lvlJc w:val="right"/>
      <w:pPr>
        <w:ind w:left="2934" w:hanging="180"/>
      </w:pPr>
      <w:rPr>
        <w:rFonts w:cs="Times New Roman"/>
      </w:rPr>
    </w:lvl>
    <w:lvl w:ilvl="3" w:tplc="041B000F" w:tentative="1">
      <w:start w:val="1"/>
      <w:numFmt w:val="decimal"/>
      <w:lvlText w:val="%4."/>
      <w:lvlJc w:val="left"/>
      <w:pPr>
        <w:ind w:left="3654" w:hanging="360"/>
      </w:pPr>
      <w:rPr>
        <w:rFonts w:cs="Times New Roman"/>
      </w:rPr>
    </w:lvl>
    <w:lvl w:ilvl="4" w:tplc="041B0019" w:tentative="1">
      <w:start w:val="1"/>
      <w:numFmt w:val="lowerLetter"/>
      <w:lvlText w:val="%5."/>
      <w:lvlJc w:val="left"/>
      <w:pPr>
        <w:ind w:left="4374" w:hanging="360"/>
      </w:pPr>
      <w:rPr>
        <w:rFonts w:cs="Times New Roman"/>
      </w:rPr>
    </w:lvl>
    <w:lvl w:ilvl="5" w:tplc="041B001B" w:tentative="1">
      <w:start w:val="1"/>
      <w:numFmt w:val="lowerRoman"/>
      <w:lvlText w:val="%6."/>
      <w:lvlJc w:val="right"/>
      <w:pPr>
        <w:ind w:left="5094" w:hanging="180"/>
      </w:pPr>
      <w:rPr>
        <w:rFonts w:cs="Times New Roman"/>
      </w:rPr>
    </w:lvl>
    <w:lvl w:ilvl="6" w:tplc="041B000F" w:tentative="1">
      <w:start w:val="1"/>
      <w:numFmt w:val="decimal"/>
      <w:lvlText w:val="%7."/>
      <w:lvlJc w:val="left"/>
      <w:pPr>
        <w:ind w:left="5814" w:hanging="360"/>
      </w:pPr>
      <w:rPr>
        <w:rFonts w:cs="Times New Roman"/>
      </w:rPr>
    </w:lvl>
    <w:lvl w:ilvl="7" w:tplc="041B0019" w:tentative="1">
      <w:start w:val="1"/>
      <w:numFmt w:val="lowerLetter"/>
      <w:lvlText w:val="%8."/>
      <w:lvlJc w:val="left"/>
      <w:pPr>
        <w:ind w:left="6534" w:hanging="360"/>
      </w:pPr>
      <w:rPr>
        <w:rFonts w:cs="Times New Roman"/>
      </w:rPr>
    </w:lvl>
    <w:lvl w:ilvl="8" w:tplc="041B001B" w:tentative="1">
      <w:start w:val="1"/>
      <w:numFmt w:val="lowerRoman"/>
      <w:lvlText w:val="%9."/>
      <w:lvlJc w:val="right"/>
      <w:pPr>
        <w:ind w:left="7254" w:hanging="180"/>
      </w:pPr>
      <w:rPr>
        <w:rFonts w:cs="Times New Roman"/>
      </w:rPr>
    </w:lvl>
  </w:abstractNum>
  <w:abstractNum w:abstractNumId="268">
    <w:nsid w:val="52030531"/>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69">
    <w:nsid w:val="521C4DB1"/>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0">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1">
    <w:nsid w:val="525D013C"/>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72">
    <w:nsid w:val="52CA44D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73">
    <w:nsid w:val="53D4227D"/>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4">
    <w:nsid w:val="5457527C"/>
    <w:multiLevelType w:val="hybridMultilevel"/>
    <w:tmpl w:val="06C87C40"/>
    <w:lvl w:ilvl="0" w:tplc="AFEC7C9C">
      <w:start w:val="1"/>
      <w:numFmt w:val="lowerLetter"/>
      <w:lvlText w:val="%1)"/>
      <w:lvlJc w:val="left"/>
      <w:pPr>
        <w:ind w:left="1069" w:hanging="360"/>
      </w:pPr>
      <w:rPr>
        <w:rFonts w:cs="Times New Roman" w:hint="default"/>
      </w:rPr>
    </w:lvl>
    <w:lvl w:ilvl="1" w:tplc="041B0019">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5">
    <w:nsid w:val="54977F77"/>
    <w:multiLevelType w:val="hybridMultilevel"/>
    <w:tmpl w:val="AC409AB8"/>
    <w:lvl w:ilvl="0" w:tplc="F33AABA6">
      <w:start w:val="1"/>
      <w:numFmt w:val="decimal"/>
      <w:lvlText w:val="%1."/>
      <w:lvlJc w:val="left"/>
      <w:pPr>
        <w:ind w:left="1080" w:hanging="360"/>
      </w:pPr>
      <w:rPr>
        <w:rFonts w:cs="Times New Roman"/>
        <w:b w:val="0"/>
        <w:i w:val="0"/>
      </w:rPr>
    </w:lvl>
    <w:lvl w:ilvl="1" w:tplc="041B0017">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276">
    <w:nsid w:val="55892209"/>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77">
    <w:nsid w:val="56096301"/>
    <w:multiLevelType w:val="hybridMultilevel"/>
    <w:tmpl w:val="1D20B8D0"/>
    <w:lvl w:ilvl="0" w:tplc="041B000F">
      <w:start w:val="1"/>
      <w:numFmt w:val="decimal"/>
      <w:lvlText w:val="%1."/>
      <w:lvlJc w:val="left"/>
      <w:pPr>
        <w:ind w:left="1428" w:hanging="360"/>
      </w:pPr>
      <w:rPr>
        <w:rFonts w:cs="Times New Roman"/>
      </w:rPr>
    </w:lvl>
    <w:lvl w:ilvl="1" w:tplc="BA225964">
      <w:start w:val="1"/>
      <w:numFmt w:val="lowerLetter"/>
      <w:lvlText w:val="%2)"/>
      <w:lvlJc w:val="left"/>
      <w:pPr>
        <w:ind w:left="2148" w:hanging="360"/>
      </w:pPr>
      <w:rPr>
        <w:rFonts w:cs="Times New Roman" w:hint="default"/>
      </w:rPr>
    </w:lvl>
    <w:lvl w:ilvl="2" w:tplc="041B001B">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278">
    <w:nsid w:val="568B4DD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79">
    <w:nsid w:val="57AC35E7"/>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0">
    <w:nsid w:val="57F87F00"/>
    <w:multiLevelType w:val="hybridMultilevel"/>
    <w:tmpl w:val="F7180228"/>
    <w:lvl w:ilvl="0" w:tplc="041B000F">
      <w:start w:val="1"/>
      <w:numFmt w:val="decimal"/>
      <w:lvlText w:val="%1."/>
      <w:lvlJc w:val="left"/>
      <w:pPr>
        <w:ind w:left="6033" w:hanging="360"/>
      </w:pPr>
      <w:rPr>
        <w:rFonts w:cs="Times New Roman"/>
      </w:rPr>
    </w:lvl>
    <w:lvl w:ilvl="1" w:tplc="041B0019" w:tentative="1">
      <w:start w:val="1"/>
      <w:numFmt w:val="lowerLetter"/>
      <w:lvlText w:val="%2."/>
      <w:lvlJc w:val="left"/>
      <w:pPr>
        <w:ind w:left="6753" w:hanging="360"/>
      </w:pPr>
      <w:rPr>
        <w:rFonts w:cs="Times New Roman"/>
      </w:rPr>
    </w:lvl>
    <w:lvl w:ilvl="2" w:tplc="041B001B" w:tentative="1">
      <w:start w:val="1"/>
      <w:numFmt w:val="lowerRoman"/>
      <w:lvlText w:val="%3."/>
      <w:lvlJc w:val="right"/>
      <w:pPr>
        <w:ind w:left="7473" w:hanging="180"/>
      </w:pPr>
      <w:rPr>
        <w:rFonts w:cs="Times New Roman"/>
      </w:rPr>
    </w:lvl>
    <w:lvl w:ilvl="3" w:tplc="041B000F" w:tentative="1">
      <w:start w:val="1"/>
      <w:numFmt w:val="decimal"/>
      <w:lvlText w:val="%4."/>
      <w:lvlJc w:val="left"/>
      <w:pPr>
        <w:ind w:left="8193" w:hanging="360"/>
      </w:pPr>
      <w:rPr>
        <w:rFonts w:cs="Times New Roman"/>
      </w:rPr>
    </w:lvl>
    <w:lvl w:ilvl="4" w:tplc="041B0019" w:tentative="1">
      <w:start w:val="1"/>
      <w:numFmt w:val="lowerLetter"/>
      <w:lvlText w:val="%5."/>
      <w:lvlJc w:val="left"/>
      <w:pPr>
        <w:ind w:left="8913" w:hanging="360"/>
      </w:pPr>
      <w:rPr>
        <w:rFonts w:cs="Times New Roman"/>
      </w:rPr>
    </w:lvl>
    <w:lvl w:ilvl="5" w:tplc="041B001B" w:tentative="1">
      <w:start w:val="1"/>
      <w:numFmt w:val="lowerRoman"/>
      <w:lvlText w:val="%6."/>
      <w:lvlJc w:val="right"/>
      <w:pPr>
        <w:ind w:left="9633" w:hanging="180"/>
      </w:pPr>
      <w:rPr>
        <w:rFonts w:cs="Times New Roman"/>
      </w:rPr>
    </w:lvl>
    <w:lvl w:ilvl="6" w:tplc="041B000F" w:tentative="1">
      <w:start w:val="1"/>
      <w:numFmt w:val="decimal"/>
      <w:lvlText w:val="%7."/>
      <w:lvlJc w:val="left"/>
      <w:pPr>
        <w:ind w:left="10353" w:hanging="360"/>
      </w:pPr>
      <w:rPr>
        <w:rFonts w:cs="Times New Roman"/>
      </w:rPr>
    </w:lvl>
    <w:lvl w:ilvl="7" w:tplc="041B0019" w:tentative="1">
      <w:start w:val="1"/>
      <w:numFmt w:val="lowerLetter"/>
      <w:lvlText w:val="%8."/>
      <w:lvlJc w:val="left"/>
      <w:pPr>
        <w:ind w:left="11073" w:hanging="360"/>
      </w:pPr>
      <w:rPr>
        <w:rFonts w:cs="Times New Roman"/>
      </w:rPr>
    </w:lvl>
    <w:lvl w:ilvl="8" w:tplc="041B001B" w:tentative="1">
      <w:start w:val="1"/>
      <w:numFmt w:val="lowerRoman"/>
      <w:lvlText w:val="%9."/>
      <w:lvlJc w:val="right"/>
      <w:pPr>
        <w:ind w:left="11793" w:hanging="180"/>
      </w:pPr>
      <w:rPr>
        <w:rFonts w:cs="Times New Roman"/>
      </w:rPr>
    </w:lvl>
  </w:abstractNum>
  <w:abstractNum w:abstractNumId="281">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82">
    <w:nsid w:val="59A30926"/>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3">
    <w:nsid w:val="59AD12B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4">
    <w:nsid w:val="59E732DB"/>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5">
    <w:nsid w:val="5AC32D3D"/>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286">
    <w:nsid w:val="5AD56F85"/>
    <w:multiLevelType w:val="hybridMultilevel"/>
    <w:tmpl w:val="35D6BF7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87">
    <w:nsid w:val="5AFF2B7F"/>
    <w:multiLevelType w:val="hybridMultilevel"/>
    <w:tmpl w:val="B29220D2"/>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88">
    <w:nsid w:val="5B2F5647"/>
    <w:multiLevelType w:val="hybridMultilevel"/>
    <w:tmpl w:val="5FB2860C"/>
    <w:lvl w:ilvl="0" w:tplc="041B0017">
      <w:start w:val="1"/>
      <w:numFmt w:val="lowerLetter"/>
      <w:lvlText w:val="%1)"/>
      <w:lvlJc w:val="left"/>
      <w:pPr>
        <w:ind w:left="1069" w:hanging="360"/>
      </w:pPr>
      <w:rPr>
        <w:rFonts w:cs="Times New Roman"/>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89">
    <w:nsid w:val="5B6215EF"/>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290">
    <w:nsid w:val="5BA75D7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91">
    <w:nsid w:val="5BC4454A"/>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292">
    <w:nsid w:val="5BE237CB"/>
    <w:multiLevelType w:val="hybridMultilevel"/>
    <w:tmpl w:val="521A1826"/>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3">
    <w:nsid w:val="5C102803"/>
    <w:multiLevelType w:val="hybridMultilevel"/>
    <w:tmpl w:val="69426EEC"/>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4">
    <w:nsid w:val="5CF1657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295">
    <w:nsid w:val="5D35082C"/>
    <w:multiLevelType w:val="hybridMultilevel"/>
    <w:tmpl w:val="D466C8EA"/>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96">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97">
    <w:nsid w:val="5DAC6316"/>
    <w:multiLevelType w:val="hybridMultilevel"/>
    <w:tmpl w:val="76F0519A"/>
    <w:lvl w:ilvl="0" w:tplc="1104368E">
      <w:start w:val="1"/>
      <w:numFmt w:val="lowerLetter"/>
      <w:lvlText w:val="%1)"/>
      <w:lvlJc w:val="left"/>
      <w:pPr>
        <w:ind w:left="720" w:hanging="360"/>
      </w:pPr>
      <w:rPr>
        <w:rFonts w:cs="Times New Roman"/>
        <w:i/>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8">
    <w:nsid w:val="5E2D3C77"/>
    <w:multiLevelType w:val="hybridMultilevel"/>
    <w:tmpl w:val="A6F0CE82"/>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471C4AFE">
      <w:start w:val="1"/>
      <w:numFmt w:val="lowerLetter"/>
      <w:lvlText w:val="%4)"/>
      <w:lvlJc w:val="left"/>
      <w:pPr>
        <w:ind w:left="2880" w:hanging="360"/>
      </w:pPr>
      <w:rPr>
        <w:rFonts w:cs="Times New Roman" w:hint="default"/>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9">
    <w:nsid w:val="5E466D84"/>
    <w:multiLevelType w:val="hybridMultilevel"/>
    <w:tmpl w:val="5246D3A6"/>
    <w:lvl w:ilvl="0" w:tplc="041B0017">
      <w:start w:val="1"/>
      <w:numFmt w:val="lowerLetter"/>
      <w:lvlText w:val="%1)"/>
      <w:lvlJc w:val="left"/>
      <w:pPr>
        <w:ind w:left="1770" w:hanging="360"/>
      </w:pPr>
      <w:rPr>
        <w:rFonts w:cs="Times New Roman"/>
      </w:rPr>
    </w:lvl>
    <w:lvl w:ilvl="1" w:tplc="041B0003" w:tentative="1">
      <w:start w:val="1"/>
      <w:numFmt w:val="bullet"/>
      <w:lvlText w:val="o"/>
      <w:lvlJc w:val="left"/>
      <w:pPr>
        <w:ind w:left="2490" w:hanging="360"/>
      </w:pPr>
      <w:rPr>
        <w:rFonts w:ascii="Courier New" w:hAnsi="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300">
    <w:nsid w:val="5ECA362F"/>
    <w:multiLevelType w:val="hybridMultilevel"/>
    <w:tmpl w:val="F1504E46"/>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1">
    <w:nsid w:val="5FBF677C"/>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2">
    <w:nsid w:val="60014FCB"/>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3">
    <w:nsid w:val="605B4D46"/>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4">
    <w:nsid w:val="60AC688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5">
    <w:nsid w:val="61041602"/>
    <w:multiLevelType w:val="hybridMultilevel"/>
    <w:tmpl w:val="EC96E4EA"/>
    <w:lvl w:ilvl="0" w:tplc="E732EA54">
      <w:start w:val="1"/>
      <w:numFmt w:val="decimal"/>
      <w:lvlText w:val="%1."/>
      <w:lvlJc w:val="left"/>
      <w:pPr>
        <w:ind w:left="3240" w:hanging="360"/>
      </w:pPr>
      <w:rPr>
        <w:rFonts w:cs="Times New Roman"/>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6">
    <w:nsid w:val="6158472D"/>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7">
    <w:nsid w:val="6196721C"/>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08">
    <w:nsid w:val="61D870E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09">
    <w:nsid w:val="62774B1D"/>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0">
    <w:nsid w:val="6289693E"/>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1">
    <w:nsid w:val="62F2196A"/>
    <w:multiLevelType w:val="hybridMultilevel"/>
    <w:tmpl w:val="59E05C60"/>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12">
    <w:nsid w:val="639B7EE5"/>
    <w:multiLevelType w:val="hybridMultilevel"/>
    <w:tmpl w:val="CE8A128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3">
    <w:nsid w:val="63B55DE0"/>
    <w:multiLevelType w:val="hybridMultilevel"/>
    <w:tmpl w:val="2A6A6F3E"/>
    <w:lvl w:ilvl="0" w:tplc="041B0017">
      <w:start w:val="1"/>
      <w:numFmt w:val="lowerLetter"/>
      <w:lvlText w:val="%1)"/>
      <w:lvlJc w:val="left"/>
      <w:pPr>
        <w:ind w:left="2880" w:hanging="360"/>
      </w:pPr>
      <w:rPr>
        <w:rFonts w:cs="Times New Roman"/>
      </w:rPr>
    </w:lvl>
    <w:lvl w:ilvl="1" w:tplc="041B0017">
      <w:start w:val="1"/>
      <w:numFmt w:val="lowerLetter"/>
      <w:lvlText w:val="%2)"/>
      <w:lvlJc w:val="left"/>
      <w:pPr>
        <w:ind w:left="3600" w:hanging="360"/>
      </w:pPr>
      <w:rPr>
        <w:rFonts w:cs="Times New Roman"/>
      </w:rPr>
    </w:lvl>
    <w:lvl w:ilvl="2" w:tplc="041B001B" w:tentative="1">
      <w:start w:val="1"/>
      <w:numFmt w:val="lowerRoman"/>
      <w:lvlText w:val="%3."/>
      <w:lvlJc w:val="right"/>
      <w:pPr>
        <w:ind w:left="4320" w:hanging="180"/>
      </w:pPr>
      <w:rPr>
        <w:rFonts w:cs="Times New Roman"/>
      </w:rPr>
    </w:lvl>
    <w:lvl w:ilvl="3" w:tplc="041B000F" w:tentative="1">
      <w:start w:val="1"/>
      <w:numFmt w:val="decimal"/>
      <w:lvlText w:val="%4."/>
      <w:lvlJc w:val="left"/>
      <w:pPr>
        <w:ind w:left="5040" w:hanging="360"/>
      </w:pPr>
      <w:rPr>
        <w:rFonts w:cs="Times New Roman"/>
      </w:rPr>
    </w:lvl>
    <w:lvl w:ilvl="4" w:tplc="041B0019" w:tentative="1">
      <w:start w:val="1"/>
      <w:numFmt w:val="lowerLetter"/>
      <w:lvlText w:val="%5."/>
      <w:lvlJc w:val="left"/>
      <w:pPr>
        <w:ind w:left="5760" w:hanging="360"/>
      </w:pPr>
      <w:rPr>
        <w:rFonts w:cs="Times New Roman"/>
      </w:rPr>
    </w:lvl>
    <w:lvl w:ilvl="5" w:tplc="041B001B" w:tentative="1">
      <w:start w:val="1"/>
      <w:numFmt w:val="lowerRoman"/>
      <w:lvlText w:val="%6."/>
      <w:lvlJc w:val="right"/>
      <w:pPr>
        <w:ind w:left="6480" w:hanging="180"/>
      </w:pPr>
      <w:rPr>
        <w:rFonts w:cs="Times New Roman"/>
      </w:rPr>
    </w:lvl>
    <w:lvl w:ilvl="6" w:tplc="041B000F" w:tentative="1">
      <w:start w:val="1"/>
      <w:numFmt w:val="decimal"/>
      <w:lvlText w:val="%7."/>
      <w:lvlJc w:val="left"/>
      <w:pPr>
        <w:ind w:left="7200" w:hanging="360"/>
      </w:pPr>
      <w:rPr>
        <w:rFonts w:cs="Times New Roman"/>
      </w:rPr>
    </w:lvl>
    <w:lvl w:ilvl="7" w:tplc="041B0019" w:tentative="1">
      <w:start w:val="1"/>
      <w:numFmt w:val="lowerLetter"/>
      <w:lvlText w:val="%8."/>
      <w:lvlJc w:val="left"/>
      <w:pPr>
        <w:ind w:left="7920" w:hanging="360"/>
      </w:pPr>
      <w:rPr>
        <w:rFonts w:cs="Times New Roman"/>
      </w:rPr>
    </w:lvl>
    <w:lvl w:ilvl="8" w:tplc="041B001B" w:tentative="1">
      <w:start w:val="1"/>
      <w:numFmt w:val="lowerRoman"/>
      <w:lvlText w:val="%9."/>
      <w:lvlJc w:val="right"/>
      <w:pPr>
        <w:ind w:left="8640" w:hanging="180"/>
      </w:pPr>
      <w:rPr>
        <w:rFonts w:cs="Times New Roman"/>
      </w:rPr>
    </w:lvl>
  </w:abstractNum>
  <w:abstractNum w:abstractNumId="314">
    <w:nsid w:val="63B90B44"/>
    <w:multiLevelType w:val="hybridMultilevel"/>
    <w:tmpl w:val="B96AB8B0"/>
    <w:lvl w:ilvl="0" w:tplc="041B0017">
      <w:start w:val="1"/>
      <w:numFmt w:val="lowerLetter"/>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15">
    <w:nsid w:val="63C84E1E"/>
    <w:multiLevelType w:val="hybridMultilevel"/>
    <w:tmpl w:val="E9E81FB0"/>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16">
    <w:nsid w:val="643C2558"/>
    <w:multiLevelType w:val="hybridMultilevel"/>
    <w:tmpl w:val="B38A346C"/>
    <w:lvl w:ilvl="0" w:tplc="041B000F">
      <w:start w:val="1"/>
      <w:numFmt w:val="decimal"/>
      <w:lvlText w:val="%1."/>
      <w:lvlJc w:val="left"/>
      <w:pPr>
        <w:ind w:left="1080" w:hanging="360"/>
      </w:pPr>
      <w:rPr>
        <w:rFonts w:cs="Times New Roman"/>
        <w:b w:val="0"/>
        <w:i w:val="0"/>
      </w:rPr>
    </w:lvl>
    <w:lvl w:ilvl="1" w:tplc="20B064AC">
      <w:start w:val="1"/>
      <w:numFmt w:val="lowerLetter"/>
      <w:lvlText w:val="%2."/>
      <w:lvlJc w:val="left"/>
      <w:pPr>
        <w:ind w:left="1800" w:hanging="360"/>
      </w:pPr>
      <w:rPr>
        <w:rFonts w:cs="Times New Roman"/>
        <w:b w:val="0"/>
      </w:rPr>
    </w:lvl>
    <w:lvl w:ilvl="2" w:tplc="041B0011">
      <w:start w:val="1"/>
      <w:numFmt w:val="decimal"/>
      <w:lvlText w:val="%3)"/>
      <w:lvlJc w:val="lef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17">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18">
    <w:nsid w:val="6477729A"/>
    <w:multiLevelType w:val="hybridMultilevel"/>
    <w:tmpl w:val="924034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19">
    <w:nsid w:val="648512FE"/>
    <w:multiLevelType w:val="hybridMultilevel"/>
    <w:tmpl w:val="B4C69156"/>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20">
    <w:nsid w:val="649C745D"/>
    <w:multiLevelType w:val="singleLevel"/>
    <w:tmpl w:val="04050017"/>
    <w:lvl w:ilvl="0">
      <w:start w:val="1"/>
      <w:numFmt w:val="lowerLetter"/>
      <w:lvlText w:val="%1)"/>
      <w:lvlJc w:val="left"/>
      <w:pPr>
        <w:tabs>
          <w:tab w:val="num" w:pos="360"/>
        </w:tabs>
        <w:ind w:left="360" w:hanging="360"/>
      </w:pPr>
      <w:rPr>
        <w:rFonts w:cs="Times New Roman"/>
      </w:rPr>
    </w:lvl>
  </w:abstractNum>
  <w:abstractNum w:abstractNumId="321">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22">
    <w:nsid w:val="65CD44CD"/>
    <w:multiLevelType w:val="hybridMultilevel"/>
    <w:tmpl w:val="FB48AD16"/>
    <w:lvl w:ilvl="0" w:tplc="96ACE564">
      <w:start w:val="1"/>
      <w:numFmt w:val="decimal"/>
      <w:lvlText w:val="%1."/>
      <w:lvlJc w:val="left"/>
      <w:pPr>
        <w:ind w:left="720" w:hanging="360"/>
      </w:pPr>
      <w:rPr>
        <w:rFonts w:cs="Times New Roman"/>
        <w:color w:val="auto"/>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3">
    <w:nsid w:val="65E14708"/>
    <w:multiLevelType w:val="hybridMultilevel"/>
    <w:tmpl w:val="51CC531E"/>
    <w:lvl w:ilvl="0" w:tplc="2E56EE12">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D9AE9E28">
      <w:numFmt w:val="bullet"/>
      <w:lvlText w:val="-"/>
      <w:lvlJc w:val="left"/>
      <w:pPr>
        <w:ind w:left="2340" w:hanging="360"/>
      </w:pPr>
      <w:rPr>
        <w:rFonts w:ascii="Times New Roman" w:eastAsia="Times New Roman" w:hAnsi="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4">
    <w:nsid w:val="66010AF8"/>
    <w:multiLevelType w:val="hybridMultilevel"/>
    <w:tmpl w:val="34AC162C"/>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5">
    <w:nsid w:val="666E43C0"/>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26">
    <w:nsid w:val="66CB57F5"/>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27">
    <w:nsid w:val="6708684F"/>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28">
    <w:nsid w:val="673406B0"/>
    <w:multiLevelType w:val="hybridMultilevel"/>
    <w:tmpl w:val="3B00CB80"/>
    <w:lvl w:ilvl="0" w:tplc="1E863E60">
      <w:start w:val="1"/>
      <w:numFmt w:val="lowerLetter"/>
      <w:lvlText w:val="%1)"/>
      <w:lvlJc w:val="left"/>
      <w:pPr>
        <w:ind w:left="1211" w:hanging="360"/>
      </w:pPr>
      <w:rPr>
        <w:rFonts w:cs="Times New Roman" w:hint="default"/>
      </w:rPr>
    </w:lvl>
    <w:lvl w:ilvl="1" w:tplc="041B0019" w:tentative="1">
      <w:start w:val="1"/>
      <w:numFmt w:val="lowerLetter"/>
      <w:lvlText w:val="%2."/>
      <w:lvlJc w:val="left"/>
      <w:pPr>
        <w:ind w:left="1931" w:hanging="360"/>
      </w:pPr>
      <w:rPr>
        <w:rFonts w:cs="Times New Roman"/>
      </w:rPr>
    </w:lvl>
    <w:lvl w:ilvl="2" w:tplc="041B001B" w:tentative="1">
      <w:start w:val="1"/>
      <w:numFmt w:val="lowerRoman"/>
      <w:lvlText w:val="%3."/>
      <w:lvlJc w:val="right"/>
      <w:pPr>
        <w:ind w:left="2651" w:hanging="180"/>
      </w:pPr>
      <w:rPr>
        <w:rFonts w:cs="Times New Roman"/>
      </w:rPr>
    </w:lvl>
    <w:lvl w:ilvl="3" w:tplc="041B000F" w:tentative="1">
      <w:start w:val="1"/>
      <w:numFmt w:val="decimal"/>
      <w:lvlText w:val="%4."/>
      <w:lvlJc w:val="left"/>
      <w:pPr>
        <w:ind w:left="3371" w:hanging="360"/>
      </w:pPr>
      <w:rPr>
        <w:rFonts w:cs="Times New Roman"/>
      </w:rPr>
    </w:lvl>
    <w:lvl w:ilvl="4" w:tplc="041B0019" w:tentative="1">
      <w:start w:val="1"/>
      <w:numFmt w:val="lowerLetter"/>
      <w:lvlText w:val="%5."/>
      <w:lvlJc w:val="left"/>
      <w:pPr>
        <w:ind w:left="4091" w:hanging="360"/>
      </w:pPr>
      <w:rPr>
        <w:rFonts w:cs="Times New Roman"/>
      </w:rPr>
    </w:lvl>
    <w:lvl w:ilvl="5" w:tplc="041B001B" w:tentative="1">
      <w:start w:val="1"/>
      <w:numFmt w:val="lowerRoman"/>
      <w:lvlText w:val="%6."/>
      <w:lvlJc w:val="right"/>
      <w:pPr>
        <w:ind w:left="4811" w:hanging="180"/>
      </w:pPr>
      <w:rPr>
        <w:rFonts w:cs="Times New Roman"/>
      </w:rPr>
    </w:lvl>
    <w:lvl w:ilvl="6" w:tplc="041B000F" w:tentative="1">
      <w:start w:val="1"/>
      <w:numFmt w:val="decimal"/>
      <w:lvlText w:val="%7."/>
      <w:lvlJc w:val="left"/>
      <w:pPr>
        <w:ind w:left="5531" w:hanging="360"/>
      </w:pPr>
      <w:rPr>
        <w:rFonts w:cs="Times New Roman"/>
      </w:rPr>
    </w:lvl>
    <w:lvl w:ilvl="7" w:tplc="041B0019" w:tentative="1">
      <w:start w:val="1"/>
      <w:numFmt w:val="lowerLetter"/>
      <w:lvlText w:val="%8."/>
      <w:lvlJc w:val="left"/>
      <w:pPr>
        <w:ind w:left="6251" w:hanging="360"/>
      </w:pPr>
      <w:rPr>
        <w:rFonts w:cs="Times New Roman"/>
      </w:rPr>
    </w:lvl>
    <w:lvl w:ilvl="8" w:tplc="041B001B" w:tentative="1">
      <w:start w:val="1"/>
      <w:numFmt w:val="lowerRoman"/>
      <w:lvlText w:val="%9."/>
      <w:lvlJc w:val="right"/>
      <w:pPr>
        <w:ind w:left="6971" w:hanging="180"/>
      </w:pPr>
      <w:rPr>
        <w:rFonts w:cs="Times New Roman"/>
      </w:rPr>
    </w:lvl>
  </w:abstractNum>
  <w:abstractNum w:abstractNumId="329">
    <w:nsid w:val="678B19E9"/>
    <w:multiLevelType w:val="hybridMultilevel"/>
    <w:tmpl w:val="60F4F88E"/>
    <w:lvl w:ilvl="0" w:tplc="F33AABA6">
      <w:start w:val="1"/>
      <w:numFmt w:val="decimal"/>
      <w:lvlText w:val="%1."/>
      <w:lvlJc w:val="left"/>
      <w:pPr>
        <w:ind w:left="1080" w:hanging="360"/>
      </w:pPr>
      <w:rPr>
        <w:rFonts w:cs="Times New Roman"/>
        <w:b w:val="0"/>
        <w:i w:val="0"/>
      </w:rPr>
    </w:lvl>
    <w:lvl w:ilvl="1" w:tplc="D3DC3A32">
      <w:start w:val="1"/>
      <w:numFmt w:val="lowerLetter"/>
      <w:lvlText w:val="%2."/>
      <w:lvlJc w:val="left"/>
      <w:pPr>
        <w:ind w:left="1800" w:hanging="360"/>
      </w:pPr>
      <w:rPr>
        <w:rFonts w:cs="Times New Roman"/>
        <w:b w:val="0"/>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30">
    <w:nsid w:val="67BA088F"/>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31">
    <w:nsid w:val="68055E7D"/>
    <w:multiLevelType w:val="hybridMultilevel"/>
    <w:tmpl w:val="6E785F78"/>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2">
    <w:nsid w:val="687926B4"/>
    <w:multiLevelType w:val="hybridMultilevel"/>
    <w:tmpl w:val="83A01586"/>
    <w:lvl w:ilvl="0" w:tplc="041B0011">
      <w:start w:val="1"/>
      <w:numFmt w:val="decimal"/>
      <w:lvlText w:val="%1)"/>
      <w:lvlJc w:val="left"/>
      <w:pPr>
        <w:ind w:left="720" w:hanging="360"/>
      </w:pPr>
      <w:rPr>
        <w:rFonts w:cs="Times New Roman"/>
      </w:rPr>
    </w:lvl>
    <w:lvl w:ilvl="1" w:tplc="041B0011">
      <w:start w:val="1"/>
      <w:numFmt w:val="decimal"/>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3">
    <w:nsid w:val="68793BD2"/>
    <w:multiLevelType w:val="hybridMultilevel"/>
    <w:tmpl w:val="4DD43B28"/>
    <w:lvl w:ilvl="0" w:tplc="041B000F">
      <w:start w:val="1"/>
      <w:numFmt w:val="decimal"/>
      <w:lvlText w:val="%1."/>
      <w:lvlJc w:val="left"/>
      <w:pPr>
        <w:ind w:left="780" w:hanging="360"/>
      </w:pPr>
      <w:rPr>
        <w:rFonts w:cs="Times New Roman"/>
      </w:rPr>
    </w:lvl>
    <w:lvl w:ilvl="1" w:tplc="041B0019" w:tentative="1">
      <w:start w:val="1"/>
      <w:numFmt w:val="lowerLetter"/>
      <w:lvlText w:val="%2."/>
      <w:lvlJc w:val="left"/>
      <w:pPr>
        <w:ind w:left="1500" w:hanging="360"/>
      </w:pPr>
      <w:rPr>
        <w:rFonts w:cs="Times New Roman"/>
      </w:rPr>
    </w:lvl>
    <w:lvl w:ilvl="2" w:tplc="041B001B" w:tentative="1">
      <w:start w:val="1"/>
      <w:numFmt w:val="lowerRoman"/>
      <w:lvlText w:val="%3."/>
      <w:lvlJc w:val="right"/>
      <w:pPr>
        <w:ind w:left="2220" w:hanging="180"/>
      </w:pPr>
      <w:rPr>
        <w:rFonts w:cs="Times New Roman"/>
      </w:rPr>
    </w:lvl>
    <w:lvl w:ilvl="3" w:tplc="041B000F" w:tentative="1">
      <w:start w:val="1"/>
      <w:numFmt w:val="decimal"/>
      <w:lvlText w:val="%4."/>
      <w:lvlJc w:val="left"/>
      <w:pPr>
        <w:ind w:left="2940" w:hanging="360"/>
      </w:pPr>
      <w:rPr>
        <w:rFonts w:cs="Times New Roman"/>
      </w:rPr>
    </w:lvl>
    <w:lvl w:ilvl="4" w:tplc="041B0019" w:tentative="1">
      <w:start w:val="1"/>
      <w:numFmt w:val="lowerLetter"/>
      <w:lvlText w:val="%5."/>
      <w:lvlJc w:val="left"/>
      <w:pPr>
        <w:ind w:left="3660" w:hanging="360"/>
      </w:pPr>
      <w:rPr>
        <w:rFonts w:cs="Times New Roman"/>
      </w:rPr>
    </w:lvl>
    <w:lvl w:ilvl="5" w:tplc="041B001B" w:tentative="1">
      <w:start w:val="1"/>
      <w:numFmt w:val="lowerRoman"/>
      <w:lvlText w:val="%6."/>
      <w:lvlJc w:val="right"/>
      <w:pPr>
        <w:ind w:left="4380" w:hanging="180"/>
      </w:pPr>
      <w:rPr>
        <w:rFonts w:cs="Times New Roman"/>
      </w:rPr>
    </w:lvl>
    <w:lvl w:ilvl="6" w:tplc="041B000F" w:tentative="1">
      <w:start w:val="1"/>
      <w:numFmt w:val="decimal"/>
      <w:lvlText w:val="%7."/>
      <w:lvlJc w:val="left"/>
      <w:pPr>
        <w:ind w:left="5100" w:hanging="360"/>
      </w:pPr>
      <w:rPr>
        <w:rFonts w:cs="Times New Roman"/>
      </w:rPr>
    </w:lvl>
    <w:lvl w:ilvl="7" w:tplc="041B0019" w:tentative="1">
      <w:start w:val="1"/>
      <w:numFmt w:val="lowerLetter"/>
      <w:lvlText w:val="%8."/>
      <w:lvlJc w:val="left"/>
      <w:pPr>
        <w:ind w:left="5820" w:hanging="360"/>
      </w:pPr>
      <w:rPr>
        <w:rFonts w:cs="Times New Roman"/>
      </w:rPr>
    </w:lvl>
    <w:lvl w:ilvl="8" w:tplc="041B001B" w:tentative="1">
      <w:start w:val="1"/>
      <w:numFmt w:val="lowerRoman"/>
      <w:lvlText w:val="%9."/>
      <w:lvlJc w:val="right"/>
      <w:pPr>
        <w:ind w:left="6540" w:hanging="180"/>
      </w:pPr>
      <w:rPr>
        <w:rFonts w:cs="Times New Roman"/>
      </w:rPr>
    </w:lvl>
  </w:abstractNum>
  <w:abstractNum w:abstractNumId="334">
    <w:nsid w:val="68C465F2"/>
    <w:multiLevelType w:val="hybridMultilevel"/>
    <w:tmpl w:val="9BD84948"/>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5">
    <w:nsid w:val="68D16F5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6">
    <w:nsid w:val="68E8576B"/>
    <w:multiLevelType w:val="hybridMultilevel"/>
    <w:tmpl w:val="FE06E6C2"/>
    <w:lvl w:ilvl="0" w:tplc="544C7D66">
      <w:start w:val="1"/>
      <w:numFmt w:val="decimal"/>
      <w:lvlText w:val="%1."/>
      <w:lvlJc w:val="left"/>
      <w:pPr>
        <w:ind w:left="720" w:hanging="360"/>
      </w:pPr>
      <w:rPr>
        <w:rFonts w:cs="Times New Roman"/>
        <w:sz w:val="24"/>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7">
    <w:nsid w:val="68F95A3B"/>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38">
    <w:nsid w:val="69511974"/>
    <w:multiLevelType w:val="hybridMultilevel"/>
    <w:tmpl w:val="16FE4C94"/>
    <w:lvl w:ilvl="0" w:tplc="5820498E">
      <w:start w:val="1"/>
      <w:numFmt w:val="decimal"/>
      <w:lvlText w:val="%1."/>
      <w:lvlJc w:val="left"/>
      <w:pPr>
        <w:tabs>
          <w:tab w:val="num" w:pos="360"/>
        </w:tabs>
        <w:ind w:left="360" w:hanging="360"/>
      </w:pPr>
      <w:rPr>
        <w:rFonts w:cs="Times New Roman"/>
        <w:color w:val="auto"/>
      </w:rPr>
    </w:lvl>
    <w:lvl w:ilvl="1" w:tplc="041B0019">
      <w:start w:val="1"/>
      <w:numFmt w:val="lowerLetter"/>
      <w:lvlText w:val="%2."/>
      <w:lvlJc w:val="left"/>
      <w:pPr>
        <w:tabs>
          <w:tab w:val="num" w:pos="1080"/>
        </w:tabs>
        <w:ind w:left="1080" w:hanging="360"/>
      </w:pPr>
      <w:rPr>
        <w:rFonts w:cs="Times New Roman"/>
      </w:rPr>
    </w:lvl>
    <w:lvl w:ilvl="2" w:tplc="2C366E6E">
      <w:start w:val="1"/>
      <w:numFmt w:val="bullet"/>
      <w:lvlText w:val="-"/>
      <w:lvlJc w:val="left"/>
      <w:pPr>
        <w:tabs>
          <w:tab w:val="num" w:pos="1980"/>
        </w:tabs>
        <w:ind w:left="1980" w:hanging="360"/>
      </w:pPr>
      <w:rPr>
        <w:rFonts w:ascii="Arial" w:hAnsi="Arial" w:hint="default"/>
      </w:rPr>
    </w:lvl>
    <w:lvl w:ilvl="3" w:tplc="041B000F">
      <w:start w:val="1"/>
      <w:numFmt w:val="decimal"/>
      <w:lvlText w:val="%4."/>
      <w:lvlJc w:val="left"/>
      <w:pPr>
        <w:tabs>
          <w:tab w:val="num" w:pos="2520"/>
        </w:tabs>
        <w:ind w:left="2520" w:hanging="360"/>
      </w:pPr>
      <w:rPr>
        <w:rFonts w:cs="Times New Roman"/>
      </w:rPr>
    </w:lvl>
    <w:lvl w:ilvl="4" w:tplc="041B0019">
      <w:start w:val="1"/>
      <w:numFmt w:val="lowerLetter"/>
      <w:lvlText w:val="%5."/>
      <w:lvlJc w:val="left"/>
      <w:pPr>
        <w:tabs>
          <w:tab w:val="num" w:pos="3240"/>
        </w:tabs>
        <w:ind w:left="3240" w:hanging="360"/>
      </w:pPr>
      <w:rPr>
        <w:rFonts w:cs="Times New Roman"/>
      </w:rPr>
    </w:lvl>
    <w:lvl w:ilvl="5" w:tplc="041B001B">
      <w:start w:val="1"/>
      <w:numFmt w:val="lowerRoman"/>
      <w:lvlText w:val="%6."/>
      <w:lvlJc w:val="right"/>
      <w:pPr>
        <w:tabs>
          <w:tab w:val="num" w:pos="3960"/>
        </w:tabs>
        <w:ind w:left="3960" w:hanging="180"/>
      </w:pPr>
      <w:rPr>
        <w:rFonts w:cs="Times New Roman"/>
      </w:rPr>
    </w:lvl>
    <w:lvl w:ilvl="6" w:tplc="041B000F">
      <w:start w:val="1"/>
      <w:numFmt w:val="decimal"/>
      <w:lvlText w:val="%7."/>
      <w:lvlJc w:val="left"/>
      <w:pPr>
        <w:tabs>
          <w:tab w:val="num" w:pos="4680"/>
        </w:tabs>
        <w:ind w:left="4680" w:hanging="360"/>
      </w:pPr>
      <w:rPr>
        <w:rFonts w:cs="Times New Roman"/>
      </w:rPr>
    </w:lvl>
    <w:lvl w:ilvl="7" w:tplc="041B0019">
      <w:start w:val="1"/>
      <w:numFmt w:val="lowerLetter"/>
      <w:lvlText w:val="%8."/>
      <w:lvlJc w:val="left"/>
      <w:pPr>
        <w:tabs>
          <w:tab w:val="num" w:pos="5400"/>
        </w:tabs>
        <w:ind w:left="5400" w:hanging="360"/>
      </w:pPr>
      <w:rPr>
        <w:rFonts w:cs="Times New Roman"/>
      </w:rPr>
    </w:lvl>
    <w:lvl w:ilvl="8" w:tplc="041B001B">
      <w:start w:val="1"/>
      <w:numFmt w:val="lowerRoman"/>
      <w:lvlText w:val="%9."/>
      <w:lvlJc w:val="right"/>
      <w:pPr>
        <w:tabs>
          <w:tab w:val="num" w:pos="6120"/>
        </w:tabs>
        <w:ind w:left="6120" w:hanging="180"/>
      </w:pPr>
      <w:rPr>
        <w:rFonts w:cs="Times New Roman"/>
      </w:rPr>
    </w:lvl>
  </w:abstractNum>
  <w:abstractNum w:abstractNumId="339">
    <w:nsid w:val="695A7444"/>
    <w:multiLevelType w:val="hybridMultilevel"/>
    <w:tmpl w:val="11264036"/>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0">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41">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2">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3">
    <w:nsid w:val="6CA40E28"/>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4">
    <w:nsid w:val="6D133838"/>
    <w:multiLevelType w:val="multilevel"/>
    <w:tmpl w:val="CDEEC0F8"/>
    <w:lvl w:ilvl="0">
      <w:start w:val="1"/>
      <w:numFmt w:val="decimal"/>
      <w:lvlText w:val="%1)"/>
      <w:lvlJc w:val="left"/>
      <w:pPr>
        <w:ind w:left="360" w:hanging="360"/>
      </w:pPr>
      <w:rPr>
        <w:rFonts w:cs="Times New Roman" w:hint="default"/>
        <w:sz w:val="24"/>
      </w:rPr>
    </w:lvl>
    <w:lvl w:ilvl="1">
      <w:start w:val="1"/>
      <w:numFmt w:val="lowerLetter"/>
      <w:lvlText w:val="%2)"/>
      <w:lvlJc w:val="left"/>
      <w:pPr>
        <w:ind w:left="720" w:hanging="360"/>
      </w:pPr>
      <w:rPr>
        <w:rFonts w:cs="Times New Roman" w:hint="default"/>
      </w:rPr>
    </w:lvl>
    <w:lvl w:ilvl="2">
      <w:start w:val="1"/>
      <w:numFmt w:val="decimal"/>
      <w:lvlText w:val="%3)"/>
      <w:lvlJc w:val="left"/>
      <w:pPr>
        <w:ind w:left="1080" w:hanging="360"/>
      </w:pPr>
      <w:rPr>
        <w:rFonts w:cs="Times New Roman" w:hint="default"/>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345">
    <w:nsid w:val="6D9C40BE"/>
    <w:multiLevelType w:val="hybridMultilevel"/>
    <w:tmpl w:val="A6EADAF8"/>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346">
    <w:nsid w:val="6DF81255"/>
    <w:multiLevelType w:val="hybridMultilevel"/>
    <w:tmpl w:val="2FE0EC58"/>
    <w:lvl w:ilvl="0" w:tplc="057CDBA6">
      <w:start w:val="1"/>
      <w:numFmt w:val="lowerLetter"/>
      <w:lvlText w:val="%1)"/>
      <w:lvlJc w:val="left"/>
      <w:pPr>
        <w:ind w:left="1770" w:hanging="360"/>
      </w:pPr>
      <w:rPr>
        <w:rFonts w:cs="Times New Roman" w:hint="default"/>
      </w:rPr>
    </w:lvl>
    <w:lvl w:ilvl="1" w:tplc="041B0019" w:tentative="1">
      <w:start w:val="1"/>
      <w:numFmt w:val="lowerLetter"/>
      <w:lvlText w:val="%2."/>
      <w:lvlJc w:val="left"/>
      <w:pPr>
        <w:ind w:left="2490" w:hanging="360"/>
      </w:pPr>
      <w:rPr>
        <w:rFonts w:cs="Times New Roman"/>
      </w:rPr>
    </w:lvl>
    <w:lvl w:ilvl="2" w:tplc="041B001B" w:tentative="1">
      <w:start w:val="1"/>
      <w:numFmt w:val="lowerRoman"/>
      <w:lvlText w:val="%3."/>
      <w:lvlJc w:val="right"/>
      <w:pPr>
        <w:ind w:left="3210" w:hanging="180"/>
      </w:pPr>
      <w:rPr>
        <w:rFonts w:cs="Times New Roman"/>
      </w:rPr>
    </w:lvl>
    <w:lvl w:ilvl="3" w:tplc="041B000F" w:tentative="1">
      <w:start w:val="1"/>
      <w:numFmt w:val="decimal"/>
      <w:lvlText w:val="%4."/>
      <w:lvlJc w:val="left"/>
      <w:pPr>
        <w:ind w:left="3930" w:hanging="360"/>
      </w:pPr>
      <w:rPr>
        <w:rFonts w:cs="Times New Roman"/>
      </w:rPr>
    </w:lvl>
    <w:lvl w:ilvl="4" w:tplc="041B0019" w:tentative="1">
      <w:start w:val="1"/>
      <w:numFmt w:val="lowerLetter"/>
      <w:lvlText w:val="%5."/>
      <w:lvlJc w:val="left"/>
      <w:pPr>
        <w:ind w:left="4650" w:hanging="360"/>
      </w:pPr>
      <w:rPr>
        <w:rFonts w:cs="Times New Roman"/>
      </w:rPr>
    </w:lvl>
    <w:lvl w:ilvl="5" w:tplc="041B001B" w:tentative="1">
      <w:start w:val="1"/>
      <w:numFmt w:val="lowerRoman"/>
      <w:lvlText w:val="%6."/>
      <w:lvlJc w:val="right"/>
      <w:pPr>
        <w:ind w:left="5370" w:hanging="180"/>
      </w:pPr>
      <w:rPr>
        <w:rFonts w:cs="Times New Roman"/>
      </w:rPr>
    </w:lvl>
    <w:lvl w:ilvl="6" w:tplc="041B000F" w:tentative="1">
      <w:start w:val="1"/>
      <w:numFmt w:val="decimal"/>
      <w:lvlText w:val="%7."/>
      <w:lvlJc w:val="left"/>
      <w:pPr>
        <w:ind w:left="6090" w:hanging="360"/>
      </w:pPr>
      <w:rPr>
        <w:rFonts w:cs="Times New Roman"/>
      </w:rPr>
    </w:lvl>
    <w:lvl w:ilvl="7" w:tplc="041B0019" w:tentative="1">
      <w:start w:val="1"/>
      <w:numFmt w:val="lowerLetter"/>
      <w:lvlText w:val="%8."/>
      <w:lvlJc w:val="left"/>
      <w:pPr>
        <w:ind w:left="6810" w:hanging="360"/>
      </w:pPr>
      <w:rPr>
        <w:rFonts w:cs="Times New Roman"/>
      </w:rPr>
    </w:lvl>
    <w:lvl w:ilvl="8" w:tplc="041B001B" w:tentative="1">
      <w:start w:val="1"/>
      <w:numFmt w:val="lowerRoman"/>
      <w:lvlText w:val="%9."/>
      <w:lvlJc w:val="right"/>
      <w:pPr>
        <w:ind w:left="7530" w:hanging="180"/>
      </w:pPr>
      <w:rPr>
        <w:rFonts w:cs="Times New Roman"/>
      </w:rPr>
    </w:lvl>
  </w:abstractNum>
  <w:abstractNum w:abstractNumId="347">
    <w:nsid w:val="6E0454FC"/>
    <w:multiLevelType w:val="hybridMultilevel"/>
    <w:tmpl w:val="8ACC1BB8"/>
    <w:lvl w:ilvl="0" w:tplc="1ACEB9F6">
      <w:start w:val="1"/>
      <w:numFmt w:val="decimal"/>
      <w:lvlText w:val="%1."/>
      <w:lvlJc w:val="left"/>
      <w:pPr>
        <w:ind w:left="1065" w:hanging="360"/>
      </w:pPr>
      <w:rPr>
        <w:rFonts w:cs="Times New Roman" w:hint="default"/>
      </w:rPr>
    </w:lvl>
    <w:lvl w:ilvl="1" w:tplc="041B0019" w:tentative="1">
      <w:start w:val="1"/>
      <w:numFmt w:val="lowerLetter"/>
      <w:lvlText w:val="%2."/>
      <w:lvlJc w:val="left"/>
      <w:pPr>
        <w:ind w:left="1785" w:hanging="360"/>
      </w:pPr>
      <w:rPr>
        <w:rFonts w:cs="Times New Roman"/>
      </w:rPr>
    </w:lvl>
    <w:lvl w:ilvl="2" w:tplc="041B001B" w:tentative="1">
      <w:start w:val="1"/>
      <w:numFmt w:val="lowerRoman"/>
      <w:lvlText w:val="%3."/>
      <w:lvlJc w:val="right"/>
      <w:pPr>
        <w:ind w:left="2505" w:hanging="180"/>
      </w:pPr>
      <w:rPr>
        <w:rFonts w:cs="Times New Roman"/>
      </w:rPr>
    </w:lvl>
    <w:lvl w:ilvl="3" w:tplc="041B000F" w:tentative="1">
      <w:start w:val="1"/>
      <w:numFmt w:val="decimal"/>
      <w:lvlText w:val="%4."/>
      <w:lvlJc w:val="left"/>
      <w:pPr>
        <w:ind w:left="3225" w:hanging="360"/>
      </w:pPr>
      <w:rPr>
        <w:rFonts w:cs="Times New Roman"/>
      </w:rPr>
    </w:lvl>
    <w:lvl w:ilvl="4" w:tplc="041B0019" w:tentative="1">
      <w:start w:val="1"/>
      <w:numFmt w:val="lowerLetter"/>
      <w:lvlText w:val="%5."/>
      <w:lvlJc w:val="left"/>
      <w:pPr>
        <w:ind w:left="3945" w:hanging="360"/>
      </w:pPr>
      <w:rPr>
        <w:rFonts w:cs="Times New Roman"/>
      </w:rPr>
    </w:lvl>
    <w:lvl w:ilvl="5" w:tplc="041B001B" w:tentative="1">
      <w:start w:val="1"/>
      <w:numFmt w:val="lowerRoman"/>
      <w:lvlText w:val="%6."/>
      <w:lvlJc w:val="right"/>
      <w:pPr>
        <w:ind w:left="4665" w:hanging="180"/>
      </w:pPr>
      <w:rPr>
        <w:rFonts w:cs="Times New Roman"/>
      </w:rPr>
    </w:lvl>
    <w:lvl w:ilvl="6" w:tplc="041B000F" w:tentative="1">
      <w:start w:val="1"/>
      <w:numFmt w:val="decimal"/>
      <w:lvlText w:val="%7."/>
      <w:lvlJc w:val="left"/>
      <w:pPr>
        <w:ind w:left="5385" w:hanging="360"/>
      </w:pPr>
      <w:rPr>
        <w:rFonts w:cs="Times New Roman"/>
      </w:rPr>
    </w:lvl>
    <w:lvl w:ilvl="7" w:tplc="041B0019" w:tentative="1">
      <w:start w:val="1"/>
      <w:numFmt w:val="lowerLetter"/>
      <w:lvlText w:val="%8."/>
      <w:lvlJc w:val="left"/>
      <w:pPr>
        <w:ind w:left="6105" w:hanging="360"/>
      </w:pPr>
      <w:rPr>
        <w:rFonts w:cs="Times New Roman"/>
      </w:rPr>
    </w:lvl>
    <w:lvl w:ilvl="8" w:tplc="041B001B" w:tentative="1">
      <w:start w:val="1"/>
      <w:numFmt w:val="lowerRoman"/>
      <w:lvlText w:val="%9."/>
      <w:lvlJc w:val="right"/>
      <w:pPr>
        <w:ind w:left="6825" w:hanging="180"/>
      </w:pPr>
      <w:rPr>
        <w:rFonts w:cs="Times New Roman"/>
      </w:rPr>
    </w:lvl>
  </w:abstractNum>
  <w:abstractNum w:abstractNumId="348">
    <w:nsid w:val="6ED24879"/>
    <w:multiLevelType w:val="hybridMultilevel"/>
    <w:tmpl w:val="0B6809AE"/>
    <w:lvl w:ilvl="0" w:tplc="55FAE224">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349">
    <w:nsid w:val="6F416876"/>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0">
    <w:nsid w:val="6F5432E3"/>
    <w:multiLevelType w:val="hybridMultilevel"/>
    <w:tmpl w:val="C01CA3B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1">
    <w:nsid w:val="6F9E4E17"/>
    <w:multiLevelType w:val="hybridMultilevel"/>
    <w:tmpl w:val="CACEC0AA"/>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2">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3">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4">
    <w:nsid w:val="701C20B0"/>
    <w:multiLevelType w:val="hybridMultilevel"/>
    <w:tmpl w:val="CEBED13A"/>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55">
    <w:nsid w:val="706A54E9"/>
    <w:multiLevelType w:val="hybridMultilevel"/>
    <w:tmpl w:val="5D6C783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56">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357">
    <w:nsid w:val="71286DBF"/>
    <w:multiLevelType w:val="hybridMultilevel"/>
    <w:tmpl w:val="F26CBACA"/>
    <w:lvl w:ilvl="0" w:tplc="FFFFFFFF">
      <w:start w:val="1"/>
      <w:numFmt w:val="upperLetter"/>
      <w:lvlText w:val="%1."/>
      <w:lvlJc w:val="left"/>
      <w:pPr>
        <w:tabs>
          <w:tab w:val="num" w:pos="720"/>
        </w:tabs>
        <w:ind w:left="720" w:hanging="360"/>
      </w:pPr>
      <w:rPr>
        <w:rFonts w:cs="Times New Roman" w:hint="default"/>
      </w:rPr>
    </w:lvl>
    <w:lvl w:ilvl="1" w:tplc="041B0017">
      <w:start w:val="1"/>
      <w:numFmt w:val="lowerLetter"/>
      <w:lvlText w:val="%2)"/>
      <w:lvlJc w:val="left"/>
      <w:pPr>
        <w:tabs>
          <w:tab w:val="num" w:pos="720"/>
        </w:tabs>
        <w:ind w:left="720" w:hanging="360"/>
      </w:pPr>
      <w:rPr>
        <w:rFonts w:cs="Times New Roman" w:hint="default"/>
        <w:color w:val="auto"/>
        <w:sz w:val="24"/>
        <w:szCs w:val="24"/>
      </w:rPr>
    </w:lvl>
    <w:lvl w:ilvl="2" w:tplc="FFFFFFFF">
      <w:start w:val="6"/>
      <w:numFmt w:val="decimal"/>
      <w:lvlText w:val="%3."/>
      <w:lvlJc w:val="left"/>
      <w:pPr>
        <w:tabs>
          <w:tab w:val="num" w:pos="360"/>
        </w:tabs>
        <w:ind w:left="360" w:hanging="360"/>
      </w:pPr>
      <w:rPr>
        <w:rFonts w:cs="Times New Roman" w:hint="default"/>
        <w:color w:val="auto"/>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58">
    <w:nsid w:val="716B5641"/>
    <w:multiLevelType w:val="hybridMultilevel"/>
    <w:tmpl w:val="D9B69706"/>
    <w:lvl w:ilvl="0" w:tplc="530C6558">
      <w:start w:val="1"/>
      <w:numFmt w:val="decimal"/>
      <w:lvlText w:val="%1."/>
      <w:lvlJc w:val="left"/>
      <w:pPr>
        <w:ind w:left="720" w:hanging="360"/>
      </w:pPr>
      <w:rPr>
        <w:rFonts w:cs="Times New Roman" w:hint="default"/>
        <w:color w:val="auto"/>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9">
    <w:nsid w:val="71D6728D"/>
    <w:multiLevelType w:val="hybridMultilevel"/>
    <w:tmpl w:val="F8C8BAFE"/>
    <w:lvl w:ilvl="0" w:tplc="9B14F07A">
      <w:start w:val="1"/>
      <w:numFmt w:val="lowerLetter"/>
      <w:lvlText w:val="%1)"/>
      <w:lvlJc w:val="left"/>
      <w:pPr>
        <w:tabs>
          <w:tab w:val="num" w:pos="720"/>
        </w:tabs>
        <w:ind w:left="720" w:hanging="360"/>
      </w:pPr>
      <w:rPr>
        <w:rFonts w:cs="Times New Roman" w:hint="default"/>
      </w:rPr>
    </w:lvl>
    <w:lvl w:ilvl="1" w:tplc="041B0019" w:tentative="1">
      <w:start w:val="1"/>
      <w:numFmt w:val="lowerLetter"/>
      <w:lvlText w:val="%2."/>
      <w:lvlJc w:val="left"/>
      <w:pPr>
        <w:tabs>
          <w:tab w:val="num" w:pos="1800"/>
        </w:tabs>
        <w:ind w:left="1800" w:hanging="360"/>
      </w:pPr>
      <w:rPr>
        <w:rFonts w:cs="Times New Roman"/>
      </w:rPr>
    </w:lvl>
    <w:lvl w:ilvl="2" w:tplc="041B001B" w:tentative="1">
      <w:start w:val="1"/>
      <w:numFmt w:val="lowerRoman"/>
      <w:lvlText w:val="%3."/>
      <w:lvlJc w:val="right"/>
      <w:pPr>
        <w:tabs>
          <w:tab w:val="num" w:pos="2520"/>
        </w:tabs>
        <w:ind w:left="2520" w:hanging="180"/>
      </w:pPr>
      <w:rPr>
        <w:rFonts w:cs="Times New Roman"/>
      </w:rPr>
    </w:lvl>
    <w:lvl w:ilvl="3" w:tplc="041B000F" w:tentative="1">
      <w:start w:val="1"/>
      <w:numFmt w:val="decimal"/>
      <w:lvlText w:val="%4."/>
      <w:lvlJc w:val="left"/>
      <w:pPr>
        <w:tabs>
          <w:tab w:val="num" w:pos="3240"/>
        </w:tabs>
        <w:ind w:left="3240" w:hanging="360"/>
      </w:pPr>
      <w:rPr>
        <w:rFonts w:cs="Times New Roman"/>
      </w:rPr>
    </w:lvl>
    <w:lvl w:ilvl="4" w:tplc="041B0019" w:tentative="1">
      <w:start w:val="1"/>
      <w:numFmt w:val="lowerLetter"/>
      <w:lvlText w:val="%5."/>
      <w:lvlJc w:val="left"/>
      <w:pPr>
        <w:tabs>
          <w:tab w:val="num" w:pos="3960"/>
        </w:tabs>
        <w:ind w:left="3960" w:hanging="360"/>
      </w:pPr>
      <w:rPr>
        <w:rFonts w:cs="Times New Roman"/>
      </w:rPr>
    </w:lvl>
    <w:lvl w:ilvl="5" w:tplc="041B001B" w:tentative="1">
      <w:start w:val="1"/>
      <w:numFmt w:val="lowerRoman"/>
      <w:lvlText w:val="%6."/>
      <w:lvlJc w:val="right"/>
      <w:pPr>
        <w:tabs>
          <w:tab w:val="num" w:pos="4680"/>
        </w:tabs>
        <w:ind w:left="4680" w:hanging="180"/>
      </w:pPr>
      <w:rPr>
        <w:rFonts w:cs="Times New Roman"/>
      </w:rPr>
    </w:lvl>
    <w:lvl w:ilvl="6" w:tplc="041B000F" w:tentative="1">
      <w:start w:val="1"/>
      <w:numFmt w:val="decimal"/>
      <w:lvlText w:val="%7."/>
      <w:lvlJc w:val="left"/>
      <w:pPr>
        <w:tabs>
          <w:tab w:val="num" w:pos="5400"/>
        </w:tabs>
        <w:ind w:left="5400" w:hanging="360"/>
      </w:pPr>
      <w:rPr>
        <w:rFonts w:cs="Times New Roman"/>
      </w:rPr>
    </w:lvl>
    <w:lvl w:ilvl="7" w:tplc="041B0019" w:tentative="1">
      <w:start w:val="1"/>
      <w:numFmt w:val="lowerLetter"/>
      <w:lvlText w:val="%8."/>
      <w:lvlJc w:val="left"/>
      <w:pPr>
        <w:tabs>
          <w:tab w:val="num" w:pos="6120"/>
        </w:tabs>
        <w:ind w:left="6120" w:hanging="360"/>
      </w:pPr>
      <w:rPr>
        <w:rFonts w:cs="Times New Roman"/>
      </w:rPr>
    </w:lvl>
    <w:lvl w:ilvl="8" w:tplc="041B001B" w:tentative="1">
      <w:start w:val="1"/>
      <w:numFmt w:val="lowerRoman"/>
      <w:lvlText w:val="%9."/>
      <w:lvlJc w:val="right"/>
      <w:pPr>
        <w:tabs>
          <w:tab w:val="num" w:pos="6840"/>
        </w:tabs>
        <w:ind w:left="6840" w:hanging="180"/>
      </w:pPr>
      <w:rPr>
        <w:rFonts w:cs="Times New Roman"/>
      </w:rPr>
    </w:lvl>
  </w:abstractNum>
  <w:abstractNum w:abstractNumId="360">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61">
    <w:nsid w:val="71F21215"/>
    <w:multiLevelType w:val="hybridMultilevel"/>
    <w:tmpl w:val="CA4A24BA"/>
    <w:lvl w:ilvl="0" w:tplc="041B0017">
      <w:start w:val="1"/>
      <w:numFmt w:val="lowerLetter"/>
      <w:lvlText w:val="%1)"/>
      <w:lvlJc w:val="left"/>
      <w:pPr>
        <w:ind w:left="720" w:hanging="360"/>
      </w:pPr>
      <w:rPr>
        <w:rFonts w:cs="Times New Roman" w:hint="default"/>
      </w:rPr>
    </w:lvl>
    <w:lvl w:ilvl="1" w:tplc="041B0003" w:tentative="1">
      <w:start w:val="1"/>
      <w:numFmt w:val="bullet"/>
      <w:lvlText w:val="o"/>
      <w:lvlJc w:val="left"/>
      <w:pPr>
        <w:ind w:left="1440" w:hanging="360"/>
      </w:pPr>
      <w:rPr>
        <w:rFonts w:ascii="Courier New" w:hAnsi="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2">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363">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4">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65">
    <w:nsid w:val="72A0333E"/>
    <w:multiLevelType w:val="hybridMultilevel"/>
    <w:tmpl w:val="40F20BFA"/>
    <w:lvl w:ilvl="0" w:tplc="E732EA54">
      <w:start w:val="1"/>
      <w:numFmt w:val="decimal"/>
      <w:lvlText w:val="%1."/>
      <w:lvlJc w:val="left"/>
      <w:pPr>
        <w:ind w:left="3240" w:hanging="360"/>
      </w:pPr>
      <w:rPr>
        <w:rFonts w:cs="Times New Roman"/>
        <w:i w:val="0"/>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6">
    <w:nsid w:val="73107679"/>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7">
    <w:nsid w:val="73221F34"/>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68">
    <w:nsid w:val="74262B4C"/>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69">
    <w:nsid w:val="743A172F"/>
    <w:multiLevelType w:val="hybridMultilevel"/>
    <w:tmpl w:val="364EB38E"/>
    <w:lvl w:ilvl="0" w:tplc="041B0017">
      <w:start w:val="1"/>
      <w:numFmt w:val="lowerLetter"/>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0">
    <w:nsid w:val="74831540"/>
    <w:multiLevelType w:val="hybridMultilevel"/>
    <w:tmpl w:val="A2A4FBFA"/>
    <w:lvl w:ilvl="0" w:tplc="041B0017">
      <w:start w:val="1"/>
      <w:numFmt w:val="lowerLetter"/>
      <w:lvlText w:val="%1)"/>
      <w:lvlJc w:val="left"/>
      <w:pPr>
        <w:ind w:left="1069" w:hanging="360"/>
      </w:pPr>
      <w:rPr>
        <w:rFonts w:cs="Times New Roman"/>
      </w:rPr>
    </w:lvl>
    <w:lvl w:ilvl="1" w:tplc="041B0019" w:tentative="1">
      <w:start w:val="1"/>
      <w:numFmt w:val="lowerLetter"/>
      <w:lvlText w:val="%2."/>
      <w:lvlJc w:val="left"/>
      <w:pPr>
        <w:ind w:left="1789" w:hanging="360"/>
      </w:pPr>
      <w:rPr>
        <w:rFonts w:cs="Times New Roman"/>
      </w:rPr>
    </w:lvl>
    <w:lvl w:ilvl="2" w:tplc="041B001B" w:tentative="1">
      <w:start w:val="1"/>
      <w:numFmt w:val="lowerRoman"/>
      <w:lvlText w:val="%3."/>
      <w:lvlJc w:val="right"/>
      <w:pPr>
        <w:ind w:left="2509" w:hanging="180"/>
      </w:pPr>
      <w:rPr>
        <w:rFonts w:cs="Times New Roman"/>
      </w:rPr>
    </w:lvl>
    <w:lvl w:ilvl="3" w:tplc="041B000F" w:tentative="1">
      <w:start w:val="1"/>
      <w:numFmt w:val="decimal"/>
      <w:lvlText w:val="%4."/>
      <w:lvlJc w:val="left"/>
      <w:pPr>
        <w:ind w:left="3229" w:hanging="360"/>
      </w:pPr>
      <w:rPr>
        <w:rFonts w:cs="Times New Roman"/>
      </w:rPr>
    </w:lvl>
    <w:lvl w:ilvl="4" w:tplc="041B0019" w:tentative="1">
      <w:start w:val="1"/>
      <w:numFmt w:val="lowerLetter"/>
      <w:lvlText w:val="%5."/>
      <w:lvlJc w:val="left"/>
      <w:pPr>
        <w:ind w:left="3949" w:hanging="360"/>
      </w:pPr>
      <w:rPr>
        <w:rFonts w:cs="Times New Roman"/>
      </w:rPr>
    </w:lvl>
    <w:lvl w:ilvl="5" w:tplc="041B001B" w:tentative="1">
      <w:start w:val="1"/>
      <w:numFmt w:val="lowerRoman"/>
      <w:lvlText w:val="%6."/>
      <w:lvlJc w:val="right"/>
      <w:pPr>
        <w:ind w:left="4669" w:hanging="180"/>
      </w:pPr>
      <w:rPr>
        <w:rFonts w:cs="Times New Roman"/>
      </w:rPr>
    </w:lvl>
    <w:lvl w:ilvl="6" w:tplc="041B000F" w:tentative="1">
      <w:start w:val="1"/>
      <w:numFmt w:val="decimal"/>
      <w:lvlText w:val="%7."/>
      <w:lvlJc w:val="left"/>
      <w:pPr>
        <w:ind w:left="5389" w:hanging="360"/>
      </w:pPr>
      <w:rPr>
        <w:rFonts w:cs="Times New Roman"/>
      </w:rPr>
    </w:lvl>
    <w:lvl w:ilvl="7" w:tplc="041B0019" w:tentative="1">
      <w:start w:val="1"/>
      <w:numFmt w:val="lowerLetter"/>
      <w:lvlText w:val="%8."/>
      <w:lvlJc w:val="left"/>
      <w:pPr>
        <w:ind w:left="6109" w:hanging="360"/>
      </w:pPr>
      <w:rPr>
        <w:rFonts w:cs="Times New Roman"/>
      </w:rPr>
    </w:lvl>
    <w:lvl w:ilvl="8" w:tplc="041B001B" w:tentative="1">
      <w:start w:val="1"/>
      <w:numFmt w:val="lowerRoman"/>
      <w:lvlText w:val="%9."/>
      <w:lvlJc w:val="right"/>
      <w:pPr>
        <w:ind w:left="6829" w:hanging="180"/>
      </w:pPr>
      <w:rPr>
        <w:rFonts w:cs="Times New Roman"/>
      </w:rPr>
    </w:lvl>
  </w:abstractNum>
  <w:abstractNum w:abstractNumId="371">
    <w:nsid w:val="74C320C0"/>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2">
    <w:nsid w:val="75200CC2"/>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3">
    <w:nsid w:val="75593406"/>
    <w:multiLevelType w:val="hybridMultilevel"/>
    <w:tmpl w:val="B2E0CD2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4">
    <w:nsid w:val="757438A2"/>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5">
    <w:nsid w:val="75B20FE9"/>
    <w:multiLevelType w:val="hybridMultilevel"/>
    <w:tmpl w:val="3354A5A6"/>
    <w:lvl w:ilvl="0" w:tplc="041B000F">
      <w:start w:val="1"/>
      <w:numFmt w:val="decimal"/>
      <w:lvlText w:val="%1."/>
      <w:lvlJc w:val="left"/>
      <w:pPr>
        <w:ind w:left="644"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6">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7">
    <w:nsid w:val="76E4623D"/>
    <w:multiLevelType w:val="hybridMultilevel"/>
    <w:tmpl w:val="781AF8F8"/>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78">
    <w:nsid w:val="77235951"/>
    <w:multiLevelType w:val="hybridMultilevel"/>
    <w:tmpl w:val="70749AD8"/>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9">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cs="Times New Roman"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0">
    <w:nsid w:val="7789169D"/>
    <w:multiLevelType w:val="hybridMultilevel"/>
    <w:tmpl w:val="7F461F3C"/>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1">
    <w:nsid w:val="7792765B"/>
    <w:multiLevelType w:val="hybridMultilevel"/>
    <w:tmpl w:val="A600BB8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2">
    <w:nsid w:val="779608F5"/>
    <w:multiLevelType w:val="hybridMultilevel"/>
    <w:tmpl w:val="EED60F44"/>
    <w:lvl w:ilvl="0" w:tplc="041B000F">
      <w:start w:val="1"/>
      <w:numFmt w:val="decimal"/>
      <w:lvlText w:val="%1."/>
      <w:lvlJc w:val="left"/>
      <w:pPr>
        <w:ind w:left="4897"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3">
    <w:nsid w:val="77C460BB"/>
    <w:multiLevelType w:val="hybridMultilevel"/>
    <w:tmpl w:val="62C49776"/>
    <w:lvl w:ilvl="0" w:tplc="041B0017">
      <w:start w:val="1"/>
      <w:numFmt w:val="lowerLetter"/>
      <w:lvlText w:val="%1)"/>
      <w:lvlJc w:val="left"/>
      <w:pPr>
        <w:ind w:left="1494" w:hanging="360"/>
      </w:pPr>
      <w:rPr>
        <w:rFonts w:cs="Times New Roman"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384">
    <w:nsid w:val="77C81716"/>
    <w:multiLevelType w:val="hybridMultilevel"/>
    <w:tmpl w:val="FD3EBFC6"/>
    <w:lvl w:ilvl="0" w:tplc="041B0017">
      <w:start w:val="1"/>
      <w:numFmt w:val="lowerLetter"/>
      <w:lvlText w:val="%1)"/>
      <w:lvlJc w:val="left"/>
      <w:pPr>
        <w:ind w:left="1080" w:hanging="360"/>
      </w:pPr>
      <w:rPr>
        <w:rFonts w:cs="Times New Roman"/>
      </w:rPr>
    </w:lvl>
    <w:lvl w:ilvl="1" w:tplc="041B0019">
      <w:start w:val="1"/>
      <w:numFmt w:val="lowerLetter"/>
      <w:lvlText w:val="%2."/>
      <w:lvlJc w:val="left"/>
      <w:pPr>
        <w:ind w:left="1800" w:hanging="360"/>
      </w:pPr>
      <w:rPr>
        <w:rFonts w:cs="Times New Roman"/>
      </w:rPr>
    </w:lvl>
    <w:lvl w:ilvl="2" w:tplc="041B001B">
      <w:start w:val="1"/>
      <w:numFmt w:val="lowerRoman"/>
      <w:lvlText w:val="%3."/>
      <w:lvlJc w:val="right"/>
      <w:pPr>
        <w:ind w:left="2520" w:hanging="180"/>
      </w:pPr>
      <w:rPr>
        <w:rFonts w:cs="Times New Roman"/>
      </w:rPr>
    </w:lvl>
    <w:lvl w:ilvl="3" w:tplc="041B000F">
      <w:start w:val="1"/>
      <w:numFmt w:val="decimal"/>
      <w:lvlText w:val="%4."/>
      <w:lvlJc w:val="left"/>
      <w:pPr>
        <w:ind w:left="3240" w:hanging="360"/>
      </w:pPr>
      <w:rPr>
        <w:rFonts w:cs="Times New Roman"/>
      </w:rPr>
    </w:lvl>
    <w:lvl w:ilvl="4" w:tplc="041B0019">
      <w:start w:val="1"/>
      <w:numFmt w:val="lowerLetter"/>
      <w:lvlText w:val="%5."/>
      <w:lvlJc w:val="left"/>
      <w:pPr>
        <w:ind w:left="3960" w:hanging="360"/>
      </w:pPr>
      <w:rPr>
        <w:rFonts w:cs="Times New Roman"/>
      </w:rPr>
    </w:lvl>
    <w:lvl w:ilvl="5" w:tplc="041B001B">
      <w:start w:val="1"/>
      <w:numFmt w:val="lowerRoman"/>
      <w:lvlText w:val="%6."/>
      <w:lvlJc w:val="right"/>
      <w:pPr>
        <w:ind w:left="4680" w:hanging="180"/>
      </w:pPr>
      <w:rPr>
        <w:rFonts w:cs="Times New Roman"/>
      </w:rPr>
    </w:lvl>
    <w:lvl w:ilvl="6" w:tplc="041B000F">
      <w:start w:val="1"/>
      <w:numFmt w:val="decimal"/>
      <w:lvlText w:val="%7."/>
      <w:lvlJc w:val="left"/>
      <w:pPr>
        <w:ind w:left="5400" w:hanging="360"/>
      </w:pPr>
      <w:rPr>
        <w:rFonts w:cs="Times New Roman"/>
      </w:rPr>
    </w:lvl>
    <w:lvl w:ilvl="7" w:tplc="041B0019">
      <w:start w:val="1"/>
      <w:numFmt w:val="lowerLetter"/>
      <w:lvlText w:val="%8."/>
      <w:lvlJc w:val="left"/>
      <w:pPr>
        <w:ind w:left="6120" w:hanging="360"/>
      </w:pPr>
      <w:rPr>
        <w:rFonts w:cs="Times New Roman"/>
      </w:rPr>
    </w:lvl>
    <w:lvl w:ilvl="8" w:tplc="041B001B">
      <w:start w:val="1"/>
      <w:numFmt w:val="lowerRoman"/>
      <w:lvlText w:val="%9."/>
      <w:lvlJc w:val="right"/>
      <w:pPr>
        <w:ind w:left="6840" w:hanging="180"/>
      </w:pPr>
      <w:rPr>
        <w:rFonts w:cs="Times New Roman"/>
      </w:rPr>
    </w:lvl>
  </w:abstractNum>
  <w:abstractNum w:abstractNumId="385">
    <w:nsid w:val="77D0468F"/>
    <w:multiLevelType w:val="hybridMultilevel"/>
    <w:tmpl w:val="2E7C9204"/>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86">
    <w:nsid w:val="79C13EB4"/>
    <w:multiLevelType w:val="hybridMultilevel"/>
    <w:tmpl w:val="6D5CE082"/>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7">
    <w:nsid w:val="7A2478F1"/>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88">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89">
    <w:nsid w:val="7B454933"/>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0">
    <w:nsid w:val="7BD03F1A"/>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1">
    <w:nsid w:val="7C4A051C"/>
    <w:multiLevelType w:val="hybridMultilevel"/>
    <w:tmpl w:val="A808BD22"/>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2">
    <w:nsid w:val="7C4C552A"/>
    <w:multiLevelType w:val="hybridMultilevel"/>
    <w:tmpl w:val="B768898C"/>
    <w:lvl w:ilvl="0" w:tplc="041B000F">
      <w:start w:val="1"/>
      <w:numFmt w:val="decimal"/>
      <w:lvlText w:val="%1."/>
      <w:lvlJc w:val="left"/>
      <w:pPr>
        <w:ind w:left="720"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3">
    <w:nsid w:val="7CA04B75"/>
    <w:multiLevelType w:val="hybridMultilevel"/>
    <w:tmpl w:val="3ACACA48"/>
    <w:lvl w:ilvl="0" w:tplc="041B0017">
      <w:start w:val="1"/>
      <w:numFmt w:val="lowerLetter"/>
      <w:lvlText w:val="%1)"/>
      <w:lvlJc w:val="left"/>
      <w:pPr>
        <w:ind w:left="1428" w:hanging="360"/>
      </w:pPr>
      <w:rPr>
        <w:rFonts w:cs="Times New Roman"/>
      </w:rPr>
    </w:lvl>
    <w:lvl w:ilvl="1" w:tplc="041B0019" w:tentative="1">
      <w:start w:val="1"/>
      <w:numFmt w:val="lowerLetter"/>
      <w:lvlText w:val="%2."/>
      <w:lvlJc w:val="left"/>
      <w:pPr>
        <w:ind w:left="2148" w:hanging="360"/>
      </w:pPr>
      <w:rPr>
        <w:rFonts w:cs="Times New Roman"/>
      </w:rPr>
    </w:lvl>
    <w:lvl w:ilvl="2" w:tplc="041B001B" w:tentative="1">
      <w:start w:val="1"/>
      <w:numFmt w:val="lowerRoman"/>
      <w:lvlText w:val="%3."/>
      <w:lvlJc w:val="right"/>
      <w:pPr>
        <w:ind w:left="2868" w:hanging="180"/>
      </w:pPr>
      <w:rPr>
        <w:rFonts w:cs="Times New Roman"/>
      </w:rPr>
    </w:lvl>
    <w:lvl w:ilvl="3" w:tplc="041B000F" w:tentative="1">
      <w:start w:val="1"/>
      <w:numFmt w:val="decimal"/>
      <w:lvlText w:val="%4."/>
      <w:lvlJc w:val="left"/>
      <w:pPr>
        <w:ind w:left="3588" w:hanging="360"/>
      </w:pPr>
      <w:rPr>
        <w:rFonts w:cs="Times New Roman"/>
      </w:rPr>
    </w:lvl>
    <w:lvl w:ilvl="4" w:tplc="041B0019" w:tentative="1">
      <w:start w:val="1"/>
      <w:numFmt w:val="lowerLetter"/>
      <w:lvlText w:val="%5."/>
      <w:lvlJc w:val="left"/>
      <w:pPr>
        <w:ind w:left="4308" w:hanging="360"/>
      </w:pPr>
      <w:rPr>
        <w:rFonts w:cs="Times New Roman"/>
      </w:rPr>
    </w:lvl>
    <w:lvl w:ilvl="5" w:tplc="041B001B" w:tentative="1">
      <w:start w:val="1"/>
      <w:numFmt w:val="lowerRoman"/>
      <w:lvlText w:val="%6."/>
      <w:lvlJc w:val="right"/>
      <w:pPr>
        <w:ind w:left="5028" w:hanging="180"/>
      </w:pPr>
      <w:rPr>
        <w:rFonts w:cs="Times New Roman"/>
      </w:rPr>
    </w:lvl>
    <w:lvl w:ilvl="6" w:tplc="041B000F" w:tentative="1">
      <w:start w:val="1"/>
      <w:numFmt w:val="decimal"/>
      <w:lvlText w:val="%7."/>
      <w:lvlJc w:val="left"/>
      <w:pPr>
        <w:ind w:left="5748" w:hanging="360"/>
      </w:pPr>
      <w:rPr>
        <w:rFonts w:cs="Times New Roman"/>
      </w:rPr>
    </w:lvl>
    <w:lvl w:ilvl="7" w:tplc="041B0019" w:tentative="1">
      <w:start w:val="1"/>
      <w:numFmt w:val="lowerLetter"/>
      <w:lvlText w:val="%8."/>
      <w:lvlJc w:val="left"/>
      <w:pPr>
        <w:ind w:left="6468" w:hanging="360"/>
      </w:pPr>
      <w:rPr>
        <w:rFonts w:cs="Times New Roman"/>
      </w:rPr>
    </w:lvl>
    <w:lvl w:ilvl="8" w:tplc="041B001B" w:tentative="1">
      <w:start w:val="1"/>
      <w:numFmt w:val="lowerRoman"/>
      <w:lvlText w:val="%9."/>
      <w:lvlJc w:val="right"/>
      <w:pPr>
        <w:ind w:left="7188" w:hanging="180"/>
      </w:pPr>
      <w:rPr>
        <w:rFonts w:cs="Times New Roman"/>
      </w:rPr>
    </w:lvl>
  </w:abstractNum>
  <w:abstractNum w:abstractNumId="394">
    <w:nsid w:val="7CD67AE9"/>
    <w:multiLevelType w:val="hybridMultilevel"/>
    <w:tmpl w:val="48569982"/>
    <w:lvl w:ilvl="0" w:tplc="041B000F">
      <w:start w:val="1"/>
      <w:numFmt w:val="decimal"/>
      <w:lvlText w:val="%1."/>
      <w:lvlJc w:val="left"/>
      <w:pPr>
        <w:ind w:left="720" w:hanging="360"/>
      </w:pPr>
      <w:rPr>
        <w:rFonts w:cs="Times New Roman" w:hint="default"/>
      </w:rPr>
    </w:lvl>
    <w:lvl w:ilvl="1" w:tplc="041B0019">
      <w:start w:val="1"/>
      <w:numFmt w:val="lowerLetter"/>
      <w:lvlText w:val="%2."/>
      <w:lvlJc w:val="left"/>
      <w:pPr>
        <w:ind w:left="1440" w:hanging="360"/>
      </w:pPr>
      <w:rPr>
        <w:rFonts w:cs="Times New Roman"/>
      </w:rPr>
    </w:lvl>
    <w:lvl w:ilvl="2" w:tplc="443E4DF2">
      <w:start w:val="1"/>
      <w:numFmt w:val="lowerLetter"/>
      <w:lvlText w:val="%3.)"/>
      <w:lvlJc w:val="left"/>
      <w:pPr>
        <w:ind w:left="2340" w:hanging="360"/>
      </w:pPr>
      <w:rPr>
        <w:rFonts w:cs="Times New Roman" w:hint="default"/>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5">
    <w:nsid w:val="7CE07F51"/>
    <w:multiLevelType w:val="hybridMultilevel"/>
    <w:tmpl w:val="5522501E"/>
    <w:lvl w:ilvl="0" w:tplc="041B000F">
      <w:start w:val="1"/>
      <w:numFmt w:val="decimal"/>
      <w:lvlText w:val="%1."/>
      <w:lvlJc w:val="left"/>
      <w:pPr>
        <w:ind w:left="720" w:hanging="360"/>
      </w:pPr>
      <w:rPr>
        <w:rFonts w:cs="Times New Roman" w:hint="default"/>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6">
    <w:nsid w:val="7D186827"/>
    <w:multiLevelType w:val="hybridMultilevel"/>
    <w:tmpl w:val="BEF2DDF0"/>
    <w:lvl w:ilvl="0" w:tplc="041B000F">
      <w:start w:val="1"/>
      <w:numFmt w:val="decimal"/>
      <w:lvlText w:val="%1."/>
      <w:lvlJc w:val="left"/>
      <w:pPr>
        <w:ind w:left="720" w:hanging="360"/>
      </w:pPr>
      <w:rPr>
        <w:rFonts w:cs="Times New Roman"/>
      </w:rPr>
    </w:lvl>
    <w:lvl w:ilvl="1" w:tplc="041B0017">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397">
    <w:nsid w:val="7D405415"/>
    <w:multiLevelType w:val="hybridMultilevel"/>
    <w:tmpl w:val="1D20B8D0"/>
    <w:lvl w:ilvl="0" w:tplc="041B000F">
      <w:start w:val="1"/>
      <w:numFmt w:val="decimal"/>
      <w:lvlText w:val="%1."/>
      <w:lvlJc w:val="left"/>
      <w:pPr>
        <w:ind w:left="720" w:hanging="360"/>
      </w:pPr>
      <w:rPr>
        <w:rFonts w:cs="Times New Roman"/>
      </w:rPr>
    </w:lvl>
    <w:lvl w:ilvl="1" w:tplc="BA225964">
      <w:start w:val="1"/>
      <w:numFmt w:val="lowerLetter"/>
      <w:lvlText w:val="%2)"/>
      <w:lvlJc w:val="left"/>
      <w:pPr>
        <w:ind w:left="1440" w:hanging="360"/>
      </w:pPr>
      <w:rPr>
        <w:rFonts w:cs="Times New Roman" w:hint="default"/>
      </w:rPr>
    </w:lvl>
    <w:lvl w:ilvl="2" w:tplc="041B001B">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8">
    <w:nsid w:val="7DBA0F58"/>
    <w:multiLevelType w:val="hybridMultilevel"/>
    <w:tmpl w:val="2F16BABA"/>
    <w:lvl w:ilvl="0" w:tplc="041B0017">
      <w:start w:val="1"/>
      <w:numFmt w:val="lowerLetter"/>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99">
    <w:nsid w:val="7DEC1B3B"/>
    <w:multiLevelType w:val="hybridMultilevel"/>
    <w:tmpl w:val="B2A63534"/>
    <w:lvl w:ilvl="0" w:tplc="80A262AA">
      <w:start w:val="1"/>
      <w:numFmt w:val="lowerLetter"/>
      <w:lvlText w:val="%1)"/>
      <w:lvlJc w:val="left"/>
      <w:pPr>
        <w:ind w:left="786" w:hanging="360"/>
      </w:pPr>
      <w:rPr>
        <w:rFonts w:cs="Times New Roman" w:hint="default"/>
      </w:rPr>
    </w:lvl>
    <w:lvl w:ilvl="1" w:tplc="041B0019" w:tentative="1">
      <w:start w:val="1"/>
      <w:numFmt w:val="lowerLetter"/>
      <w:lvlText w:val="%2."/>
      <w:lvlJc w:val="left"/>
      <w:pPr>
        <w:ind w:left="1506" w:hanging="360"/>
      </w:pPr>
      <w:rPr>
        <w:rFonts w:cs="Times New Roman"/>
      </w:rPr>
    </w:lvl>
    <w:lvl w:ilvl="2" w:tplc="041B001B" w:tentative="1">
      <w:start w:val="1"/>
      <w:numFmt w:val="lowerRoman"/>
      <w:lvlText w:val="%3."/>
      <w:lvlJc w:val="right"/>
      <w:pPr>
        <w:ind w:left="2226" w:hanging="180"/>
      </w:pPr>
      <w:rPr>
        <w:rFonts w:cs="Times New Roman"/>
      </w:rPr>
    </w:lvl>
    <w:lvl w:ilvl="3" w:tplc="041B000F" w:tentative="1">
      <w:start w:val="1"/>
      <w:numFmt w:val="decimal"/>
      <w:lvlText w:val="%4."/>
      <w:lvlJc w:val="left"/>
      <w:pPr>
        <w:ind w:left="2946" w:hanging="360"/>
      </w:pPr>
      <w:rPr>
        <w:rFonts w:cs="Times New Roman"/>
      </w:rPr>
    </w:lvl>
    <w:lvl w:ilvl="4" w:tplc="041B0019" w:tentative="1">
      <w:start w:val="1"/>
      <w:numFmt w:val="lowerLetter"/>
      <w:lvlText w:val="%5."/>
      <w:lvlJc w:val="left"/>
      <w:pPr>
        <w:ind w:left="3666" w:hanging="360"/>
      </w:pPr>
      <w:rPr>
        <w:rFonts w:cs="Times New Roman"/>
      </w:rPr>
    </w:lvl>
    <w:lvl w:ilvl="5" w:tplc="041B001B" w:tentative="1">
      <w:start w:val="1"/>
      <w:numFmt w:val="lowerRoman"/>
      <w:lvlText w:val="%6."/>
      <w:lvlJc w:val="right"/>
      <w:pPr>
        <w:ind w:left="4386" w:hanging="180"/>
      </w:pPr>
      <w:rPr>
        <w:rFonts w:cs="Times New Roman"/>
      </w:rPr>
    </w:lvl>
    <w:lvl w:ilvl="6" w:tplc="041B000F" w:tentative="1">
      <w:start w:val="1"/>
      <w:numFmt w:val="decimal"/>
      <w:lvlText w:val="%7."/>
      <w:lvlJc w:val="left"/>
      <w:pPr>
        <w:ind w:left="5106" w:hanging="360"/>
      </w:pPr>
      <w:rPr>
        <w:rFonts w:cs="Times New Roman"/>
      </w:rPr>
    </w:lvl>
    <w:lvl w:ilvl="7" w:tplc="041B0019" w:tentative="1">
      <w:start w:val="1"/>
      <w:numFmt w:val="lowerLetter"/>
      <w:lvlText w:val="%8."/>
      <w:lvlJc w:val="left"/>
      <w:pPr>
        <w:ind w:left="5826" w:hanging="360"/>
      </w:pPr>
      <w:rPr>
        <w:rFonts w:cs="Times New Roman"/>
      </w:rPr>
    </w:lvl>
    <w:lvl w:ilvl="8" w:tplc="041B001B" w:tentative="1">
      <w:start w:val="1"/>
      <w:numFmt w:val="lowerRoman"/>
      <w:lvlText w:val="%9."/>
      <w:lvlJc w:val="right"/>
      <w:pPr>
        <w:ind w:left="6546" w:hanging="180"/>
      </w:pPr>
      <w:rPr>
        <w:rFonts w:cs="Times New Roman"/>
      </w:rPr>
    </w:lvl>
  </w:abstractNum>
  <w:abstractNum w:abstractNumId="400">
    <w:nsid w:val="7E125E6B"/>
    <w:multiLevelType w:val="hybridMultilevel"/>
    <w:tmpl w:val="7FECE742"/>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1">
    <w:nsid w:val="7E1A77C7"/>
    <w:multiLevelType w:val="hybridMultilevel"/>
    <w:tmpl w:val="B768898C"/>
    <w:lvl w:ilvl="0" w:tplc="041B000F">
      <w:start w:val="1"/>
      <w:numFmt w:val="decimal"/>
      <w:lvlText w:val="%1."/>
      <w:lvlJc w:val="left"/>
      <w:pPr>
        <w:ind w:left="502" w:hanging="360"/>
      </w:pPr>
      <w:rPr>
        <w:rFonts w:cs="Times New Roman"/>
      </w:rPr>
    </w:lvl>
    <w:lvl w:ilvl="1" w:tplc="041B0019">
      <w:start w:val="1"/>
      <w:numFmt w:val="lowerLetter"/>
      <w:lvlText w:val="%2."/>
      <w:lvlJc w:val="left"/>
      <w:pPr>
        <w:ind w:left="1440" w:hanging="360"/>
      </w:pPr>
      <w:rPr>
        <w:rFonts w:cs="Times New Roman"/>
      </w:rPr>
    </w:lvl>
    <w:lvl w:ilvl="2" w:tplc="041B001B">
      <w:start w:val="1"/>
      <w:numFmt w:val="lowerRoman"/>
      <w:lvlText w:val="%3."/>
      <w:lvlJc w:val="right"/>
      <w:pPr>
        <w:ind w:left="2160" w:hanging="180"/>
      </w:pPr>
      <w:rPr>
        <w:rFonts w:cs="Times New Roman"/>
      </w:rPr>
    </w:lvl>
    <w:lvl w:ilvl="3" w:tplc="041B000F">
      <w:start w:val="1"/>
      <w:numFmt w:val="decimal"/>
      <w:lvlText w:val="%4."/>
      <w:lvlJc w:val="left"/>
      <w:pPr>
        <w:ind w:left="2880" w:hanging="360"/>
      </w:pPr>
      <w:rPr>
        <w:rFonts w:cs="Times New Roman"/>
      </w:rPr>
    </w:lvl>
    <w:lvl w:ilvl="4" w:tplc="041B0019">
      <w:start w:val="1"/>
      <w:numFmt w:val="lowerLetter"/>
      <w:lvlText w:val="%5."/>
      <w:lvlJc w:val="left"/>
      <w:pPr>
        <w:ind w:left="3600" w:hanging="360"/>
      </w:pPr>
      <w:rPr>
        <w:rFonts w:cs="Times New Roman"/>
      </w:rPr>
    </w:lvl>
    <w:lvl w:ilvl="5" w:tplc="041B001B">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start w:val="1"/>
      <w:numFmt w:val="lowerLetter"/>
      <w:lvlText w:val="%8."/>
      <w:lvlJc w:val="left"/>
      <w:pPr>
        <w:ind w:left="5760" w:hanging="360"/>
      </w:pPr>
      <w:rPr>
        <w:rFonts w:cs="Times New Roman"/>
      </w:rPr>
    </w:lvl>
    <w:lvl w:ilvl="8" w:tplc="041B001B">
      <w:start w:val="1"/>
      <w:numFmt w:val="lowerRoman"/>
      <w:lvlText w:val="%9."/>
      <w:lvlJc w:val="right"/>
      <w:pPr>
        <w:ind w:left="6480" w:hanging="180"/>
      </w:pPr>
      <w:rPr>
        <w:rFonts w:cs="Times New Roman"/>
      </w:rPr>
    </w:lvl>
  </w:abstractNum>
  <w:abstractNum w:abstractNumId="402">
    <w:nsid w:val="7E7C2C21"/>
    <w:multiLevelType w:val="hybridMultilevel"/>
    <w:tmpl w:val="FCC0F10C"/>
    <w:lvl w:ilvl="0" w:tplc="56F09CE0">
      <w:start w:val="1"/>
      <w:numFmt w:val="decimal"/>
      <w:lvlText w:val="%1."/>
      <w:lvlJc w:val="left"/>
      <w:pPr>
        <w:ind w:left="720" w:hanging="360"/>
      </w:pPr>
      <w:rPr>
        <w:rFonts w:cs="Times New Roman"/>
        <w:i w:val="0"/>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3">
    <w:nsid w:val="7E9F5D5F"/>
    <w:multiLevelType w:val="hybridMultilevel"/>
    <w:tmpl w:val="E8140202"/>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04">
    <w:nsid w:val="7F8271D3"/>
    <w:multiLevelType w:val="hybridMultilevel"/>
    <w:tmpl w:val="0DAE1324"/>
    <w:lvl w:ilvl="0" w:tplc="041B0017">
      <w:start w:val="1"/>
      <w:numFmt w:val="lowerLetter"/>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0"/>
  </w:num>
  <w:num w:numId="2">
    <w:abstractNumId w:val="0"/>
  </w:num>
  <w:num w:numId="3">
    <w:abstractNumId w:val="334"/>
  </w:num>
  <w:num w:numId="4">
    <w:abstractNumId w:val="98"/>
  </w:num>
  <w:num w:numId="5">
    <w:abstractNumId w:val="297"/>
  </w:num>
  <w:num w:numId="6">
    <w:abstractNumId w:val="152"/>
  </w:num>
  <w:num w:numId="7">
    <w:abstractNumId w:val="196"/>
  </w:num>
  <w:num w:numId="8">
    <w:abstractNumId w:val="102"/>
  </w:num>
  <w:num w:numId="9">
    <w:abstractNumId w:val="13"/>
  </w:num>
  <w:num w:numId="10">
    <w:abstractNumId w:val="394"/>
  </w:num>
  <w:num w:numId="11">
    <w:abstractNumId w:val="57"/>
  </w:num>
  <w:num w:numId="12">
    <w:abstractNumId w:val="317"/>
  </w:num>
  <w:num w:numId="13">
    <w:abstractNumId w:val="79"/>
  </w:num>
  <w:num w:numId="14">
    <w:abstractNumId w:val="184"/>
  </w:num>
  <w:num w:numId="15">
    <w:abstractNumId w:val="56"/>
  </w:num>
  <w:num w:numId="16">
    <w:abstractNumId w:val="55"/>
  </w:num>
  <w:num w:numId="17">
    <w:abstractNumId w:val="103"/>
  </w:num>
  <w:num w:numId="18">
    <w:abstractNumId w:val="315"/>
  </w:num>
  <w:num w:numId="19">
    <w:abstractNumId w:val="267"/>
  </w:num>
  <w:num w:numId="20">
    <w:abstractNumId w:val="288"/>
  </w:num>
  <w:num w:numId="21">
    <w:abstractNumId w:val="383"/>
  </w:num>
  <w:num w:numId="22">
    <w:abstractNumId w:val="34"/>
  </w:num>
  <w:num w:numId="23">
    <w:abstractNumId w:val="52"/>
  </w:num>
  <w:num w:numId="24">
    <w:abstractNumId w:val="142"/>
  </w:num>
  <w:num w:numId="25">
    <w:abstractNumId w:val="3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93"/>
  </w:num>
  <w:num w:numId="27">
    <w:abstractNumId w:val="104"/>
  </w:num>
  <w:num w:numId="28">
    <w:abstractNumId w:val="263"/>
  </w:num>
  <w:num w:numId="29">
    <w:abstractNumId w:val="199"/>
  </w:num>
  <w:num w:numId="30">
    <w:abstractNumId w:val="197"/>
  </w:num>
  <w:num w:numId="31">
    <w:abstractNumId w:val="293"/>
  </w:num>
  <w:num w:numId="32">
    <w:abstractNumId w:val="84"/>
  </w:num>
  <w:num w:numId="33">
    <w:abstractNumId w:val="245"/>
  </w:num>
  <w:num w:numId="34">
    <w:abstractNumId w:val="347"/>
  </w:num>
  <w:num w:numId="35">
    <w:abstractNumId w:val="150"/>
  </w:num>
  <w:num w:numId="36">
    <w:abstractNumId w:val="346"/>
  </w:num>
  <w:num w:numId="37">
    <w:abstractNumId w:val="176"/>
  </w:num>
  <w:num w:numId="38">
    <w:abstractNumId w:val="321"/>
  </w:num>
  <w:num w:numId="39">
    <w:abstractNumId w:val="274"/>
  </w:num>
  <w:num w:numId="40">
    <w:abstractNumId w:val="22"/>
  </w:num>
  <w:num w:numId="41">
    <w:abstractNumId w:val="359"/>
  </w:num>
  <w:num w:numId="42">
    <w:abstractNumId w:val="31"/>
  </w:num>
  <w:num w:numId="43">
    <w:abstractNumId w:val="403"/>
  </w:num>
  <w:num w:numId="44">
    <w:abstractNumId w:val="68"/>
  </w:num>
  <w:num w:numId="45">
    <w:abstractNumId w:val="399"/>
  </w:num>
  <w:num w:numId="46">
    <w:abstractNumId w:val="348"/>
  </w:num>
  <w:num w:numId="47">
    <w:abstractNumId w:val="195"/>
  </w:num>
  <w:num w:numId="48">
    <w:abstractNumId w:val="123"/>
  </w:num>
  <w:num w:numId="49">
    <w:abstractNumId w:val="254"/>
  </w:num>
  <w:num w:numId="50">
    <w:abstractNumId w:val="119"/>
  </w:num>
  <w:num w:numId="51">
    <w:abstractNumId w:val="2"/>
  </w:num>
  <w:num w:numId="52">
    <w:abstractNumId w:val="118"/>
  </w:num>
  <w:num w:numId="53">
    <w:abstractNumId w:val="328"/>
  </w:num>
  <w:num w:numId="54">
    <w:abstractNumId w:val="204"/>
  </w:num>
  <w:num w:numId="55">
    <w:abstractNumId w:val="357"/>
  </w:num>
  <w:num w:numId="56">
    <w:abstractNumId w:val="1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37"/>
  </w:num>
  <w:num w:numId="58">
    <w:abstractNumId w:val="102"/>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1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17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392"/>
  </w:num>
  <w:num w:numId="62">
    <w:abstractNumId w:val="329"/>
  </w:num>
  <w:num w:numId="63">
    <w:abstractNumId w:val="49"/>
  </w:num>
  <w:num w:numId="64">
    <w:abstractNumId w:val="72"/>
  </w:num>
  <w:num w:numId="65">
    <w:abstractNumId w:val="3"/>
  </w:num>
  <w:num w:numId="66">
    <w:abstractNumId w:val="270"/>
  </w:num>
  <w:num w:numId="67">
    <w:abstractNumId w:val="76"/>
  </w:num>
  <w:num w:numId="68">
    <w:abstractNumId w:val="19"/>
  </w:num>
  <w:num w:numId="69">
    <w:abstractNumId w:val="183"/>
  </w:num>
  <w:num w:numId="70">
    <w:abstractNumId w:val="230"/>
  </w:num>
  <w:num w:numId="71">
    <w:abstractNumId w:val="128"/>
  </w:num>
  <w:num w:numId="72">
    <w:abstractNumId w:val="91"/>
  </w:num>
  <w:num w:numId="73">
    <w:abstractNumId w:val="61"/>
  </w:num>
  <w:num w:numId="74">
    <w:abstractNumId w:val="172"/>
  </w:num>
  <w:num w:numId="75">
    <w:abstractNumId w:val="363"/>
  </w:num>
  <w:num w:numId="76">
    <w:abstractNumId w:val="286"/>
  </w:num>
  <w:num w:numId="77">
    <w:abstractNumId w:val="318"/>
  </w:num>
  <w:num w:numId="78">
    <w:abstractNumId w:val="65"/>
  </w:num>
  <w:num w:numId="79">
    <w:abstractNumId w:val="336"/>
  </w:num>
  <w:num w:numId="80">
    <w:abstractNumId w:val="88"/>
  </w:num>
  <w:num w:numId="81">
    <w:abstractNumId w:val="30"/>
  </w:num>
  <w:num w:numId="82">
    <w:abstractNumId w:val="386"/>
  </w:num>
  <w:num w:numId="83">
    <w:abstractNumId w:val="11"/>
  </w:num>
  <w:num w:numId="84">
    <w:abstractNumId w:val="214"/>
  </w:num>
  <w:num w:numId="85">
    <w:abstractNumId w:val="33"/>
  </w:num>
  <w:num w:numId="86">
    <w:abstractNumId w:val="335"/>
  </w:num>
  <w:num w:numId="87">
    <w:abstractNumId w:val="241"/>
  </w:num>
  <w:num w:numId="88">
    <w:abstractNumId w:val="294"/>
  </w:num>
  <w:num w:numId="89">
    <w:abstractNumId w:val="162"/>
  </w:num>
  <w:num w:numId="90">
    <w:abstractNumId w:val="377"/>
  </w:num>
  <w:num w:numId="91">
    <w:abstractNumId w:val="337"/>
  </w:num>
  <w:num w:numId="92">
    <w:abstractNumId w:val="29"/>
  </w:num>
  <w:num w:numId="93">
    <w:abstractNumId w:val="221"/>
  </w:num>
  <w:num w:numId="94">
    <w:abstractNumId w:val="126"/>
  </w:num>
  <w:num w:numId="95">
    <w:abstractNumId w:val="121"/>
  </w:num>
  <w:num w:numId="96">
    <w:abstractNumId w:val="287"/>
  </w:num>
  <w:num w:numId="97">
    <w:abstractNumId w:val="5"/>
  </w:num>
  <w:num w:numId="98">
    <w:abstractNumId w:val="272"/>
  </w:num>
  <w:num w:numId="99">
    <w:abstractNumId w:val="62"/>
  </w:num>
  <w:num w:numId="100">
    <w:abstractNumId w:val="349"/>
  </w:num>
  <w:num w:numId="101">
    <w:abstractNumId w:val="391"/>
  </w:num>
  <w:num w:numId="102">
    <w:abstractNumId w:val="355"/>
  </w:num>
  <w:num w:numId="103">
    <w:abstractNumId w:val="186"/>
  </w:num>
  <w:num w:numId="104">
    <w:abstractNumId w:val="387"/>
  </w:num>
  <w:num w:numId="105">
    <w:abstractNumId w:val="327"/>
  </w:num>
  <w:num w:numId="106">
    <w:abstractNumId w:val="259"/>
  </w:num>
  <w:num w:numId="107">
    <w:abstractNumId w:val="146"/>
  </w:num>
  <w:num w:numId="108">
    <w:abstractNumId w:val="260"/>
  </w:num>
  <w:num w:numId="109">
    <w:abstractNumId w:val="290"/>
  </w:num>
  <w:num w:numId="110">
    <w:abstractNumId w:val="257"/>
  </w:num>
  <w:num w:numId="111">
    <w:abstractNumId w:val="17"/>
  </w:num>
  <w:num w:numId="112">
    <w:abstractNumId w:val="82"/>
  </w:num>
  <w:num w:numId="113">
    <w:abstractNumId w:val="46"/>
  </w:num>
  <w:num w:numId="114">
    <w:abstractNumId w:val="75"/>
  </w:num>
  <w:num w:numId="115">
    <w:abstractNumId w:val="67"/>
  </w:num>
  <w:num w:numId="116">
    <w:abstractNumId w:val="291"/>
  </w:num>
  <w:num w:numId="117">
    <w:abstractNumId w:val="276"/>
  </w:num>
  <w:num w:numId="118">
    <w:abstractNumId w:val="10"/>
  </w:num>
  <w:num w:numId="119">
    <w:abstractNumId w:val="266"/>
  </w:num>
  <w:num w:numId="120">
    <w:abstractNumId w:val="371"/>
  </w:num>
  <w:num w:numId="121">
    <w:abstractNumId w:val="390"/>
  </w:num>
  <w:num w:numId="122">
    <w:abstractNumId w:val="367"/>
  </w:num>
  <w:num w:numId="123">
    <w:abstractNumId w:val="304"/>
  </w:num>
  <w:num w:numId="124">
    <w:abstractNumId w:val="24"/>
  </w:num>
  <w:num w:numId="125">
    <w:abstractNumId w:val="303"/>
  </w:num>
  <w:num w:numId="126">
    <w:abstractNumId w:val="269"/>
  </w:num>
  <w:num w:numId="127">
    <w:abstractNumId w:val="69"/>
  </w:num>
  <w:num w:numId="128">
    <w:abstractNumId w:val="129"/>
  </w:num>
  <w:num w:numId="129">
    <w:abstractNumId w:val="83"/>
  </w:num>
  <w:num w:numId="130">
    <w:abstractNumId w:val="202"/>
  </w:num>
  <w:num w:numId="131">
    <w:abstractNumId w:val="1"/>
  </w:num>
  <w:num w:numId="132">
    <w:abstractNumId w:val="185"/>
  </w:num>
  <w:num w:numId="133">
    <w:abstractNumId w:val="85"/>
  </w:num>
  <w:num w:numId="134">
    <w:abstractNumId w:val="141"/>
  </w:num>
  <w:num w:numId="135">
    <w:abstractNumId w:val="397"/>
  </w:num>
  <w:num w:numId="136">
    <w:abstractNumId w:val="374"/>
  </w:num>
  <w:num w:numId="137">
    <w:abstractNumId w:val="302"/>
  </w:num>
  <w:num w:numId="138">
    <w:abstractNumId w:val="156"/>
  </w:num>
  <w:num w:numId="139">
    <w:abstractNumId w:val="343"/>
  </w:num>
  <w:num w:numId="140">
    <w:abstractNumId w:val="219"/>
  </w:num>
  <w:num w:numId="141">
    <w:abstractNumId w:val="116"/>
  </w:num>
  <w:num w:numId="142">
    <w:abstractNumId w:val="330"/>
  </w:num>
  <w:num w:numId="143">
    <w:abstractNumId w:val="93"/>
  </w:num>
  <w:num w:numId="144">
    <w:abstractNumId w:val="205"/>
  </w:num>
  <w:num w:numId="145">
    <w:abstractNumId w:val="77"/>
  </w:num>
  <w:num w:numId="146">
    <w:abstractNumId w:val="101"/>
  </w:num>
  <w:num w:numId="147">
    <w:abstractNumId w:val="370"/>
  </w:num>
  <w:num w:numId="148">
    <w:abstractNumId w:val="307"/>
  </w:num>
  <w:num w:numId="149">
    <w:abstractNumId w:val="8"/>
  </w:num>
  <w:num w:numId="150">
    <w:abstractNumId w:val="160"/>
  </w:num>
  <w:num w:numId="151">
    <w:abstractNumId w:val="130"/>
  </w:num>
  <w:num w:numId="152">
    <w:abstractNumId w:val="135"/>
  </w:num>
  <w:num w:numId="153">
    <w:abstractNumId w:val="212"/>
  </w:num>
  <w:num w:numId="154">
    <w:abstractNumId w:val="173"/>
  </w:num>
  <w:num w:numId="155">
    <w:abstractNumId w:val="283"/>
  </w:num>
  <w:num w:numId="156">
    <w:abstractNumId w:val="256"/>
  </w:num>
  <w:num w:numId="157">
    <w:abstractNumId w:val="366"/>
  </w:num>
  <w:num w:numId="158">
    <w:abstractNumId w:val="217"/>
  </w:num>
  <w:num w:numId="159">
    <w:abstractNumId w:val="26"/>
  </w:num>
  <w:num w:numId="160">
    <w:abstractNumId w:val="239"/>
  </w:num>
  <w:num w:numId="161">
    <w:abstractNumId w:val="155"/>
  </w:num>
  <w:num w:numId="162">
    <w:abstractNumId w:val="97"/>
  </w:num>
  <w:num w:numId="163">
    <w:abstractNumId w:val="278"/>
  </w:num>
  <w:num w:numId="164">
    <w:abstractNumId w:val="100"/>
  </w:num>
  <w:num w:numId="165">
    <w:abstractNumId w:val="99"/>
  </w:num>
  <w:num w:numId="166">
    <w:abstractNumId w:val="271"/>
  </w:num>
  <w:num w:numId="167">
    <w:abstractNumId w:val="161"/>
  </w:num>
  <w:num w:numId="168">
    <w:abstractNumId w:val="157"/>
  </w:num>
  <w:num w:numId="169">
    <w:abstractNumId w:val="145"/>
  </w:num>
  <w:num w:numId="170">
    <w:abstractNumId w:val="251"/>
  </w:num>
  <w:num w:numId="171">
    <w:abstractNumId w:val="268"/>
  </w:num>
  <w:num w:numId="172">
    <w:abstractNumId w:val="285"/>
  </w:num>
  <w:num w:numId="173">
    <w:abstractNumId w:val="326"/>
  </w:num>
  <w:num w:numId="174">
    <w:abstractNumId w:val="47"/>
  </w:num>
  <w:num w:numId="175">
    <w:abstractNumId w:val="344"/>
  </w:num>
  <w:num w:numId="176">
    <w:abstractNumId w:val="89"/>
  </w:num>
  <w:num w:numId="177">
    <w:abstractNumId w:val="136"/>
  </w:num>
  <w:num w:numId="178">
    <w:abstractNumId w:val="86"/>
  </w:num>
  <w:num w:numId="179">
    <w:abstractNumId w:val="54"/>
  </w:num>
  <w:num w:numId="180">
    <w:abstractNumId w:val="232"/>
  </w:num>
  <w:num w:numId="181">
    <w:abstractNumId w:val="360"/>
  </w:num>
  <w:num w:numId="182">
    <w:abstractNumId w:val="226"/>
  </w:num>
  <w:num w:numId="183">
    <w:abstractNumId w:val="21"/>
  </w:num>
  <w:num w:numId="184">
    <w:abstractNumId w:val="296"/>
  </w:num>
  <w:num w:numId="185">
    <w:abstractNumId w:val="151"/>
  </w:num>
  <w:num w:numId="186">
    <w:abstractNumId w:val="365"/>
  </w:num>
  <w:num w:numId="187">
    <w:abstractNumId w:val="39"/>
  </w:num>
  <w:num w:numId="188">
    <w:abstractNumId w:val="340"/>
  </w:num>
  <w:num w:numId="189">
    <w:abstractNumId w:val="309"/>
  </w:num>
  <w:num w:numId="190">
    <w:abstractNumId w:val="364"/>
  </w:num>
  <w:num w:numId="191">
    <w:abstractNumId w:val="388"/>
  </w:num>
  <w:num w:numId="192">
    <w:abstractNumId w:val="58"/>
  </w:num>
  <w:num w:numId="193">
    <w:abstractNumId w:val="246"/>
  </w:num>
  <w:num w:numId="194">
    <w:abstractNumId w:val="206"/>
  </w:num>
  <w:num w:numId="195">
    <w:abstractNumId w:val="223"/>
  </w:num>
  <w:num w:numId="196">
    <w:abstractNumId w:val="218"/>
  </w:num>
  <w:num w:numId="197">
    <w:abstractNumId w:val="281"/>
  </w:num>
  <w:num w:numId="198">
    <w:abstractNumId w:val="167"/>
  </w:num>
  <w:num w:numId="199">
    <w:abstractNumId w:val="122"/>
  </w:num>
  <w:num w:numId="200">
    <w:abstractNumId w:val="105"/>
  </w:num>
  <w:num w:numId="201">
    <w:abstractNumId w:val="211"/>
  </w:num>
  <w:num w:numId="202">
    <w:abstractNumId w:val="398"/>
  </w:num>
  <w:num w:numId="203">
    <w:abstractNumId w:val="32"/>
  </w:num>
  <w:num w:numId="204">
    <w:abstractNumId w:val="210"/>
  </w:num>
  <w:num w:numId="205">
    <w:abstractNumId w:val="107"/>
  </w:num>
  <w:num w:numId="206">
    <w:abstractNumId w:val="264"/>
  </w:num>
  <w:num w:numId="207">
    <w:abstractNumId w:val="242"/>
  </w:num>
  <w:num w:numId="208">
    <w:abstractNumId w:val="131"/>
  </w:num>
  <w:num w:numId="209">
    <w:abstractNumId w:val="375"/>
  </w:num>
  <w:num w:numId="210">
    <w:abstractNumId w:val="42"/>
  </w:num>
  <w:num w:numId="211">
    <w:abstractNumId w:val="353"/>
  </w:num>
  <w:num w:numId="212">
    <w:abstractNumId w:val="187"/>
  </w:num>
  <w:num w:numId="213">
    <w:abstractNumId w:val="44"/>
  </w:num>
  <w:num w:numId="214">
    <w:abstractNumId w:val="50"/>
  </w:num>
  <w:num w:numId="215">
    <w:abstractNumId w:val="207"/>
  </w:num>
  <w:num w:numId="216">
    <w:abstractNumId w:val="112"/>
  </w:num>
  <w:num w:numId="217">
    <w:abstractNumId w:val="248"/>
  </w:num>
  <w:num w:numId="218">
    <w:abstractNumId w:val="298"/>
  </w:num>
  <w:num w:numId="219">
    <w:abstractNumId w:val="213"/>
  </w:num>
  <w:num w:numId="220">
    <w:abstractNumId w:val="358"/>
  </w:num>
  <w:num w:numId="221">
    <w:abstractNumId w:val="113"/>
  </w:num>
  <w:num w:numId="222">
    <w:abstractNumId w:val="396"/>
  </w:num>
  <w:num w:numId="223">
    <w:abstractNumId w:val="401"/>
  </w:num>
  <w:num w:numId="224">
    <w:abstractNumId w:val="201"/>
  </w:num>
  <w:num w:numId="225">
    <w:abstractNumId w:val="234"/>
  </w:num>
  <w:num w:numId="226">
    <w:abstractNumId w:val="70"/>
  </w:num>
  <w:num w:numId="227">
    <w:abstractNumId w:val="154"/>
  </w:num>
  <w:num w:numId="228">
    <w:abstractNumId w:val="316"/>
  </w:num>
  <w:num w:numId="229">
    <w:abstractNumId w:val="332"/>
  </w:num>
  <w:num w:numId="230">
    <w:abstractNumId w:val="169"/>
  </w:num>
  <w:num w:numId="231">
    <w:abstractNumId w:val="180"/>
  </w:num>
  <w:num w:numId="232">
    <w:abstractNumId w:val="81"/>
  </w:num>
  <w:num w:numId="233">
    <w:abstractNumId w:val="250"/>
  </w:num>
  <w:num w:numId="234">
    <w:abstractNumId w:val="238"/>
  </w:num>
  <w:num w:numId="235">
    <w:abstractNumId w:val="222"/>
  </w:num>
  <w:num w:numId="236">
    <w:abstractNumId w:val="90"/>
  </w:num>
  <w:num w:numId="237">
    <w:abstractNumId w:val="382"/>
  </w:num>
  <w:num w:numId="238">
    <w:abstractNumId w:val="258"/>
  </w:num>
  <w:num w:numId="239">
    <w:abstractNumId w:val="351"/>
  </w:num>
  <w:num w:numId="240">
    <w:abstractNumId w:val="73"/>
  </w:num>
  <w:num w:numId="241">
    <w:abstractNumId w:val="192"/>
  </w:num>
  <w:num w:numId="242">
    <w:abstractNumId w:val="95"/>
  </w:num>
  <w:num w:numId="243">
    <w:abstractNumId w:val="165"/>
  </w:num>
  <w:num w:numId="244">
    <w:abstractNumId w:val="106"/>
  </w:num>
  <w:num w:numId="245">
    <w:abstractNumId w:val="339"/>
  </w:num>
  <w:num w:numId="246">
    <w:abstractNumId w:val="28"/>
  </w:num>
  <w:num w:numId="247">
    <w:abstractNumId w:val="114"/>
  </w:num>
  <w:num w:numId="248">
    <w:abstractNumId w:val="308"/>
  </w:num>
  <w:num w:numId="249">
    <w:abstractNumId w:val="15"/>
  </w:num>
  <w:num w:numId="250">
    <w:abstractNumId w:val="282"/>
  </w:num>
  <w:num w:numId="251">
    <w:abstractNumId w:val="182"/>
  </w:num>
  <w:num w:numId="252">
    <w:abstractNumId w:val="227"/>
  </w:num>
  <w:num w:numId="253">
    <w:abstractNumId w:val="14"/>
  </w:num>
  <w:num w:numId="254">
    <w:abstractNumId w:val="236"/>
  </w:num>
  <w:num w:numId="255">
    <w:abstractNumId w:val="369"/>
  </w:num>
  <w:num w:numId="256">
    <w:abstractNumId w:val="16"/>
  </w:num>
  <w:num w:numId="257">
    <w:abstractNumId w:val="191"/>
  </w:num>
  <w:num w:numId="258">
    <w:abstractNumId w:val="203"/>
  </w:num>
  <w:num w:numId="259">
    <w:abstractNumId w:val="140"/>
  </w:num>
  <w:num w:numId="260">
    <w:abstractNumId w:val="143"/>
  </w:num>
  <w:num w:numId="261">
    <w:abstractNumId w:val="96"/>
  </w:num>
  <w:num w:numId="262">
    <w:abstractNumId w:val="319"/>
  </w:num>
  <w:num w:numId="263">
    <w:abstractNumId w:val="59"/>
  </w:num>
  <w:num w:numId="264">
    <w:abstractNumId w:val="299"/>
  </w:num>
  <w:num w:numId="265">
    <w:abstractNumId w:val="289"/>
  </w:num>
  <w:num w:numId="266">
    <w:abstractNumId w:val="147"/>
  </w:num>
  <w:num w:numId="267">
    <w:abstractNumId w:val="144"/>
  </w:num>
  <w:num w:numId="268">
    <w:abstractNumId w:val="2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9">
    <w:abstractNumId w:val="208"/>
  </w:num>
  <w:num w:numId="270">
    <w:abstractNumId w:val="120"/>
  </w:num>
  <w:num w:numId="271">
    <w:abstractNumId w:val="27"/>
  </w:num>
  <w:num w:numId="272">
    <w:abstractNumId w:val="64"/>
  </w:num>
  <w:num w:numId="273">
    <w:abstractNumId w:val="148"/>
  </w:num>
  <w:num w:numId="274">
    <w:abstractNumId w:val="400"/>
  </w:num>
  <w:num w:numId="275">
    <w:abstractNumId w:val="322"/>
  </w:num>
  <w:num w:numId="276">
    <w:abstractNumId w:val="7"/>
  </w:num>
  <w:num w:numId="277">
    <w:abstractNumId w:val="3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389"/>
  </w:num>
  <w:num w:numId="279">
    <w:abstractNumId w:val="1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2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2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2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2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3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4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7">
    <w:abstractNumId w:val="2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8">
    <w:abstractNumId w:val="252"/>
    <w:lvlOverride w:ilvl="0">
      <w:startOverride w:val="1"/>
    </w:lvlOverride>
    <w:lvlOverride w:ilvl="1"/>
    <w:lvlOverride w:ilvl="2"/>
    <w:lvlOverride w:ilvl="3"/>
    <w:lvlOverride w:ilvl="4"/>
    <w:lvlOverride w:ilvl="5"/>
    <w:lvlOverride w:ilvl="6"/>
    <w:lvlOverride w:ilvl="7"/>
    <w:lvlOverride w:ilvl="8"/>
  </w:num>
  <w:num w:numId="289">
    <w:abstractNumId w:val="74"/>
  </w:num>
  <w:num w:numId="290">
    <w:abstractNumId w:val="43"/>
    <w:lvlOverride w:ilvl="0">
      <w:startOverride w:val="1"/>
    </w:lvlOverride>
    <w:lvlOverride w:ilvl="1"/>
    <w:lvlOverride w:ilvl="2"/>
    <w:lvlOverride w:ilvl="3"/>
    <w:lvlOverride w:ilvl="4"/>
    <w:lvlOverride w:ilvl="5"/>
    <w:lvlOverride w:ilvl="6"/>
    <w:lvlOverride w:ilvl="7"/>
    <w:lvlOverride w:ilvl="8"/>
  </w:num>
  <w:num w:numId="291">
    <w:abstractNumId w:val="3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3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2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323"/>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306"/>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247"/>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8">
    <w:abstractNumId w:val="171"/>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9">
    <w:abstractNumId w:val="48"/>
  </w:num>
  <w:num w:numId="300">
    <w:abstractNumId w:val="12"/>
  </w:num>
  <w:num w:numId="301">
    <w:abstractNumId w:val="372"/>
  </w:num>
  <w:num w:numId="302">
    <w:abstractNumId w:val="9"/>
  </w:num>
  <w:num w:numId="303">
    <w:abstractNumId w:val="229"/>
  </w:num>
  <w:num w:numId="304">
    <w:abstractNumId w:val="342"/>
  </w:num>
  <w:num w:numId="305">
    <w:abstractNumId w:val="6"/>
  </w:num>
  <w:num w:numId="306">
    <w:abstractNumId w:val="292"/>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7">
    <w:abstractNumId w:val="109"/>
  </w:num>
  <w:num w:numId="308">
    <w:abstractNumId w:val="395"/>
  </w:num>
  <w:num w:numId="309">
    <w:abstractNumId w:val="80"/>
  </w:num>
  <w:num w:numId="310">
    <w:abstractNumId w:val="354"/>
  </w:num>
  <w:num w:numId="311">
    <w:abstractNumId w:val="244"/>
  </w:num>
  <w:num w:numId="312">
    <w:abstractNumId w:val="134"/>
  </w:num>
  <w:num w:numId="313">
    <w:abstractNumId w:val="265"/>
  </w:num>
  <w:num w:numId="314">
    <w:abstractNumId w:val="311"/>
  </w:num>
  <w:num w:numId="315">
    <w:abstractNumId w:val="36"/>
  </w:num>
  <w:num w:numId="316">
    <w:abstractNumId w:val="92"/>
  </w:num>
  <w:num w:numId="317">
    <w:abstractNumId w:val="115"/>
  </w:num>
  <w:num w:numId="318">
    <w:abstractNumId w:val="139"/>
  </w:num>
  <w:num w:numId="319">
    <w:abstractNumId w:val="4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2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2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3">
    <w:abstractNumId w:val="1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4">
    <w:abstractNumId w:val="378"/>
  </w:num>
  <w:num w:numId="325">
    <w:abstractNumId w:val="23"/>
  </w:num>
  <w:num w:numId="326">
    <w:abstractNumId w:val="170"/>
  </w:num>
  <w:num w:numId="327">
    <w:abstractNumId w:val="166"/>
  </w:num>
  <w:num w:numId="328">
    <w:abstractNumId w:val="108"/>
  </w:num>
  <w:num w:numId="329">
    <w:abstractNumId w:val="376"/>
  </w:num>
  <w:num w:numId="330">
    <w:abstractNumId w:val="168"/>
  </w:num>
  <w:num w:numId="331">
    <w:abstractNumId w:val="94"/>
  </w:num>
  <w:num w:numId="332">
    <w:abstractNumId w:val="373"/>
  </w:num>
  <w:num w:numId="333">
    <w:abstractNumId w:val="66"/>
  </w:num>
  <w:num w:numId="334">
    <w:abstractNumId w:val="310"/>
  </w:num>
  <w:num w:numId="335">
    <w:abstractNumId w:val="352"/>
  </w:num>
  <w:num w:numId="336">
    <w:abstractNumId w:val="404"/>
  </w:num>
  <w:num w:numId="337">
    <w:abstractNumId w:val="133"/>
  </w:num>
  <w:num w:numId="338">
    <w:abstractNumId w:val="341"/>
  </w:num>
  <w:num w:numId="339">
    <w:abstractNumId w:val="189"/>
  </w:num>
  <w:num w:numId="340">
    <w:abstractNumId w:val="18"/>
  </w:num>
  <w:num w:numId="341">
    <w:abstractNumId w:val="301"/>
  </w:num>
  <w:num w:numId="342">
    <w:abstractNumId w:val="275"/>
  </w:num>
  <w:num w:numId="343">
    <w:abstractNumId w:val="35"/>
  </w:num>
  <w:num w:numId="344">
    <w:abstractNumId w:val="71"/>
  </w:num>
  <w:num w:numId="345">
    <w:abstractNumId w:val="110"/>
  </w:num>
  <w:num w:numId="346">
    <w:abstractNumId w:val="163"/>
  </w:num>
  <w:num w:numId="347">
    <w:abstractNumId w:val="159"/>
  </w:num>
  <w:num w:numId="348">
    <w:abstractNumId w:val="361"/>
  </w:num>
  <w:num w:numId="349">
    <w:abstractNumId w:val="149"/>
  </w:num>
  <w:num w:numId="350">
    <w:abstractNumId w:val="177"/>
  </w:num>
  <w:num w:numId="351">
    <w:abstractNumId w:val="240"/>
  </w:num>
  <w:num w:numId="352">
    <w:abstractNumId w:val="38"/>
  </w:num>
  <w:num w:numId="353">
    <w:abstractNumId w:val="164"/>
  </w:num>
  <w:num w:numId="354">
    <w:abstractNumId w:val="284"/>
  </w:num>
  <w:num w:numId="355">
    <w:abstractNumId w:val="43"/>
  </w:num>
  <w:num w:numId="356">
    <w:abstractNumId w:val="312"/>
  </w:num>
  <w:num w:numId="357">
    <w:abstractNumId w:val="333"/>
  </w:num>
  <w:num w:numId="35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9">
    <w:abstractNumId w:val="175"/>
  </w:num>
  <w:num w:numId="360">
    <w:abstractNumId w:val="243"/>
  </w:num>
  <w:num w:numId="361">
    <w:abstractNumId w:val="345"/>
  </w:num>
  <w:num w:numId="362">
    <w:abstractNumId w:val="138"/>
  </w:num>
  <w:num w:numId="363">
    <w:abstractNumId w:val="356"/>
  </w:num>
  <w:num w:numId="364">
    <w:abstractNumId w:val="179"/>
  </w:num>
  <w:num w:numId="365">
    <w:abstractNumId w:val="158"/>
  </w:num>
  <w:num w:numId="366">
    <w:abstractNumId w:val="53"/>
  </w:num>
  <w:num w:numId="367">
    <w:abstractNumId w:val="220"/>
  </w:num>
  <w:num w:numId="368">
    <w:abstractNumId w:val="78"/>
  </w:num>
  <w:num w:numId="369">
    <w:abstractNumId w:val="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0">
    <w:abstractNumId w:val="233"/>
  </w:num>
  <w:num w:numId="371">
    <w:abstractNumId w:val="153"/>
  </w:num>
  <w:num w:numId="372">
    <w:abstractNumId w:val="277"/>
  </w:num>
  <w:num w:numId="373">
    <w:abstractNumId w:val="181"/>
  </w:num>
  <w:num w:numId="374">
    <w:abstractNumId w:val="331"/>
  </w:num>
  <w:num w:numId="375">
    <w:abstractNumId w:val="255"/>
  </w:num>
  <w:num w:numId="376">
    <w:abstractNumId w:val="320"/>
  </w:num>
  <w:num w:numId="377">
    <w:abstractNumId w:val="41"/>
  </w:num>
  <w:num w:numId="378">
    <w:abstractNumId w:val="51"/>
  </w:num>
  <w:num w:numId="379">
    <w:abstractNumId w:val="132"/>
  </w:num>
  <w:num w:numId="380">
    <w:abstractNumId w:val="338"/>
  </w:num>
  <w:num w:numId="381">
    <w:abstractNumId w:val="127"/>
  </w:num>
  <w:num w:numId="382">
    <w:abstractNumId w:val="338"/>
  </w:num>
  <w:num w:numId="383">
    <w:abstractNumId w:val="362"/>
  </w:num>
  <w:num w:numId="384">
    <w:abstractNumId w:val="314"/>
  </w:num>
  <w:num w:numId="385">
    <w:abstractNumId w:val="313"/>
  </w:num>
  <w:num w:numId="386">
    <w:abstractNumId w:val="300"/>
  </w:num>
  <w:num w:numId="387">
    <w:abstractNumId w:val="25"/>
  </w:num>
  <w:num w:numId="388">
    <w:abstractNumId w:val="215"/>
  </w:num>
  <w:num w:numId="389">
    <w:abstractNumId w:val="60"/>
  </w:num>
  <w:num w:numId="390">
    <w:abstractNumId w:val="253"/>
  </w:num>
  <w:num w:numId="391">
    <w:abstractNumId w:val="235"/>
  </w:num>
  <w:num w:numId="392">
    <w:abstractNumId w:val="87"/>
  </w:num>
  <w:num w:numId="393">
    <w:abstractNumId w:val="379"/>
  </w:num>
  <w:num w:numId="394">
    <w:abstractNumId w:val="216"/>
  </w:num>
  <w:num w:numId="395">
    <w:abstractNumId w:val="124"/>
  </w:num>
  <w:num w:numId="396">
    <w:abstractNumId w:val="261"/>
  </w:num>
  <w:num w:numId="39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2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9">
    <w:abstractNumId w:val="1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0">
    <w:abstractNumId w:val="325"/>
  </w:num>
  <w:num w:numId="401">
    <w:abstractNumId w:val="190"/>
  </w:num>
  <w:num w:numId="402">
    <w:abstractNumId w:val="125"/>
  </w:num>
  <w:num w:numId="403">
    <w:abstractNumId w:val="111"/>
  </w:num>
  <w:num w:numId="404">
    <w:abstractNumId w:val="200"/>
  </w:num>
  <w:num w:numId="405">
    <w:abstractNumId w:val="198"/>
  </w:num>
  <w:num w:numId="406">
    <w:abstractNumId w:val="63"/>
  </w:num>
  <w:num w:numId="407">
    <w:abstractNumId w:val="324"/>
  </w:num>
  <w:num w:numId="408">
    <w:abstractNumId w:val="380"/>
  </w:num>
  <w:num w:numId="409">
    <w:abstractNumId w:val="2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0">
    <w:abstractNumId w:val="280"/>
  </w:num>
  <w:num w:numId="411">
    <w:abstractNumId w:val="4"/>
  </w:num>
  <w:num w:numId="412">
    <w:abstractNumId w:val="305"/>
  </w:num>
  <w:num w:numId="413">
    <w:abstractNumId w:val="174"/>
  </w:num>
  <w:num w:numId="414">
    <w:abstractNumId w:val="262"/>
  </w:num>
  <w:num w:numId="415">
    <w:abstractNumId w:val="381"/>
  </w:num>
  <w:numIdMacAtCleanup w:val="4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GrammaticalError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63E8"/>
    <w:rsid w:val="000009D8"/>
    <w:rsid w:val="00000CA6"/>
    <w:rsid w:val="00001B31"/>
    <w:rsid w:val="00003538"/>
    <w:rsid w:val="0000401A"/>
    <w:rsid w:val="0000543D"/>
    <w:rsid w:val="00005476"/>
    <w:rsid w:val="00005FB1"/>
    <w:rsid w:val="00006698"/>
    <w:rsid w:val="00011C3A"/>
    <w:rsid w:val="00013039"/>
    <w:rsid w:val="00013B3B"/>
    <w:rsid w:val="000141F4"/>
    <w:rsid w:val="00014565"/>
    <w:rsid w:val="000165D1"/>
    <w:rsid w:val="00016CC6"/>
    <w:rsid w:val="000203B7"/>
    <w:rsid w:val="000203BF"/>
    <w:rsid w:val="000206B3"/>
    <w:rsid w:val="00022703"/>
    <w:rsid w:val="00023C1C"/>
    <w:rsid w:val="0002534D"/>
    <w:rsid w:val="00026EA5"/>
    <w:rsid w:val="00031256"/>
    <w:rsid w:val="00031EAF"/>
    <w:rsid w:val="000322C3"/>
    <w:rsid w:val="000324E5"/>
    <w:rsid w:val="00032D32"/>
    <w:rsid w:val="00033A7C"/>
    <w:rsid w:val="00034669"/>
    <w:rsid w:val="00035D4C"/>
    <w:rsid w:val="00036908"/>
    <w:rsid w:val="00036B49"/>
    <w:rsid w:val="00037F9F"/>
    <w:rsid w:val="000401B1"/>
    <w:rsid w:val="00040536"/>
    <w:rsid w:val="000409BC"/>
    <w:rsid w:val="00040AF4"/>
    <w:rsid w:val="000418BA"/>
    <w:rsid w:val="0004314B"/>
    <w:rsid w:val="00043851"/>
    <w:rsid w:val="00043F2B"/>
    <w:rsid w:val="0004631B"/>
    <w:rsid w:val="0004683B"/>
    <w:rsid w:val="00047245"/>
    <w:rsid w:val="0005078E"/>
    <w:rsid w:val="000509B9"/>
    <w:rsid w:val="00050D36"/>
    <w:rsid w:val="00051EE3"/>
    <w:rsid w:val="0005246A"/>
    <w:rsid w:val="00053E98"/>
    <w:rsid w:val="00055DFF"/>
    <w:rsid w:val="000612FB"/>
    <w:rsid w:val="000622ED"/>
    <w:rsid w:val="00062D27"/>
    <w:rsid w:val="00063483"/>
    <w:rsid w:val="00064717"/>
    <w:rsid w:val="000647CD"/>
    <w:rsid w:val="00064DFE"/>
    <w:rsid w:val="00064EF4"/>
    <w:rsid w:val="000659CD"/>
    <w:rsid w:val="00066A3D"/>
    <w:rsid w:val="0006736A"/>
    <w:rsid w:val="000712F1"/>
    <w:rsid w:val="000718A0"/>
    <w:rsid w:val="00072EFF"/>
    <w:rsid w:val="00073299"/>
    <w:rsid w:val="00074944"/>
    <w:rsid w:val="00076317"/>
    <w:rsid w:val="0007661E"/>
    <w:rsid w:val="0007711A"/>
    <w:rsid w:val="00077804"/>
    <w:rsid w:val="000820AC"/>
    <w:rsid w:val="000823FA"/>
    <w:rsid w:val="00082668"/>
    <w:rsid w:val="00082F74"/>
    <w:rsid w:val="000832DD"/>
    <w:rsid w:val="00084FD2"/>
    <w:rsid w:val="000851A6"/>
    <w:rsid w:val="00086AE3"/>
    <w:rsid w:val="000874CC"/>
    <w:rsid w:val="000900DC"/>
    <w:rsid w:val="00090AF4"/>
    <w:rsid w:val="00090E63"/>
    <w:rsid w:val="00090E80"/>
    <w:rsid w:val="00091091"/>
    <w:rsid w:val="00092CB2"/>
    <w:rsid w:val="00093ECD"/>
    <w:rsid w:val="000947DB"/>
    <w:rsid w:val="00095406"/>
    <w:rsid w:val="000975DB"/>
    <w:rsid w:val="000A0323"/>
    <w:rsid w:val="000A0CD7"/>
    <w:rsid w:val="000A1DF0"/>
    <w:rsid w:val="000A2A83"/>
    <w:rsid w:val="000A2E65"/>
    <w:rsid w:val="000A523D"/>
    <w:rsid w:val="000A61CE"/>
    <w:rsid w:val="000A6583"/>
    <w:rsid w:val="000A6768"/>
    <w:rsid w:val="000A68DA"/>
    <w:rsid w:val="000A6A1E"/>
    <w:rsid w:val="000A70B4"/>
    <w:rsid w:val="000B18B1"/>
    <w:rsid w:val="000B33F0"/>
    <w:rsid w:val="000B683F"/>
    <w:rsid w:val="000B7BD6"/>
    <w:rsid w:val="000B7E99"/>
    <w:rsid w:val="000C156E"/>
    <w:rsid w:val="000C353C"/>
    <w:rsid w:val="000C5C83"/>
    <w:rsid w:val="000C614B"/>
    <w:rsid w:val="000C73E0"/>
    <w:rsid w:val="000C761F"/>
    <w:rsid w:val="000C7724"/>
    <w:rsid w:val="000D0906"/>
    <w:rsid w:val="000D20BF"/>
    <w:rsid w:val="000D2A99"/>
    <w:rsid w:val="000D39F8"/>
    <w:rsid w:val="000D59C7"/>
    <w:rsid w:val="000E1145"/>
    <w:rsid w:val="000E1806"/>
    <w:rsid w:val="000E1D70"/>
    <w:rsid w:val="000E236F"/>
    <w:rsid w:val="000E254C"/>
    <w:rsid w:val="000E286B"/>
    <w:rsid w:val="000E384D"/>
    <w:rsid w:val="000E4158"/>
    <w:rsid w:val="000E48D6"/>
    <w:rsid w:val="000E4D62"/>
    <w:rsid w:val="000E541E"/>
    <w:rsid w:val="000E5A36"/>
    <w:rsid w:val="000E6473"/>
    <w:rsid w:val="000F104E"/>
    <w:rsid w:val="000F12A0"/>
    <w:rsid w:val="000F171C"/>
    <w:rsid w:val="000F3F03"/>
    <w:rsid w:val="000F48B1"/>
    <w:rsid w:val="000F4B36"/>
    <w:rsid w:val="000F7D38"/>
    <w:rsid w:val="000F7E20"/>
    <w:rsid w:val="00100313"/>
    <w:rsid w:val="00100548"/>
    <w:rsid w:val="00100619"/>
    <w:rsid w:val="00100AAB"/>
    <w:rsid w:val="00100C1B"/>
    <w:rsid w:val="001024C9"/>
    <w:rsid w:val="0010305E"/>
    <w:rsid w:val="00103C0C"/>
    <w:rsid w:val="001043DA"/>
    <w:rsid w:val="001047E6"/>
    <w:rsid w:val="00104EFC"/>
    <w:rsid w:val="001059BB"/>
    <w:rsid w:val="00105FBA"/>
    <w:rsid w:val="0010628D"/>
    <w:rsid w:val="00106E93"/>
    <w:rsid w:val="00107E98"/>
    <w:rsid w:val="00110145"/>
    <w:rsid w:val="00110934"/>
    <w:rsid w:val="00110A63"/>
    <w:rsid w:val="00112F8A"/>
    <w:rsid w:val="00113AA3"/>
    <w:rsid w:val="00115082"/>
    <w:rsid w:val="001177B2"/>
    <w:rsid w:val="001178C6"/>
    <w:rsid w:val="00117B54"/>
    <w:rsid w:val="00120B66"/>
    <w:rsid w:val="001215D0"/>
    <w:rsid w:val="0012163A"/>
    <w:rsid w:val="00122C6F"/>
    <w:rsid w:val="001272C2"/>
    <w:rsid w:val="00127599"/>
    <w:rsid w:val="00127FAA"/>
    <w:rsid w:val="00127FBA"/>
    <w:rsid w:val="00127FCF"/>
    <w:rsid w:val="001323BC"/>
    <w:rsid w:val="001349BB"/>
    <w:rsid w:val="00134B4C"/>
    <w:rsid w:val="001361B8"/>
    <w:rsid w:val="0013689D"/>
    <w:rsid w:val="00136FC4"/>
    <w:rsid w:val="0013702F"/>
    <w:rsid w:val="0013742D"/>
    <w:rsid w:val="00140E59"/>
    <w:rsid w:val="00140FE3"/>
    <w:rsid w:val="00145E20"/>
    <w:rsid w:val="00147A20"/>
    <w:rsid w:val="001517B0"/>
    <w:rsid w:val="001538C5"/>
    <w:rsid w:val="00153B8D"/>
    <w:rsid w:val="001541DD"/>
    <w:rsid w:val="0015521A"/>
    <w:rsid w:val="00155C9E"/>
    <w:rsid w:val="00155E0D"/>
    <w:rsid w:val="001563D9"/>
    <w:rsid w:val="00157ECA"/>
    <w:rsid w:val="001626CB"/>
    <w:rsid w:val="0016391C"/>
    <w:rsid w:val="00163A9F"/>
    <w:rsid w:val="001650B5"/>
    <w:rsid w:val="00170B1A"/>
    <w:rsid w:val="0017155C"/>
    <w:rsid w:val="001716A1"/>
    <w:rsid w:val="00171BA0"/>
    <w:rsid w:val="00171D7B"/>
    <w:rsid w:val="001723F5"/>
    <w:rsid w:val="00172982"/>
    <w:rsid w:val="0017309C"/>
    <w:rsid w:val="001736C2"/>
    <w:rsid w:val="00173C2B"/>
    <w:rsid w:val="0017572F"/>
    <w:rsid w:val="001769A1"/>
    <w:rsid w:val="001773B0"/>
    <w:rsid w:val="00182856"/>
    <w:rsid w:val="00182DE1"/>
    <w:rsid w:val="00182FD7"/>
    <w:rsid w:val="00183672"/>
    <w:rsid w:val="0018381D"/>
    <w:rsid w:val="001840C9"/>
    <w:rsid w:val="001866B9"/>
    <w:rsid w:val="001939EF"/>
    <w:rsid w:val="001956EE"/>
    <w:rsid w:val="001A08B6"/>
    <w:rsid w:val="001A2595"/>
    <w:rsid w:val="001A2B60"/>
    <w:rsid w:val="001A2D08"/>
    <w:rsid w:val="001A2D18"/>
    <w:rsid w:val="001A3324"/>
    <w:rsid w:val="001A4921"/>
    <w:rsid w:val="001A5308"/>
    <w:rsid w:val="001A75B5"/>
    <w:rsid w:val="001B01FD"/>
    <w:rsid w:val="001B0F36"/>
    <w:rsid w:val="001B36B6"/>
    <w:rsid w:val="001B4BE4"/>
    <w:rsid w:val="001B506B"/>
    <w:rsid w:val="001B68B0"/>
    <w:rsid w:val="001B691C"/>
    <w:rsid w:val="001B709E"/>
    <w:rsid w:val="001B7D1F"/>
    <w:rsid w:val="001C002B"/>
    <w:rsid w:val="001C197C"/>
    <w:rsid w:val="001C1E41"/>
    <w:rsid w:val="001C232D"/>
    <w:rsid w:val="001C2FE7"/>
    <w:rsid w:val="001C32BD"/>
    <w:rsid w:val="001C37CA"/>
    <w:rsid w:val="001C3983"/>
    <w:rsid w:val="001C3B9F"/>
    <w:rsid w:val="001C4524"/>
    <w:rsid w:val="001C4721"/>
    <w:rsid w:val="001C5340"/>
    <w:rsid w:val="001C6862"/>
    <w:rsid w:val="001C7067"/>
    <w:rsid w:val="001C792C"/>
    <w:rsid w:val="001D010C"/>
    <w:rsid w:val="001D0869"/>
    <w:rsid w:val="001D12E0"/>
    <w:rsid w:val="001D1450"/>
    <w:rsid w:val="001D1A88"/>
    <w:rsid w:val="001D1B43"/>
    <w:rsid w:val="001D37B0"/>
    <w:rsid w:val="001D42E6"/>
    <w:rsid w:val="001D4582"/>
    <w:rsid w:val="001D5B93"/>
    <w:rsid w:val="001D5BCB"/>
    <w:rsid w:val="001D5DF8"/>
    <w:rsid w:val="001D6710"/>
    <w:rsid w:val="001E0C79"/>
    <w:rsid w:val="001E0CA8"/>
    <w:rsid w:val="001E10D4"/>
    <w:rsid w:val="001E3421"/>
    <w:rsid w:val="001E40A8"/>
    <w:rsid w:val="001E5F6D"/>
    <w:rsid w:val="001E6F33"/>
    <w:rsid w:val="001E7922"/>
    <w:rsid w:val="001F1092"/>
    <w:rsid w:val="001F129B"/>
    <w:rsid w:val="001F1BD4"/>
    <w:rsid w:val="001F355F"/>
    <w:rsid w:val="00201773"/>
    <w:rsid w:val="0020336C"/>
    <w:rsid w:val="00203D78"/>
    <w:rsid w:val="002068AA"/>
    <w:rsid w:val="00206B90"/>
    <w:rsid w:val="0021166C"/>
    <w:rsid w:val="00212C91"/>
    <w:rsid w:val="00212D54"/>
    <w:rsid w:val="002157DF"/>
    <w:rsid w:val="00215C71"/>
    <w:rsid w:val="00217768"/>
    <w:rsid w:val="00220432"/>
    <w:rsid w:val="00220AE3"/>
    <w:rsid w:val="00220AF8"/>
    <w:rsid w:val="00221E8A"/>
    <w:rsid w:val="00223683"/>
    <w:rsid w:val="00224EAD"/>
    <w:rsid w:val="00224F8A"/>
    <w:rsid w:val="00226058"/>
    <w:rsid w:val="002267D2"/>
    <w:rsid w:val="00227685"/>
    <w:rsid w:val="002305B9"/>
    <w:rsid w:val="00231E80"/>
    <w:rsid w:val="0023261D"/>
    <w:rsid w:val="00232D4B"/>
    <w:rsid w:val="002333B7"/>
    <w:rsid w:val="00233961"/>
    <w:rsid w:val="00233D5E"/>
    <w:rsid w:val="0023484F"/>
    <w:rsid w:val="00235FA2"/>
    <w:rsid w:val="002416F8"/>
    <w:rsid w:val="0024412C"/>
    <w:rsid w:val="002446FC"/>
    <w:rsid w:val="002452F9"/>
    <w:rsid w:val="0024551C"/>
    <w:rsid w:val="002458C7"/>
    <w:rsid w:val="00245F8B"/>
    <w:rsid w:val="00246293"/>
    <w:rsid w:val="00246DBA"/>
    <w:rsid w:val="002505DB"/>
    <w:rsid w:val="00250FB8"/>
    <w:rsid w:val="002515F9"/>
    <w:rsid w:val="00254816"/>
    <w:rsid w:val="00255174"/>
    <w:rsid w:val="0025559B"/>
    <w:rsid w:val="00255EDB"/>
    <w:rsid w:val="00256F44"/>
    <w:rsid w:val="00257269"/>
    <w:rsid w:val="002575CE"/>
    <w:rsid w:val="002576AF"/>
    <w:rsid w:val="00260377"/>
    <w:rsid w:val="002608EF"/>
    <w:rsid w:val="00261685"/>
    <w:rsid w:val="00262BB8"/>
    <w:rsid w:val="00263B02"/>
    <w:rsid w:val="002657D2"/>
    <w:rsid w:val="00266AF0"/>
    <w:rsid w:val="0027060E"/>
    <w:rsid w:val="002709E8"/>
    <w:rsid w:val="00270FB9"/>
    <w:rsid w:val="002724E9"/>
    <w:rsid w:val="00272783"/>
    <w:rsid w:val="00274005"/>
    <w:rsid w:val="00276026"/>
    <w:rsid w:val="002765EE"/>
    <w:rsid w:val="00276B5C"/>
    <w:rsid w:val="00277055"/>
    <w:rsid w:val="002800A5"/>
    <w:rsid w:val="002801FF"/>
    <w:rsid w:val="00280654"/>
    <w:rsid w:val="00281C87"/>
    <w:rsid w:val="002822F6"/>
    <w:rsid w:val="0028265C"/>
    <w:rsid w:val="0028326F"/>
    <w:rsid w:val="00283980"/>
    <w:rsid w:val="00285839"/>
    <w:rsid w:val="00290695"/>
    <w:rsid w:val="00290F56"/>
    <w:rsid w:val="002923EC"/>
    <w:rsid w:val="00293AAF"/>
    <w:rsid w:val="00294899"/>
    <w:rsid w:val="002949D4"/>
    <w:rsid w:val="00295119"/>
    <w:rsid w:val="00295379"/>
    <w:rsid w:val="0029758F"/>
    <w:rsid w:val="002A18CA"/>
    <w:rsid w:val="002A1BDA"/>
    <w:rsid w:val="002A521D"/>
    <w:rsid w:val="002A65F5"/>
    <w:rsid w:val="002A793B"/>
    <w:rsid w:val="002B1440"/>
    <w:rsid w:val="002B2727"/>
    <w:rsid w:val="002B30B5"/>
    <w:rsid w:val="002B314A"/>
    <w:rsid w:val="002B386E"/>
    <w:rsid w:val="002B60CD"/>
    <w:rsid w:val="002B720C"/>
    <w:rsid w:val="002B722F"/>
    <w:rsid w:val="002B7E0D"/>
    <w:rsid w:val="002C05B2"/>
    <w:rsid w:val="002C0BED"/>
    <w:rsid w:val="002C0F95"/>
    <w:rsid w:val="002C2DF2"/>
    <w:rsid w:val="002C51C9"/>
    <w:rsid w:val="002C5CC5"/>
    <w:rsid w:val="002C6507"/>
    <w:rsid w:val="002C6514"/>
    <w:rsid w:val="002C7F3E"/>
    <w:rsid w:val="002D35D5"/>
    <w:rsid w:val="002D40A7"/>
    <w:rsid w:val="002D4430"/>
    <w:rsid w:val="002D51B2"/>
    <w:rsid w:val="002D6CBC"/>
    <w:rsid w:val="002D7456"/>
    <w:rsid w:val="002D7FF2"/>
    <w:rsid w:val="002E1478"/>
    <w:rsid w:val="002E198C"/>
    <w:rsid w:val="002E24C3"/>
    <w:rsid w:val="002E2F5F"/>
    <w:rsid w:val="002E3909"/>
    <w:rsid w:val="002E4359"/>
    <w:rsid w:val="002E4CDE"/>
    <w:rsid w:val="002E51D7"/>
    <w:rsid w:val="002E6BFF"/>
    <w:rsid w:val="002F0FAA"/>
    <w:rsid w:val="002F18AA"/>
    <w:rsid w:val="002F1E31"/>
    <w:rsid w:val="002F3613"/>
    <w:rsid w:val="002F600A"/>
    <w:rsid w:val="002F763B"/>
    <w:rsid w:val="00300DCF"/>
    <w:rsid w:val="00301105"/>
    <w:rsid w:val="003020B8"/>
    <w:rsid w:val="00303A2D"/>
    <w:rsid w:val="00304959"/>
    <w:rsid w:val="00305CCD"/>
    <w:rsid w:val="00305D71"/>
    <w:rsid w:val="003063D7"/>
    <w:rsid w:val="00306B0F"/>
    <w:rsid w:val="00306F23"/>
    <w:rsid w:val="003076FE"/>
    <w:rsid w:val="00307767"/>
    <w:rsid w:val="00307F99"/>
    <w:rsid w:val="00310591"/>
    <w:rsid w:val="00311C90"/>
    <w:rsid w:val="003120E4"/>
    <w:rsid w:val="00314F59"/>
    <w:rsid w:val="00315C51"/>
    <w:rsid w:val="00316337"/>
    <w:rsid w:val="00316569"/>
    <w:rsid w:val="00316ED0"/>
    <w:rsid w:val="00317707"/>
    <w:rsid w:val="00320515"/>
    <w:rsid w:val="00321E75"/>
    <w:rsid w:val="0032289B"/>
    <w:rsid w:val="003228C9"/>
    <w:rsid w:val="00322B00"/>
    <w:rsid w:val="00325785"/>
    <w:rsid w:val="00326E7E"/>
    <w:rsid w:val="00327A83"/>
    <w:rsid w:val="00330044"/>
    <w:rsid w:val="00330C1F"/>
    <w:rsid w:val="00331D9B"/>
    <w:rsid w:val="00332581"/>
    <w:rsid w:val="00333A38"/>
    <w:rsid w:val="00333F4F"/>
    <w:rsid w:val="00334F78"/>
    <w:rsid w:val="0033507F"/>
    <w:rsid w:val="00340593"/>
    <w:rsid w:val="00340770"/>
    <w:rsid w:val="00341477"/>
    <w:rsid w:val="003425F6"/>
    <w:rsid w:val="00342CF6"/>
    <w:rsid w:val="003443AF"/>
    <w:rsid w:val="00345254"/>
    <w:rsid w:val="00346FC0"/>
    <w:rsid w:val="003538AB"/>
    <w:rsid w:val="0035413F"/>
    <w:rsid w:val="00354FBA"/>
    <w:rsid w:val="003569B9"/>
    <w:rsid w:val="00356A5B"/>
    <w:rsid w:val="003608EC"/>
    <w:rsid w:val="0036164A"/>
    <w:rsid w:val="00361A63"/>
    <w:rsid w:val="00363CFA"/>
    <w:rsid w:val="0036463A"/>
    <w:rsid w:val="003667DA"/>
    <w:rsid w:val="003673B7"/>
    <w:rsid w:val="00367AAF"/>
    <w:rsid w:val="0037016C"/>
    <w:rsid w:val="0037051F"/>
    <w:rsid w:val="00370AC2"/>
    <w:rsid w:val="00371592"/>
    <w:rsid w:val="003720AA"/>
    <w:rsid w:val="00372889"/>
    <w:rsid w:val="00373358"/>
    <w:rsid w:val="00373CA2"/>
    <w:rsid w:val="00376028"/>
    <w:rsid w:val="00376E7B"/>
    <w:rsid w:val="00377D4D"/>
    <w:rsid w:val="00384497"/>
    <w:rsid w:val="003851C7"/>
    <w:rsid w:val="00385D6F"/>
    <w:rsid w:val="00386AC6"/>
    <w:rsid w:val="00386BE1"/>
    <w:rsid w:val="003870B7"/>
    <w:rsid w:val="003900EC"/>
    <w:rsid w:val="00390112"/>
    <w:rsid w:val="003909D6"/>
    <w:rsid w:val="0039101A"/>
    <w:rsid w:val="003919EE"/>
    <w:rsid w:val="00392B16"/>
    <w:rsid w:val="00393D67"/>
    <w:rsid w:val="003942E9"/>
    <w:rsid w:val="003943FB"/>
    <w:rsid w:val="00394938"/>
    <w:rsid w:val="00395CE5"/>
    <w:rsid w:val="00397308"/>
    <w:rsid w:val="00397735"/>
    <w:rsid w:val="00397C39"/>
    <w:rsid w:val="003A026D"/>
    <w:rsid w:val="003A1261"/>
    <w:rsid w:val="003A2618"/>
    <w:rsid w:val="003A2AE2"/>
    <w:rsid w:val="003A2CED"/>
    <w:rsid w:val="003A3228"/>
    <w:rsid w:val="003A3CE5"/>
    <w:rsid w:val="003A50A7"/>
    <w:rsid w:val="003A7C64"/>
    <w:rsid w:val="003B0250"/>
    <w:rsid w:val="003B0F6B"/>
    <w:rsid w:val="003B1847"/>
    <w:rsid w:val="003B2753"/>
    <w:rsid w:val="003B3794"/>
    <w:rsid w:val="003B49AF"/>
    <w:rsid w:val="003B54B9"/>
    <w:rsid w:val="003B5EA5"/>
    <w:rsid w:val="003B7874"/>
    <w:rsid w:val="003C0AD6"/>
    <w:rsid w:val="003C144C"/>
    <w:rsid w:val="003C15FE"/>
    <w:rsid w:val="003C1D27"/>
    <w:rsid w:val="003C2371"/>
    <w:rsid w:val="003C3BC7"/>
    <w:rsid w:val="003C3C23"/>
    <w:rsid w:val="003C55AF"/>
    <w:rsid w:val="003C588F"/>
    <w:rsid w:val="003C62F7"/>
    <w:rsid w:val="003C6586"/>
    <w:rsid w:val="003C6F0C"/>
    <w:rsid w:val="003C7448"/>
    <w:rsid w:val="003C7DA6"/>
    <w:rsid w:val="003D05DB"/>
    <w:rsid w:val="003D1D6F"/>
    <w:rsid w:val="003D23AC"/>
    <w:rsid w:val="003D4388"/>
    <w:rsid w:val="003D4A37"/>
    <w:rsid w:val="003D77B1"/>
    <w:rsid w:val="003D7A27"/>
    <w:rsid w:val="003E0296"/>
    <w:rsid w:val="003E1CDE"/>
    <w:rsid w:val="003E20E8"/>
    <w:rsid w:val="003E24C6"/>
    <w:rsid w:val="003E3040"/>
    <w:rsid w:val="003E3051"/>
    <w:rsid w:val="003E414F"/>
    <w:rsid w:val="003E53FD"/>
    <w:rsid w:val="003E5E8A"/>
    <w:rsid w:val="003E758E"/>
    <w:rsid w:val="003F04DC"/>
    <w:rsid w:val="003F1275"/>
    <w:rsid w:val="003F39FC"/>
    <w:rsid w:val="003F3C6E"/>
    <w:rsid w:val="003F4D6F"/>
    <w:rsid w:val="003F670C"/>
    <w:rsid w:val="003F69FF"/>
    <w:rsid w:val="003F778A"/>
    <w:rsid w:val="003F7DD0"/>
    <w:rsid w:val="00400B58"/>
    <w:rsid w:val="00401CEC"/>
    <w:rsid w:val="00404FEE"/>
    <w:rsid w:val="00407883"/>
    <w:rsid w:val="0041040C"/>
    <w:rsid w:val="004108DB"/>
    <w:rsid w:val="0041132B"/>
    <w:rsid w:val="004119B1"/>
    <w:rsid w:val="00412237"/>
    <w:rsid w:val="00412CA6"/>
    <w:rsid w:val="00412FD4"/>
    <w:rsid w:val="00415947"/>
    <w:rsid w:val="00416B96"/>
    <w:rsid w:val="00416FEC"/>
    <w:rsid w:val="00417F80"/>
    <w:rsid w:val="00420D7A"/>
    <w:rsid w:val="00421499"/>
    <w:rsid w:val="00421517"/>
    <w:rsid w:val="00421B02"/>
    <w:rsid w:val="00422769"/>
    <w:rsid w:val="004227C4"/>
    <w:rsid w:val="00422A97"/>
    <w:rsid w:val="00423D84"/>
    <w:rsid w:val="00424F06"/>
    <w:rsid w:val="004255FB"/>
    <w:rsid w:val="004257F5"/>
    <w:rsid w:val="0043055E"/>
    <w:rsid w:val="0043089F"/>
    <w:rsid w:val="00430C9B"/>
    <w:rsid w:val="0043214B"/>
    <w:rsid w:val="004362E6"/>
    <w:rsid w:val="00436BFA"/>
    <w:rsid w:val="00437BEE"/>
    <w:rsid w:val="00437E43"/>
    <w:rsid w:val="0044132F"/>
    <w:rsid w:val="0044329B"/>
    <w:rsid w:val="00443541"/>
    <w:rsid w:val="00443739"/>
    <w:rsid w:val="004456D4"/>
    <w:rsid w:val="00445F97"/>
    <w:rsid w:val="004466CE"/>
    <w:rsid w:val="00447E2D"/>
    <w:rsid w:val="00450D3D"/>
    <w:rsid w:val="00451A2B"/>
    <w:rsid w:val="0045286B"/>
    <w:rsid w:val="00455844"/>
    <w:rsid w:val="00455AB3"/>
    <w:rsid w:val="00460B42"/>
    <w:rsid w:val="00460F21"/>
    <w:rsid w:val="00462291"/>
    <w:rsid w:val="00462D90"/>
    <w:rsid w:val="004637AA"/>
    <w:rsid w:val="00464039"/>
    <w:rsid w:val="0046504B"/>
    <w:rsid w:val="00465A66"/>
    <w:rsid w:val="00465B83"/>
    <w:rsid w:val="004715F8"/>
    <w:rsid w:val="00471F4F"/>
    <w:rsid w:val="0047322B"/>
    <w:rsid w:val="00473244"/>
    <w:rsid w:val="00473DD1"/>
    <w:rsid w:val="0047400F"/>
    <w:rsid w:val="00474DA0"/>
    <w:rsid w:val="00476400"/>
    <w:rsid w:val="00477086"/>
    <w:rsid w:val="00481079"/>
    <w:rsid w:val="00481982"/>
    <w:rsid w:val="00481D7B"/>
    <w:rsid w:val="0048347B"/>
    <w:rsid w:val="00484A9D"/>
    <w:rsid w:val="00484C97"/>
    <w:rsid w:val="00484FC1"/>
    <w:rsid w:val="00485F0F"/>
    <w:rsid w:val="00485FC7"/>
    <w:rsid w:val="00486158"/>
    <w:rsid w:val="00486462"/>
    <w:rsid w:val="0048712C"/>
    <w:rsid w:val="00487880"/>
    <w:rsid w:val="0049054E"/>
    <w:rsid w:val="00494822"/>
    <w:rsid w:val="004972F3"/>
    <w:rsid w:val="004A221F"/>
    <w:rsid w:val="004A3C6A"/>
    <w:rsid w:val="004A5213"/>
    <w:rsid w:val="004A5484"/>
    <w:rsid w:val="004A7447"/>
    <w:rsid w:val="004B086E"/>
    <w:rsid w:val="004B2836"/>
    <w:rsid w:val="004B4497"/>
    <w:rsid w:val="004B7665"/>
    <w:rsid w:val="004B793F"/>
    <w:rsid w:val="004C228D"/>
    <w:rsid w:val="004C5010"/>
    <w:rsid w:val="004C5926"/>
    <w:rsid w:val="004C5F6F"/>
    <w:rsid w:val="004C6AA8"/>
    <w:rsid w:val="004C6EB7"/>
    <w:rsid w:val="004D01DE"/>
    <w:rsid w:val="004D2E7C"/>
    <w:rsid w:val="004D399D"/>
    <w:rsid w:val="004D3D07"/>
    <w:rsid w:val="004D64CC"/>
    <w:rsid w:val="004D6938"/>
    <w:rsid w:val="004D6BC8"/>
    <w:rsid w:val="004D7815"/>
    <w:rsid w:val="004D7A30"/>
    <w:rsid w:val="004E0189"/>
    <w:rsid w:val="004E096B"/>
    <w:rsid w:val="004E0CD6"/>
    <w:rsid w:val="004E35FE"/>
    <w:rsid w:val="004E3967"/>
    <w:rsid w:val="004E57CD"/>
    <w:rsid w:val="004E6C7F"/>
    <w:rsid w:val="004F36BB"/>
    <w:rsid w:val="004F3EC7"/>
    <w:rsid w:val="004F4B8E"/>
    <w:rsid w:val="004F4F08"/>
    <w:rsid w:val="004F550D"/>
    <w:rsid w:val="004F700A"/>
    <w:rsid w:val="004F75A4"/>
    <w:rsid w:val="00501708"/>
    <w:rsid w:val="00501848"/>
    <w:rsid w:val="005018F2"/>
    <w:rsid w:val="00501CAA"/>
    <w:rsid w:val="00502A29"/>
    <w:rsid w:val="00503CFC"/>
    <w:rsid w:val="00505C3A"/>
    <w:rsid w:val="00506F27"/>
    <w:rsid w:val="0051034E"/>
    <w:rsid w:val="005107AD"/>
    <w:rsid w:val="00510CDA"/>
    <w:rsid w:val="00511E1B"/>
    <w:rsid w:val="00513AFB"/>
    <w:rsid w:val="0051760A"/>
    <w:rsid w:val="00517B1D"/>
    <w:rsid w:val="005220AE"/>
    <w:rsid w:val="00522211"/>
    <w:rsid w:val="005224E2"/>
    <w:rsid w:val="0052337A"/>
    <w:rsid w:val="005238B2"/>
    <w:rsid w:val="005239A6"/>
    <w:rsid w:val="005241B8"/>
    <w:rsid w:val="005243B9"/>
    <w:rsid w:val="005279E2"/>
    <w:rsid w:val="0053066F"/>
    <w:rsid w:val="00530C13"/>
    <w:rsid w:val="0053115A"/>
    <w:rsid w:val="00533EB0"/>
    <w:rsid w:val="00534445"/>
    <w:rsid w:val="0053588C"/>
    <w:rsid w:val="00535A71"/>
    <w:rsid w:val="00536911"/>
    <w:rsid w:val="00536A8B"/>
    <w:rsid w:val="0053742D"/>
    <w:rsid w:val="00537E96"/>
    <w:rsid w:val="00540841"/>
    <w:rsid w:val="00540A84"/>
    <w:rsid w:val="00543479"/>
    <w:rsid w:val="005470DD"/>
    <w:rsid w:val="00547155"/>
    <w:rsid w:val="005475B5"/>
    <w:rsid w:val="00547EBC"/>
    <w:rsid w:val="005527E2"/>
    <w:rsid w:val="005531C5"/>
    <w:rsid w:val="00553293"/>
    <w:rsid w:val="00553A7C"/>
    <w:rsid w:val="00553D3A"/>
    <w:rsid w:val="00553FBB"/>
    <w:rsid w:val="0055554F"/>
    <w:rsid w:val="0055624B"/>
    <w:rsid w:val="00556398"/>
    <w:rsid w:val="005563AE"/>
    <w:rsid w:val="00556762"/>
    <w:rsid w:val="0055701C"/>
    <w:rsid w:val="00557CE5"/>
    <w:rsid w:val="00560D07"/>
    <w:rsid w:val="005625AC"/>
    <w:rsid w:val="00562EC5"/>
    <w:rsid w:val="00564E0E"/>
    <w:rsid w:val="00566C02"/>
    <w:rsid w:val="005700C0"/>
    <w:rsid w:val="0057023A"/>
    <w:rsid w:val="00570289"/>
    <w:rsid w:val="005706E4"/>
    <w:rsid w:val="005711BB"/>
    <w:rsid w:val="00572488"/>
    <w:rsid w:val="00572773"/>
    <w:rsid w:val="00573E4C"/>
    <w:rsid w:val="00573E84"/>
    <w:rsid w:val="0057476E"/>
    <w:rsid w:val="00576A53"/>
    <w:rsid w:val="00577A63"/>
    <w:rsid w:val="0058398F"/>
    <w:rsid w:val="005841B2"/>
    <w:rsid w:val="00584ECC"/>
    <w:rsid w:val="0058711E"/>
    <w:rsid w:val="0058724D"/>
    <w:rsid w:val="005874D3"/>
    <w:rsid w:val="00587584"/>
    <w:rsid w:val="00587B58"/>
    <w:rsid w:val="00592EA0"/>
    <w:rsid w:val="00594B46"/>
    <w:rsid w:val="00595C09"/>
    <w:rsid w:val="00597E25"/>
    <w:rsid w:val="005A033D"/>
    <w:rsid w:val="005A1A1E"/>
    <w:rsid w:val="005A247A"/>
    <w:rsid w:val="005A5BEE"/>
    <w:rsid w:val="005A5CFE"/>
    <w:rsid w:val="005A6F5E"/>
    <w:rsid w:val="005B28D3"/>
    <w:rsid w:val="005B2AB9"/>
    <w:rsid w:val="005B2DEB"/>
    <w:rsid w:val="005B3355"/>
    <w:rsid w:val="005B407B"/>
    <w:rsid w:val="005B4ECE"/>
    <w:rsid w:val="005B4F8F"/>
    <w:rsid w:val="005B55E4"/>
    <w:rsid w:val="005B572B"/>
    <w:rsid w:val="005B5BB5"/>
    <w:rsid w:val="005B645E"/>
    <w:rsid w:val="005B6917"/>
    <w:rsid w:val="005C0542"/>
    <w:rsid w:val="005C0DFF"/>
    <w:rsid w:val="005C3B73"/>
    <w:rsid w:val="005C4AB7"/>
    <w:rsid w:val="005C4E86"/>
    <w:rsid w:val="005C6CF5"/>
    <w:rsid w:val="005D01F4"/>
    <w:rsid w:val="005D09F7"/>
    <w:rsid w:val="005D0FE6"/>
    <w:rsid w:val="005D1036"/>
    <w:rsid w:val="005D2BEA"/>
    <w:rsid w:val="005D555C"/>
    <w:rsid w:val="005D6953"/>
    <w:rsid w:val="005E074D"/>
    <w:rsid w:val="005E5FB6"/>
    <w:rsid w:val="005E60EF"/>
    <w:rsid w:val="005E61C1"/>
    <w:rsid w:val="005E7791"/>
    <w:rsid w:val="005E77D5"/>
    <w:rsid w:val="005F05AF"/>
    <w:rsid w:val="005F075A"/>
    <w:rsid w:val="005F09D3"/>
    <w:rsid w:val="005F22B0"/>
    <w:rsid w:val="005F2845"/>
    <w:rsid w:val="005F33B5"/>
    <w:rsid w:val="005F3CCA"/>
    <w:rsid w:val="005F3F78"/>
    <w:rsid w:val="005F45CC"/>
    <w:rsid w:val="005F4DB5"/>
    <w:rsid w:val="005F5266"/>
    <w:rsid w:val="005F6197"/>
    <w:rsid w:val="005F6869"/>
    <w:rsid w:val="005F7A35"/>
    <w:rsid w:val="005F7F6D"/>
    <w:rsid w:val="00600D13"/>
    <w:rsid w:val="0060362D"/>
    <w:rsid w:val="006039DE"/>
    <w:rsid w:val="0060488F"/>
    <w:rsid w:val="00604BB4"/>
    <w:rsid w:val="00605AEA"/>
    <w:rsid w:val="00606312"/>
    <w:rsid w:val="0060763B"/>
    <w:rsid w:val="00611DA9"/>
    <w:rsid w:val="00612607"/>
    <w:rsid w:val="00614A7C"/>
    <w:rsid w:val="0061521B"/>
    <w:rsid w:val="00615B17"/>
    <w:rsid w:val="0061614D"/>
    <w:rsid w:val="00616A4F"/>
    <w:rsid w:val="00617B94"/>
    <w:rsid w:val="00623857"/>
    <w:rsid w:val="006241C5"/>
    <w:rsid w:val="006241E6"/>
    <w:rsid w:val="006242FC"/>
    <w:rsid w:val="00624CAA"/>
    <w:rsid w:val="00625031"/>
    <w:rsid w:val="006255D5"/>
    <w:rsid w:val="00625864"/>
    <w:rsid w:val="00625DEA"/>
    <w:rsid w:val="00625FA8"/>
    <w:rsid w:val="0063175F"/>
    <w:rsid w:val="0063232A"/>
    <w:rsid w:val="006326DB"/>
    <w:rsid w:val="006330A6"/>
    <w:rsid w:val="0063486A"/>
    <w:rsid w:val="0063492E"/>
    <w:rsid w:val="00634F3D"/>
    <w:rsid w:val="00635E4C"/>
    <w:rsid w:val="006405B1"/>
    <w:rsid w:val="00642317"/>
    <w:rsid w:val="0064282C"/>
    <w:rsid w:val="00642BA9"/>
    <w:rsid w:val="00643CE1"/>
    <w:rsid w:val="006468ED"/>
    <w:rsid w:val="00650BA9"/>
    <w:rsid w:val="00650BAA"/>
    <w:rsid w:val="006510AD"/>
    <w:rsid w:val="0065304D"/>
    <w:rsid w:val="00654198"/>
    <w:rsid w:val="00654615"/>
    <w:rsid w:val="00654D5E"/>
    <w:rsid w:val="006557FC"/>
    <w:rsid w:val="00655AA4"/>
    <w:rsid w:val="0065631F"/>
    <w:rsid w:val="00657222"/>
    <w:rsid w:val="0066066B"/>
    <w:rsid w:val="00660BC3"/>
    <w:rsid w:val="006612B9"/>
    <w:rsid w:val="00663970"/>
    <w:rsid w:val="00664031"/>
    <w:rsid w:val="00664983"/>
    <w:rsid w:val="00664D27"/>
    <w:rsid w:val="00665C79"/>
    <w:rsid w:val="00666B7B"/>
    <w:rsid w:val="006676F3"/>
    <w:rsid w:val="00667E4B"/>
    <w:rsid w:val="00667F68"/>
    <w:rsid w:val="006708A1"/>
    <w:rsid w:val="00671564"/>
    <w:rsid w:val="00671AD2"/>
    <w:rsid w:val="0067221E"/>
    <w:rsid w:val="00672342"/>
    <w:rsid w:val="00673252"/>
    <w:rsid w:val="00674ED0"/>
    <w:rsid w:val="0067553D"/>
    <w:rsid w:val="006803A0"/>
    <w:rsid w:val="006820D9"/>
    <w:rsid w:val="006825B9"/>
    <w:rsid w:val="00682682"/>
    <w:rsid w:val="00682D0A"/>
    <w:rsid w:val="00682D8C"/>
    <w:rsid w:val="00682EB1"/>
    <w:rsid w:val="0068335A"/>
    <w:rsid w:val="006839B4"/>
    <w:rsid w:val="0068460E"/>
    <w:rsid w:val="00692228"/>
    <w:rsid w:val="00692429"/>
    <w:rsid w:val="006929A4"/>
    <w:rsid w:val="00692F1A"/>
    <w:rsid w:val="0069368D"/>
    <w:rsid w:val="00693C5E"/>
    <w:rsid w:val="006941A0"/>
    <w:rsid w:val="00695C53"/>
    <w:rsid w:val="0069799D"/>
    <w:rsid w:val="006A04AE"/>
    <w:rsid w:val="006A0531"/>
    <w:rsid w:val="006A23DA"/>
    <w:rsid w:val="006A26B0"/>
    <w:rsid w:val="006A4DDE"/>
    <w:rsid w:val="006A5CCC"/>
    <w:rsid w:val="006A5F79"/>
    <w:rsid w:val="006A6481"/>
    <w:rsid w:val="006B0710"/>
    <w:rsid w:val="006B1073"/>
    <w:rsid w:val="006B163F"/>
    <w:rsid w:val="006B1E36"/>
    <w:rsid w:val="006B21CC"/>
    <w:rsid w:val="006B2B6A"/>
    <w:rsid w:val="006B5723"/>
    <w:rsid w:val="006B778F"/>
    <w:rsid w:val="006C06D1"/>
    <w:rsid w:val="006C07BB"/>
    <w:rsid w:val="006C1C05"/>
    <w:rsid w:val="006C2CF2"/>
    <w:rsid w:val="006C3B50"/>
    <w:rsid w:val="006C5004"/>
    <w:rsid w:val="006C50C7"/>
    <w:rsid w:val="006C6864"/>
    <w:rsid w:val="006C7E6A"/>
    <w:rsid w:val="006D0974"/>
    <w:rsid w:val="006D0B1E"/>
    <w:rsid w:val="006D0B29"/>
    <w:rsid w:val="006D1259"/>
    <w:rsid w:val="006D20EC"/>
    <w:rsid w:val="006D4930"/>
    <w:rsid w:val="006D4FC5"/>
    <w:rsid w:val="006D73ED"/>
    <w:rsid w:val="006D756C"/>
    <w:rsid w:val="006D75BF"/>
    <w:rsid w:val="006D7E32"/>
    <w:rsid w:val="006E0090"/>
    <w:rsid w:val="006E0204"/>
    <w:rsid w:val="006E0CE6"/>
    <w:rsid w:val="006E1FFF"/>
    <w:rsid w:val="006E35CB"/>
    <w:rsid w:val="006E47AC"/>
    <w:rsid w:val="006E488A"/>
    <w:rsid w:val="006E4AC7"/>
    <w:rsid w:val="006E4E1D"/>
    <w:rsid w:val="006E606A"/>
    <w:rsid w:val="006E78C3"/>
    <w:rsid w:val="006F1788"/>
    <w:rsid w:val="006F1EDF"/>
    <w:rsid w:val="006F3B93"/>
    <w:rsid w:val="006F3C0A"/>
    <w:rsid w:val="006F4458"/>
    <w:rsid w:val="006F5ABB"/>
    <w:rsid w:val="006F6B80"/>
    <w:rsid w:val="00701BF8"/>
    <w:rsid w:val="007020D7"/>
    <w:rsid w:val="00702BB3"/>
    <w:rsid w:val="0070333D"/>
    <w:rsid w:val="00703CA6"/>
    <w:rsid w:val="00703E58"/>
    <w:rsid w:val="00704702"/>
    <w:rsid w:val="00706848"/>
    <w:rsid w:val="007105F8"/>
    <w:rsid w:val="00710D8E"/>
    <w:rsid w:val="00711DDC"/>
    <w:rsid w:val="007122E3"/>
    <w:rsid w:val="00713EB4"/>
    <w:rsid w:val="007151C9"/>
    <w:rsid w:val="00716422"/>
    <w:rsid w:val="0071677F"/>
    <w:rsid w:val="00717045"/>
    <w:rsid w:val="00720014"/>
    <w:rsid w:val="0072030F"/>
    <w:rsid w:val="00721E3E"/>
    <w:rsid w:val="00721F46"/>
    <w:rsid w:val="007221F9"/>
    <w:rsid w:val="00723B2E"/>
    <w:rsid w:val="00723B75"/>
    <w:rsid w:val="00724393"/>
    <w:rsid w:val="00724C46"/>
    <w:rsid w:val="007255A2"/>
    <w:rsid w:val="00726CCE"/>
    <w:rsid w:val="00731FDF"/>
    <w:rsid w:val="0073222D"/>
    <w:rsid w:val="007324D5"/>
    <w:rsid w:val="00732B42"/>
    <w:rsid w:val="00733281"/>
    <w:rsid w:val="00734DAE"/>
    <w:rsid w:val="00734F81"/>
    <w:rsid w:val="00736062"/>
    <w:rsid w:val="00736AC0"/>
    <w:rsid w:val="0073723B"/>
    <w:rsid w:val="0074047D"/>
    <w:rsid w:val="007416E4"/>
    <w:rsid w:val="00742BA9"/>
    <w:rsid w:val="00742DC5"/>
    <w:rsid w:val="00744889"/>
    <w:rsid w:val="00744A3C"/>
    <w:rsid w:val="007454D6"/>
    <w:rsid w:val="007464FF"/>
    <w:rsid w:val="00747E5D"/>
    <w:rsid w:val="00747F8B"/>
    <w:rsid w:val="007502AD"/>
    <w:rsid w:val="00751213"/>
    <w:rsid w:val="007520AF"/>
    <w:rsid w:val="00752350"/>
    <w:rsid w:val="0075306F"/>
    <w:rsid w:val="00753B20"/>
    <w:rsid w:val="007543FA"/>
    <w:rsid w:val="00756296"/>
    <w:rsid w:val="00756CDA"/>
    <w:rsid w:val="00756F62"/>
    <w:rsid w:val="0076096E"/>
    <w:rsid w:val="00760B8C"/>
    <w:rsid w:val="0076109B"/>
    <w:rsid w:val="00761325"/>
    <w:rsid w:val="00761C2A"/>
    <w:rsid w:val="00763BA9"/>
    <w:rsid w:val="007647A3"/>
    <w:rsid w:val="00764D0E"/>
    <w:rsid w:val="007651C9"/>
    <w:rsid w:val="007652B9"/>
    <w:rsid w:val="007655B1"/>
    <w:rsid w:val="0076572D"/>
    <w:rsid w:val="00766DB4"/>
    <w:rsid w:val="007675E0"/>
    <w:rsid w:val="007708C1"/>
    <w:rsid w:val="00770E60"/>
    <w:rsid w:val="00772CDC"/>
    <w:rsid w:val="00773343"/>
    <w:rsid w:val="00773876"/>
    <w:rsid w:val="00775096"/>
    <w:rsid w:val="00775CCE"/>
    <w:rsid w:val="00776C3A"/>
    <w:rsid w:val="007772BB"/>
    <w:rsid w:val="00780749"/>
    <w:rsid w:val="00780A68"/>
    <w:rsid w:val="00780D97"/>
    <w:rsid w:val="00781BBA"/>
    <w:rsid w:val="00781C23"/>
    <w:rsid w:val="007821C4"/>
    <w:rsid w:val="00783E19"/>
    <w:rsid w:val="007843F2"/>
    <w:rsid w:val="007844C1"/>
    <w:rsid w:val="0078478E"/>
    <w:rsid w:val="00786989"/>
    <w:rsid w:val="00787B01"/>
    <w:rsid w:val="007903E3"/>
    <w:rsid w:val="00791532"/>
    <w:rsid w:val="00791E2D"/>
    <w:rsid w:val="00793472"/>
    <w:rsid w:val="00794C04"/>
    <w:rsid w:val="00796F1C"/>
    <w:rsid w:val="0079703E"/>
    <w:rsid w:val="00797401"/>
    <w:rsid w:val="007A00B7"/>
    <w:rsid w:val="007A0898"/>
    <w:rsid w:val="007A1E8B"/>
    <w:rsid w:val="007A373F"/>
    <w:rsid w:val="007A46AE"/>
    <w:rsid w:val="007A580C"/>
    <w:rsid w:val="007A5942"/>
    <w:rsid w:val="007A7963"/>
    <w:rsid w:val="007B053B"/>
    <w:rsid w:val="007B0CDC"/>
    <w:rsid w:val="007B0E75"/>
    <w:rsid w:val="007B15A3"/>
    <w:rsid w:val="007B194E"/>
    <w:rsid w:val="007B3984"/>
    <w:rsid w:val="007B4EC6"/>
    <w:rsid w:val="007B5102"/>
    <w:rsid w:val="007C1F69"/>
    <w:rsid w:val="007C2B94"/>
    <w:rsid w:val="007C2CE4"/>
    <w:rsid w:val="007C3326"/>
    <w:rsid w:val="007C552B"/>
    <w:rsid w:val="007C5D50"/>
    <w:rsid w:val="007C6114"/>
    <w:rsid w:val="007C7D70"/>
    <w:rsid w:val="007D0719"/>
    <w:rsid w:val="007D0E00"/>
    <w:rsid w:val="007D0E8E"/>
    <w:rsid w:val="007D1897"/>
    <w:rsid w:val="007D1B12"/>
    <w:rsid w:val="007D1C24"/>
    <w:rsid w:val="007D20A0"/>
    <w:rsid w:val="007D2425"/>
    <w:rsid w:val="007D292D"/>
    <w:rsid w:val="007D38DF"/>
    <w:rsid w:val="007D4699"/>
    <w:rsid w:val="007D71D0"/>
    <w:rsid w:val="007D7393"/>
    <w:rsid w:val="007D7752"/>
    <w:rsid w:val="007E00F3"/>
    <w:rsid w:val="007E01CF"/>
    <w:rsid w:val="007E04E4"/>
    <w:rsid w:val="007E05D5"/>
    <w:rsid w:val="007E1490"/>
    <w:rsid w:val="007E4476"/>
    <w:rsid w:val="007E4B2B"/>
    <w:rsid w:val="007E4E1F"/>
    <w:rsid w:val="007E52F2"/>
    <w:rsid w:val="007E66C8"/>
    <w:rsid w:val="007F20D0"/>
    <w:rsid w:val="007F3628"/>
    <w:rsid w:val="007F5042"/>
    <w:rsid w:val="007F5734"/>
    <w:rsid w:val="007F7EA6"/>
    <w:rsid w:val="00802367"/>
    <w:rsid w:val="00803B7E"/>
    <w:rsid w:val="00803C14"/>
    <w:rsid w:val="00804F85"/>
    <w:rsid w:val="00805A45"/>
    <w:rsid w:val="00805B47"/>
    <w:rsid w:val="00806A33"/>
    <w:rsid w:val="00806AEE"/>
    <w:rsid w:val="00807014"/>
    <w:rsid w:val="008077EA"/>
    <w:rsid w:val="00807B9F"/>
    <w:rsid w:val="00807C7B"/>
    <w:rsid w:val="008108C8"/>
    <w:rsid w:val="00811577"/>
    <w:rsid w:val="008119AA"/>
    <w:rsid w:val="008119B9"/>
    <w:rsid w:val="0081211E"/>
    <w:rsid w:val="0081288F"/>
    <w:rsid w:val="008130A2"/>
    <w:rsid w:val="008130F1"/>
    <w:rsid w:val="00813946"/>
    <w:rsid w:val="00813A03"/>
    <w:rsid w:val="008142B6"/>
    <w:rsid w:val="0081530C"/>
    <w:rsid w:val="00815970"/>
    <w:rsid w:val="00815A64"/>
    <w:rsid w:val="00815C8B"/>
    <w:rsid w:val="00823788"/>
    <w:rsid w:val="008239A4"/>
    <w:rsid w:val="00825EC8"/>
    <w:rsid w:val="00826CA1"/>
    <w:rsid w:val="00827F61"/>
    <w:rsid w:val="008317E3"/>
    <w:rsid w:val="008318CC"/>
    <w:rsid w:val="008350FD"/>
    <w:rsid w:val="00835266"/>
    <w:rsid w:val="0083546A"/>
    <w:rsid w:val="008354B4"/>
    <w:rsid w:val="008361E7"/>
    <w:rsid w:val="008363F7"/>
    <w:rsid w:val="00837DFE"/>
    <w:rsid w:val="0084144B"/>
    <w:rsid w:val="00841464"/>
    <w:rsid w:val="00841474"/>
    <w:rsid w:val="00841BF5"/>
    <w:rsid w:val="008429F2"/>
    <w:rsid w:val="008430F2"/>
    <w:rsid w:val="0084384E"/>
    <w:rsid w:val="00843C6E"/>
    <w:rsid w:val="00843D43"/>
    <w:rsid w:val="00844C0A"/>
    <w:rsid w:val="008452CB"/>
    <w:rsid w:val="00845BA5"/>
    <w:rsid w:val="008462A4"/>
    <w:rsid w:val="00846808"/>
    <w:rsid w:val="0085023A"/>
    <w:rsid w:val="00850962"/>
    <w:rsid w:val="008520E6"/>
    <w:rsid w:val="00852284"/>
    <w:rsid w:val="00853685"/>
    <w:rsid w:val="008553D9"/>
    <w:rsid w:val="0085669C"/>
    <w:rsid w:val="00856E16"/>
    <w:rsid w:val="00857216"/>
    <w:rsid w:val="00857ACE"/>
    <w:rsid w:val="00857D31"/>
    <w:rsid w:val="00860AE6"/>
    <w:rsid w:val="008619DD"/>
    <w:rsid w:val="0086315D"/>
    <w:rsid w:val="00863DCC"/>
    <w:rsid w:val="00864E27"/>
    <w:rsid w:val="00865814"/>
    <w:rsid w:val="008675E7"/>
    <w:rsid w:val="00870883"/>
    <w:rsid w:val="00870A0F"/>
    <w:rsid w:val="00870B61"/>
    <w:rsid w:val="00871B36"/>
    <w:rsid w:val="0087390E"/>
    <w:rsid w:val="00874DC6"/>
    <w:rsid w:val="00875045"/>
    <w:rsid w:val="00876618"/>
    <w:rsid w:val="0088076C"/>
    <w:rsid w:val="00880EC1"/>
    <w:rsid w:val="00881B16"/>
    <w:rsid w:val="00881D84"/>
    <w:rsid w:val="00882F3C"/>
    <w:rsid w:val="00883EF0"/>
    <w:rsid w:val="0088404B"/>
    <w:rsid w:val="00887348"/>
    <w:rsid w:val="00887541"/>
    <w:rsid w:val="00887623"/>
    <w:rsid w:val="008906DC"/>
    <w:rsid w:val="00891183"/>
    <w:rsid w:val="0089120A"/>
    <w:rsid w:val="008919A8"/>
    <w:rsid w:val="008933F1"/>
    <w:rsid w:val="00893512"/>
    <w:rsid w:val="008935C3"/>
    <w:rsid w:val="00893E61"/>
    <w:rsid w:val="0089458A"/>
    <w:rsid w:val="00894A65"/>
    <w:rsid w:val="008958D2"/>
    <w:rsid w:val="00896578"/>
    <w:rsid w:val="008A0127"/>
    <w:rsid w:val="008A2386"/>
    <w:rsid w:val="008A2885"/>
    <w:rsid w:val="008A2D27"/>
    <w:rsid w:val="008A2E4F"/>
    <w:rsid w:val="008A2E61"/>
    <w:rsid w:val="008A6040"/>
    <w:rsid w:val="008A679A"/>
    <w:rsid w:val="008A67A6"/>
    <w:rsid w:val="008B2CD4"/>
    <w:rsid w:val="008B3978"/>
    <w:rsid w:val="008B403A"/>
    <w:rsid w:val="008B4AD3"/>
    <w:rsid w:val="008B5ADF"/>
    <w:rsid w:val="008B6CAA"/>
    <w:rsid w:val="008B7562"/>
    <w:rsid w:val="008B7D1F"/>
    <w:rsid w:val="008C2015"/>
    <w:rsid w:val="008C334E"/>
    <w:rsid w:val="008C3434"/>
    <w:rsid w:val="008C36CB"/>
    <w:rsid w:val="008C479E"/>
    <w:rsid w:val="008C4A62"/>
    <w:rsid w:val="008C5647"/>
    <w:rsid w:val="008C5B89"/>
    <w:rsid w:val="008C67D8"/>
    <w:rsid w:val="008C6D17"/>
    <w:rsid w:val="008C75A0"/>
    <w:rsid w:val="008D1729"/>
    <w:rsid w:val="008D1AA1"/>
    <w:rsid w:val="008D24EF"/>
    <w:rsid w:val="008D28B0"/>
    <w:rsid w:val="008D3CBF"/>
    <w:rsid w:val="008D52A5"/>
    <w:rsid w:val="008D5A0C"/>
    <w:rsid w:val="008D7E5A"/>
    <w:rsid w:val="008E01DC"/>
    <w:rsid w:val="008E1814"/>
    <w:rsid w:val="008E1B96"/>
    <w:rsid w:val="008E29D2"/>
    <w:rsid w:val="008E2E8F"/>
    <w:rsid w:val="008E31F4"/>
    <w:rsid w:val="008E32EA"/>
    <w:rsid w:val="008E54B4"/>
    <w:rsid w:val="008E60B8"/>
    <w:rsid w:val="008E61B8"/>
    <w:rsid w:val="008E676A"/>
    <w:rsid w:val="008E676B"/>
    <w:rsid w:val="008F004F"/>
    <w:rsid w:val="008F0969"/>
    <w:rsid w:val="008F0F3A"/>
    <w:rsid w:val="008F2968"/>
    <w:rsid w:val="008F4D56"/>
    <w:rsid w:val="008F526A"/>
    <w:rsid w:val="008F541A"/>
    <w:rsid w:val="008F5BEE"/>
    <w:rsid w:val="008F6B1D"/>
    <w:rsid w:val="008F6B4E"/>
    <w:rsid w:val="008F6E58"/>
    <w:rsid w:val="00900169"/>
    <w:rsid w:val="00902829"/>
    <w:rsid w:val="00903718"/>
    <w:rsid w:val="00904235"/>
    <w:rsid w:val="00904B67"/>
    <w:rsid w:val="009058FC"/>
    <w:rsid w:val="0090609E"/>
    <w:rsid w:val="00906913"/>
    <w:rsid w:val="009078F6"/>
    <w:rsid w:val="00907EE1"/>
    <w:rsid w:val="00910368"/>
    <w:rsid w:val="00910AA4"/>
    <w:rsid w:val="00912275"/>
    <w:rsid w:val="00912687"/>
    <w:rsid w:val="00913329"/>
    <w:rsid w:val="00913352"/>
    <w:rsid w:val="00913468"/>
    <w:rsid w:val="009153FA"/>
    <w:rsid w:val="00921418"/>
    <w:rsid w:val="00922669"/>
    <w:rsid w:val="00922ACA"/>
    <w:rsid w:val="00922C62"/>
    <w:rsid w:val="00922F7A"/>
    <w:rsid w:val="009243AC"/>
    <w:rsid w:val="009245E6"/>
    <w:rsid w:val="00925AD8"/>
    <w:rsid w:val="0092730B"/>
    <w:rsid w:val="00927C4D"/>
    <w:rsid w:val="0093059E"/>
    <w:rsid w:val="009313D0"/>
    <w:rsid w:val="0093167C"/>
    <w:rsid w:val="00932A90"/>
    <w:rsid w:val="00934925"/>
    <w:rsid w:val="00934FCF"/>
    <w:rsid w:val="0093571B"/>
    <w:rsid w:val="00935F66"/>
    <w:rsid w:val="00936AB3"/>
    <w:rsid w:val="00937F31"/>
    <w:rsid w:val="009407C8"/>
    <w:rsid w:val="0094199C"/>
    <w:rsid w:val="00942F11"/>
    <w:rsid w:val="00943C75"/>
    <w:rsid w:val="00944164"/>
    <w:rsid w:val="00944F1E"/>
    <w:rsid w:val="0094557C"/>
    <w:rsid w:val="00946874"/>
    <w:rsid w:val="0095115F"/>
    <w:rsid w:val="00952567"/>
    <w:rsid w:val="009535DA"/>
    <w:rsid w:val="00953734"/>
    <w:rsid w:val="009549C1"/>
    <w:rsid w:val="00954CE9"/>
    <w:rsid w:val="00956261"/>
    <w:rsid w:val="00956846"/>
    <w:rsid w:val="00957A14"/>
    <w:rsid w:val="00957F10"/>
    <w:rsid w:val="0096165D"/>
    <w:rsid w:val="00962180"/>
    <w:rsid w:val="0096393F"/>
    <w:rsid w:val="00964F4A"/>
    <w:rsid w:val="0096712F"/>
    <w:rsid w:val="00970543"/>
    <w:rsid w:val="00970ABD"/>
    <w:rsid w:val="00970E31"/>
    <w:rsid w:val="00972A2A"/>
    <w:rsid w:val="009735EC"/>
    <w:rsid w:val="00975615"/>
    <w:rsid w:val="00975D4B"/>
    <w:rsid w:val="0097605E"/>
    <w:rsid w:val="00977128"/>
    <w:rsid w:val="00977C0B"/>
    <w:rsid w:val="00984A57"/>
    <w:rsid w:val="0098554E"/>
    <w:rsid w:val="0098559F"/>
    <w:rsid w:val="00985B3E"/>
    <w:rsid w:val="00986435"/>
    <w:rsid w:val="00987C2B"/>
    <w:rsid w:val="00990546"/>
    <w:rsid w:val="0099118B"/>
    <w:rsid w:val="00991DC9"/>
    <w:rsid w:val="00993E3B"/>
    <w:rsid w:val="00994E86"/>
    <w:rsid w:val="0099707E"/>
    <w:rsid w:val="00997CB0"/>
    <w:rsid w:val="009A4212"/>
    <w:rsid w:val="009A663F"/>
    <w:rsid w:val="009A6FCC"/>
    <w:rsid w:val="009A7726"/>
    <w:rsid w:val="009A7FA5"/>
    <w:rsid w:val="009B0A5A"/>
    <w:rsid w:val="009B0F7F"/>
    <w:rsid w:val="009B4F26"/>
    <w:rsid w:val="009B5AC6"/>
    <w:rsid w:val="009B5FDF"/>
    <w:rsid w:val="009B7E65"/>
    <w:rsid w:val="009C09C2"/>
    <w:rsid w:val="009C3CC9"/>
    <w:rsid w:val="009C4774"/>
    <w:rsid w:val="009C47E8"/>
    <w:rsid w:val="009C68FA"/>
    <w:rsid w:val="009C7138"/>
    <w:rsid w:val="009C717E"/>
    <w:rsid w:val="009D0812"/>
    <w:rsid w:val="009D08AC"/>
    <w:rsid w:val="009D12D8"/>
    <w:rsid w:val="009D14B2"/>
    <w:rsid w:val="009D1B67"/>
    <w:rsid w:val="009D27EA"/>
    <w:rsid w:val="009D2ADB"/>
    <w:rsid w:val="009D2FF6"/>
    <w:rsid w:val="009D3789"/>
    <w:rsid w:val="009D5FD7"/>
    <w:rsid w:val="009D6DF9"/>
    <w:rsid w:val="009D6FAC"/>
    <w:rsid w:val="009D7275"/>
    <w:rsid w:val="009E11A7"/>
    <w:rsid w:val="009E187D"/>
    <w:rsid w:val="009E3284"/>
    <w:rsid w:val="009E525C"/>
    <w:rsid w:val="009E56E7"/>
    <w:rsid w:val="009E63E8"/>
    <w:rsid w:val="009F05F1"/>
    <w:rsid w:val="009F1EAD"/>
    <w:rsid w:val="009F2F18"/>
    <w:rsid w:val="009F339E"/>
    <w:rsid w:val="009F6821"/>
    <w:rsid w:val="009F68AA"/>
    <w:rsid w:val="009F6E1D"/>
    <w:rsid w:val="009F79B9"/>
    <w:rsid w:val="009F7D61"/>
    <w:rsid w:val="00A008DE"/>
    <w:rsid w:val="00A01519"/>
    <w:rsid w:val="00A01843"/>
    <w:rsid w:val="00A0234D"/>
    <w:rsid w:val="00A02733"/>
    <w:rsid w:val="00A051DB"/>
    <w:rsid w:val="00A061F1"/>
    <w:rsid w:val="00A06322"/>
    <w:rsid w:val="00A07153"/>
    <w:rsid w:val="00A075BE"/>
    <w:rsid w:val="00A12C4F"/>
    <w:rsid w:val="00A13E26"/>
    <w:rsid w:val="00A14FAA"/>
    <w:rsid w:val="00A1572B"/>
    <w:rsid w:val="00A16605"/>
    <w:rsid w:val="00A16FDE"/>
    <w:rsid w:val="00A17E37"/>
    <w:rsid w:val="00A22687"/>
    <w:rsid w:val="00A2306A"/>
    <w:rsid w:val="00A23CC6"/>
    <w:rsid w:val="00A24594"/>
    <w:rsid w:val="00A24D34"/>
    <w:rsid w:val="00A25913"/>
    <w:rsid w:val="00A2629E"/>
    <w:rsid w:val="00A262ED"/>
    <w:rsid w:val="00A27AEB"/>
    <w:rsid w:val="00A27C47"/>
    <w:rsid w:val="00A3034D"/>
    <w:rsid w:val="00A30C60"/>
    <w:rsid w:val="00A353D3"/>
    <w:rsid w:val="00A35848"/>
    <w:rsid w:val="00A35FB0"/>
    <w:rsid w:val="00A362D3"/>
    <w:rsid w:val="00A3684A"/>
    <w:rsid w:val="00A3725E"/>
    <w:rsid w:val="00A37EEF"/>
    <w:rsid w:val="00A41B97"/>
    <w:rsid w:val="00A4267B"/>
    <w:rsid w:val="00A42950"/>
    <w:rsid w:val="00A453A8"/>
    <w:rsid w:val="00A456F1"/>
    <w:rsid w:val="00A4642A"/>
    <w:rsid w:val="00A468C7"/>
    <w:rsid w:val="00A4745A"/>
    <w:rsid w:val="00A47F6E"/>
    <w:rsid w:val="00A506D8"/>
    <w:rsid w:val="00A50F9A"/>
    <w:rsid w:val="00A51B45"/>
    <w:rsid w:val="00A51BC7"/>
    <w:rsid w:val="00A51E21"/>
    <w:rsid w:val="00A52705"/>
    <w:rsid w:val="00A53819"/>
    <w:rsid w:val="00A5395D"/>
    <w:rsid w:val="00A53A00"/>
    <w:rsid w:val="00A53D0B"/>
    <w:rsid w:val="00A53D63"/>
    <w:rsid w:val="00A565D1"/>
    <w:rsid w:val="00A567D4"/>
    <w:rsid w:val="00A56FF2"/>
    <w:rsid w:val="00A61042"/>
    <w:rsid w:val="00A62881"/>
    <w:rsid w:val="00A639B7"/>
    <w:rsid w:val="00A65D86"/>
    <w:rsid w:val="00A67897"/>
    <w:rsid w:val="00A71464"/>
    <w:rsid w:val="00A732FB"/>
    <w:rsid w:val="00A74332"/>
    <w:rsid w:val="00A74626"/>
    <w:rsid w:val="00A7472F"/>
    <w:rsid w:val="00A74D67"/>
    <w:rsid w:val="00A81A10"/>
    <w:rsid w:val="00A81C5E"/>
    <w:rsid w:val="00A8219F"/>
    <w:rsid w:val="00A825AC"/>
    <w:rsid w:val="00A82C45"/>
    <w:rsid w:val="00A83695"/>
    <w:rsid w:val="00A83A51"/>
    <w:rsid w:val="00A84C26"/>
    <w:rsid w:val="00A859E6"/>
    <w:rsid w:val="00A867CE"/>
    <w:rsid w:val="00A90637"/>
    <w:rsid w:val="00A90E12"/>
    <w:rsid w:val="00A91BD9"/>
    <w:rsid w:val="00A920E3"/>
    <w:rsid w:val="00A94623"/>
    <w:rsid w:val="00A949CE"/>
    <w:rsid w:val="00A9530C"/>
    <w:rsid w:val="00A95761"/>
    <w:rsid w:val="00A96331"/>
    <w:rsid w:val="00A96B29"/>
    <w:rsid w:val="00A96EBE"/>
    <w:rsid w:val="00A97DCA"/>
    <w:rsid w:val="00AA247D"/>
    <w:rsid w:val="00AA3F51"/>
    <w:rsid w:val="00AA4DE1"/>
    <w:rsid w:val="00AA578B"/>
    <w:rsid w:val="00AA69BB"/>
    <w:rsid w:val="00AA6B19"/>
    <w:rsid w:val="00AA6D42"/>
    <w:rsid w:val="00AA7136"/>
    <w:rsid w:val="00AA7286"/>
    <w:rsid w:val="00AA7C32"/>
    <w:rsid w:val="00AB1230"/>
    <w:rsid w:val="00AB2435"/>
    <w:rsid w:val="00AB2B44"/>
    <w:rsid w:val="00AB2DCC"/>
    <w:rsid w:val="00AB2E95"/>
    <w:rsid w:val="00AB4052"/>
    <w:rsid w:val="00AB7854"/>
    <w:rsid w:val="00AB78C0"/>
    <w:rsid w:val="00AC071D"/>
    <w:rsid w:val="00AC1BC6"/>
    <w:rsid w:val="00AC1BE4"/>
    <w:rsid w:val="00AC1C9C"/>
    <w:rsid w:val="00AC2030"/>
    <w:rsid w:val="00AC25A3"/>
    <w:rsid w:val="00AC3767"/>
    <w:rsid w:val="00AC4B12"/>
    <w:rsid w:val="00AC4D5C"/>
    <w:rsid w:val="00AC75D1"/>
    <w:rsid w:val="00AD0745"/>
    <w:rsid w:val="00AD1B11"/>
    <w:rsid w:val="00AD1CCE"/>
    <w:rsid w:val="00AD1D80"/>
    <w:rsid w:val="00AD3B1A"/>
    <w:rsid w:val="00AD420A"/>
    <w:rsid w:val="00AD4D42"/>
    <w:rsid w:val="00AD5656"/>
    <w:rsid w:val="00AD593C"/>
    <w:rsid w:val="00AD629F"/>
    <w:rsid w:val="00AD705F"/>
    <w:rsid w:val="00AD73AC"/>
    <w:rsid w:val="00AD7893"/>
    <w:rsid w:val="00AE0137"/>
    <w:rsid w:val="00AE0F2A"/>
    <w:rsid w:val="00AE1464"/>
    <w:rsid w:val="00AE20F8"/>
    <w:rsid w:val="00AE2A84"/>
    <w:rsid w:val="00AE34F1"/>
    <w:rsid w:val="00AE36CC"/>
    <w:rsid w:val="00AE4B1D"/>
    <w:rsid w:val="00AE4DDD"/>
    <w:rsid w:val="00AE547C"/>
    <w:rsid w:val="00AE5573"/>
    <w:rsid w:val="00AE5A25"/>
    <w:rsid w:val="00AE6D89"/>
    <w:rsid w:val="00AE6DC0"/>
    <w:rsid w:val="00AE7577"/>
    <w:rsid w:val="00AE7867"/>
    <w:rsid w:val="00AF03C8"/>
    <w:rsid w:val="00AF0BE2"/>
    <w:rsid w:val="00AF0CD9"/>
    <w:rsid w:val="00AF1BF1"/>
    <w:rsid w:val="00AF2804"/>
    <w:rsid w:val="00AF4615"/>
    <w:rsid w:val="00AF4933"/>
    <w:rsid w:val="00AF5F54"/>
    <w:rsid w:val="00AF5FEB"/>
    <w:rsid w:val="00AF6DA6"/>
    <w:rsid w:val="00B02048"/>
    <w:rsid w:val="00B024EF"/>
    <w:rsid w:val="00B025F7"/>
    <w:rsid w:val="00B0297B"/>
    <w:rsid w:val="00B02B1E"/>
    <w:rsid w:val="00B03A23"/>
    <w:rsid w:val="00B03B89"/>
    <w:rsid w:val="00B042AB"/>
    <w:rsid w:val="00B04675"/>
    <w:rsid w:val="00B05AB8"/>
    <w:rsid w:val="00B069AB"/>
    <w:rsid w:val="00B104C4"/>
    <w:rsid w:val="00B10D3F"/>
    <w:rsid w:val="00B1155D"/>
    <w:rsid w:val="00B125D3"/>
    <w:rsid w:val="00B128EA"/>
    <w:rsid w:val="00B12A55"/>
    <w:rsid w:val="00B14E3B"/>
    <w:rsid w:val="00B154B0"/>
    <w:rsid w:val="00B1673E"/>
    <w:rsid w:val="00B174E9"/>
    <w:rsid w:val="00B210A6"/>
    <w:rsid w:val="00B210B9"/>
    <w:rsid w:val="00B21C5F"/>
    <w:rsid w:val="00B21F0A"/>
    <w:rsid w:val="00B2290D"/>
    <w:rsid w:val="00B22AE1"/>
    <w:rsid w:val="00B22D62"/>
    <w:rsid w:val="00B24B22"/>
    <w:rsid w:val="00B26A31"/>
    <w:rsid w:val="00B3118E"/>
    <w:rsid w:val="00B31279"/>
    <w:rsid w:val="00B314D4"/>
    <w:rsid w:val="00B31E33"/>
    <w:rsid w:val="00B32E7D"/>
    <w:rsid w:val="00B33E91"/>
    <w:rsid w:val="00B343DD"/>
    <w:rsid w:val="00B357E4"/>
    <w:rsid w:val="00B3584E"/>
    <w:rsid w:val="00B3593B"/>
    <w:rsid w:val="00B368EA"/>
    <w:rsid w:val="00B36B5F"/>
    <w:rsid w:val="00B37D72"/>
    <w:rsid w:val="00B37FAE"/>
    <w:rsid w:val="00B40585"/>
    <w:rsid w:val="00B40BEA"/>
    <w:rsid w:val="00B441A9"/>
    <w:rsid w:val="00B45BC9"/>
    <w:rsid w:val="00B45C88"/>
    <w:rsid w:val="00B463C1"/>
    <w:rsid w:val="00B46F8B"/>
    <w:rsid w:val="00B47E58"/>
    <w:rsid w:val="00B5005C"/>
    <w:rsid w:val="00B5142E"/>
    <w:rsid w:val="00B5173D"/>
    <w:rsid w:val="00B52439"/>
    <w:rsid w:val="00B5314C"/>
    <w:rsid w:val="00B53F8C"/>
    <w:rsid w:val="00B55714"/>
    <w:rsid w:val="00B56C4F"/>
    <w:rsid w:val="00B571C6"/>
    <w:rsid w:val="00B60C3F"/>
    <w:rsid w:val="00B614C3"/>
    <w:rsid w:val="00B61557"/>
    <w:rsid w:val="00B628AD"/>
    <w:rsid w:val="00B650E5"/>
    <w:rsid w:val="00B6510C"/>
    <w:rsid w:val="00B65FA0"/>
    <w:rsid w:val="00B66F49"/>
    <w:rsid w:val="00B70A6A"/>
    <w:rsid w:val="00B7284F"/>
    <w:rsid w:val="00B72C3C"/>
    <w:rsid w:val="00B73092"/>
    <w:rsid w:val="00B733AE"/>
    <w:rsid w:val="00B736DC"/>
    <w:rsid w:val="00B73E06"/>
    <w:rsid w:val="00B744AA"/>
    <w:rsid w:val="00B74B4E"/>
    <w:rsid w:val="00B74D7F"/>
    <w:rsid w:val="00B751A3"/>
    <w:rsid w:val="00B75B6A"/>
    <w:rsid w:val="00B75EDF"/>
    <w:rsid w:val="00B771DE"/>
    <w:rsid w:val="00B77CE1"/>
    <w:rsid w:val="00B80C21"/>
    <w:rsid w:val="00B82B2B"/>
    <w:rsid w:val="00B83B46"/>
    <w:rsid w:val="00B83DE6"/>
    <w:rsid w:val="00B83EA2"/>
    <w:rsid w:val="00B84909"/>
    <w:rsid w:val="00B8597C"/>
    <w:rsid w:val="00B9035D"/>
    <w:rsid w:val="00B917F3"/>
    <w:rsid w:val="00B91EA2"/>
    <w:rsid w:val="00B91EB9"/>
    <w:rsid w:val="00B957D3"/>
    <w:rsid w:val="00B95965"/>
    <w:rsid w:val="00B9604E"/>
    <w:rsid w:val="00B96084"/>
    <w:rsid w:val="00B9703B"/>
    <w:rsid w:val="00B971D8"/>
    <w:rsid w:val="00BA2CA8"/>
    <w:rsid w:val="00BA3181"/>
    <w:rsid w:val="00BA368D"/>
    <w:rsid w:val="00BA4268"/>
    <w:rsid w:val="00BA4471"/>
    <w:rsid w:val="00BA4EB8"/>
    <w:rsid w:val="00BA5C6D"/>
    <w:rsid w:val="00BA6502"/>
    <w:rsid w:val="00BA68B8"/>
    <w:rsid w:val="00BA6CAE"/>
    <w:rsid w:val="00BA786F"/>
    <w:rsid w:val="00BA791E"/>
    <w:rsid w:val="00BB0509"/>
    <w:rsid w:val="00BB0E53"/>
    <w:rsid w:val="00BB13D2"/>
    <w:rsid w:val="00BB13F2"/>
    <w:rsid w:val="00BB44CE"/>
    <w:rsid w:val="00BB45A7"/>
    <w:rsid w:val="00BB48FF"/>
    <w:rsid w:val="00BB639D"/>
    <w:rsid w:val="00BB6EFC"/>
    <w:rsid w:val="00BC0763"/>
    <w:rsid w:val="00BC0787"/>
    <w:rsid w:val="00BC1D27"/>
    <w:rsid w:val="00BC4026"/>
    <w:rsid w:val="00BC4DA1"/>
    <w:rsid w:val="00BC5F86"/>
    <w:rsid w:val="00BC707A"/>
    <w:rsid w:val="00BC73EE"/>
    <w:rsid w:val="00BC76D9"/>
    <w:rsid w:val="00BD1217"/>
    <w:rsid w:val="00BD1E3D"/>
    <w:rsid w:val="00BD21F5"/>
    <w:rsid w:val="00BD2807"/>
    <w:rsid w:val="00BD3BE0"/>
    <w:rsid w:val="00BD4A99"/>
    <w:rsid w:val="00BD5FD5"/>
    <w:rsid w:val="00BD657E"/>
    <w:rsid w:val="00BE00A3"/>
    <w:rsid w:val="00BE014D"/>
    <w:rsid w:val="00BE0181"/>
    <w:rsid w:val="00BE1B61"/>
    <w:rsid w:val="00BE351D"/>
    <w:rsid w:val="00BE3FBA"/>
    <w:rsid w:val="00BE42CF"/>
    <w:rsid w:val="00BE65A2"/>
    <w:rsid w:val="00BE702B"/>
    <w:rsid w:val="00BF0F42"/>
    <w:rsid w:val="00BF106A"/>
    <w:rsid w:val="00BF2107"/>
    <w:rsid w:val="00BF24BA"/>
    <w:rsid w:val="00BF3289"/>
    <w:rsid w:val="00BF4564"/>
    <w:rsid w:val="00BF4EA4"/>
    <w:rsid w:val="00BF5A96"/>
    <w:rsid w:val="00BF6123"/>
    <w:rsid w:val="00BF653C"/>
    <w:rsid w:val="00BF77D3"/>
    <w:rsid w:val="00C00207"/>
    <w:rsid w:val="00C002A8"/>
    <w:rsid w:val="00C00CF6"/>
    <w:rsid w:val="00C01D34"/>
    <w:rsid w:val="00C03CE9"/>
    <w:rsid w:val="00C03D40"/>
    <w:rsid w:val="00C042D8"/>
    <w:rsid w:val="00C04414"/>
    <w:rsid w:val="00C04A4D"/>
    <w:rsid w:val="00C057CA"/>
    <w:rsid w:val="00C06067"/>
    <w:rsid w:val="00C073A1"/>
    <w:rsid w:val="00C07624"/>
    <w:rsid w:val="00C10700"/>
    <w:rsid w:val="00C10E64"/>
    <w:rsid w:val="00C11ACB"/>
    <w:rsid w:val="00C12A17"/>
    <w:rsid w:val="00C13998"/>
    <w:rsid w:val="00C13D13"/>
    <w:rsid w:val="00C1415F"/>
    <w:rsid w:val="00C141C6"/>
    <w:rsid w:val="00C14CF4"/>
    <w:rsid w:val="00C17ACB"/>
    <w:rsid w:val="00C17D05"/>
    <w:rsid w:val="00C21609"/>
    <w:rsid w:val="00C228C8"/>
    <w:rsid w:val="00C22F03"/>
    <w:rsid w:val="00C22FD5"/>
    <w:rsid w:val="00C23BEC"/>
    <w:rsid w:val="00C23DA3"/>
    <w:rsid w:val="00C24362"/>
    <w:rsid w:val="00C246DB"/>
    <w:rsid w:val="00C256B4"/>
    <w:rsid w:val="00C26239"/>
    <w:rsid w:val="00C26D99"/>
    <w:rsid w:val="00C27049"/>
    <w:rsid w:val="00C30851"/>
    <w:rsid w:val="00C31262"/>
    <w:rsid w:val="00C32333"/>
    <w:rsid w:val="00C334C7"/>
    <w:rsid w:val="00C33709"/>
    <w:rsid w:val="00C34538"/>
    <w:rsid w:val="00C34C32"/>
    <w:rsid w:val="00C36322"/>
    <w:rsid w:val="00C3640A"/>
    <w:rsid w:val="00C36B51"/>
    <w:rsid w:val="00C416C2"/>
    <w:rsid w:val="00C42579"/>
    <w:rsid w:val="00C42E81"/>
    <w:rsid w:val="00C433B1"/>
    <w:rsid w:val="00C43C19"/>
    <w:rsid w:val="00C45265"/>
    <w:rsid w:val="00C47441"/>
    <w:rsid w:val="00C478AF"/>
    <w:rsid w:val="00C479C3"/>
    <w:rsid w:val="00C47A59"/>
    <w:rsid w:val="00C50404"/>
    <w:rsid w:val="00C5057A"/>
    <w:rsid w:val="00C51E3B"/>
    <w:rsid w:val="00C538B2"/>
    <w:rsid w:val="00C544B8"/>
    <w:rsid w:val="00C55587"/>
    <w:rsid w:val="00C5691C"/>
    <w:rsid w:val="00C57273"/>
    <w:rsid w:val="00C603F8"/>
    <w:rsid w:val="00C6249B"/>
    <w:rsid w:val="00C62533"/>
    <w:rsid w:val="00C63F83"/>
    <w:rsid w:val="00C64D4B"/>
    <w:rsid w:val="00C65CA5"/>
    <w:rsid w:val="00C6725F"/>
    <w:rsid w:val="00C67C7C"/>
    <w:rsid w:val="00C7074A"/>
    <w:rsid w:val="00C70E43"/>
    <w:rsid w:val="00C7137B"/>
    <w:rsid w:val="00C72440"/>
    <w:rsid w:val="00C747A4"/>
    <w:rsid w:val="00C74A64"/>
    <w:rsid w:val="00C74E76"/>
    <w:rsid w:val="00C74F4D"/>
    <w:rsid w:val="00C75ABE"/>
    <w:rsid w:val="00C76DB8"/>
    <w:rsid w:val="00C77D2C"/>
    <w:rsid w:val="00C80B86"/>
    <w:rsid w:val="00C82F8B"/>
    <w:rsid w:val="00C84084"/>
    <w:rsid w:val="00C856F5"/>
    <w:rsid w:val="00C857B6"/>
    <w:rsid w:val="00C85C75"/>
    <w:rsid w:val="00C864A0"/>
    <w:rsid w:val="00C8677F"/>
    <w:rsid w:val="00C86E23"/>
    <w:rsid w:val="00C87D3B"/>
    <w:rsid w:val="00C91B32"/>
    <w:rsid w:val="00C930AD"/>
    <w:rsid w:val="00C93780"/>
    <w:rsid w:val="00C937A9"/>
    <w:rsid w:val="00C93F30"/>
    <w:rsid w:val="00C951D9"/>
    <w:rsid w:val="00C9536B"/>
    <w:rsid w:val="00C97D74"/>
    <w:rsid w:val="00CA06A4"/>
    <w:rsid w:val="00CA244E"/>
    <w:rsid w:val="00CA2631"/>
    <w:rsid w:val="00CA2B60"/>
    <w:rsid w:val="00CA3BAA"/>
    <w:rsid w:val="00CA4362"/>
    <w:rsid w:val="00CA65CF"/>
    <w:rsid w:val="00CA67A4"/>
    <w:rsid w:val="00CA68AD"/>
    <w:rsid w:val="00CB0C24"/>
    <w:rsid w:val="00CB204A"/>
    <w:rsid w:val="00CB2FF3"/>
    <w:rsid w:val="00CB3C92"/>
    <w:rsid w:val="00CB4262"/>
    <w:rsid w:val="00CB433A"/>
    <w:rsid w:val="00CB47F1"/>
    <w:rsid w:val="00CB585A"/>
    <w:rsid w:val="00CB7B8D"/>
    <w:rsid w:val="00CB7FF9"/>
    <w:rsid w:val="00CC0751"/>
    <w:rsid w:val="00CC2DA4"/>
    <w:rsid w:val="00CC45A9"/>
    <w:rsid w:val="00CC4842"/>
    <w:rsid w:val="00CC48CB"/>
    <w:rsid w:val="00CC5097"/>
    <w:rsid w:val="00CC7ABC"/>
    <w:rsid w:val="00CD0DE5"/>
    <w:rsid w:val="00CD242D"/>
    <w:rsid w:val="00CD2BC2"/>
    <w:rsid w:val="00CD417C"/>
    <w:rsid w:val="00CD4580"/>
    <w:rsid w:val="00CD49A9"/>
    <w:rsid w:val="00CD4B84"/>
    <w:rsid w:val="00CD6512"/>
    <w:rsid w:val="00CD6BA7"/>
    <w:rsid w:val="00CD7282"/>
    <w:rsid w:val="00CD7EA1"/>
    <w:rsid w:val="00CE015B"/>
    <w:rsid w:val="00CE0253"/>
    <w:rsid w:val="00CE0E0D"/>
    <w:rsid w:val="00CE2906"/>
    <w:rsid w:val="00CE2954"/>
    <w:rsid w:val="00CE2A88"/>
    <w:rsid w:val="00CE506B"/>
    <w:rsid w:val="00CE5D37"/>
    <w:rsid w:val="00CE681D"/>
    <w:rsid w:val="00CE759D"/>
    <w:rsid w:val="00CE7D7E"/>
    <w:rsid w:val="00CE7DF8"/>
    <w:rsid w:val="00CE7E51"/>
    <w:rsid w:val="00CF09F6"/>
    <w:rsid w:val="00CF0A7B"/>
    <w:rsid w:val="00CF2B19"/>
    <w:rsid w:val="00CF3CDE"/>
    <w:rsid w:val="00CF459C"/>
    <w:rsid w:val="00CF4DAC"/>
    <w:rsid w:val="00CF58EF"/>
    <w:rsid w:val="00D028D0"/>
    <w:rsid w:val="00D02AE9"/>
    <w:rsid w:val="00D034C3"/>
    <w:rsid w:val="00D03A06"/>
    <w:rsid w:val="00D04CCE"/>
    <w:rsid w:val="00D0582C"/>
    <w:rsid w:val="00D058BF"/>
    <w:rsid w:val="00D071A6"/>
    <w:rsid w:val="00D07296"/>
    <w:rsid w:val="00D07A80"/>
    <w:rsid w:val="00D1122E"/>
    <w:rsid w:val="00D11A8F"/>
    <w:rsid w:val="00D11AFB"/>
    <w:rsid w:val="00D13207"/>
    <w:rsid w:val="00D1408E"/>
    <w:rsid w:val="00D1459C"/>
    <w:rsid w:val="00D15433"/>
    <w:rsid w:val="00D173D3"/>
    <w:rsid w:val="00D17C3C"/>
    <w:rsid w:val="00D17EE7"/>
    <w:rsid w:val="00D2234D"/>
    <w:rsid w:val="00D22F02"/>
    <w:rsid w:val="00D23763"/>
    <w:rsid w:val="00D23823"/>
    <w:rsid w:val="00D23AF3"/>
    <w:rsid w:val="00D259CF"/>
    <w:rsid w:val="00D261B4"/>
    <w:rsid w:val="00D265A8"/>
    <w:rsid w:val="00D2726F"/>
    <w:rsid w:val="00D30CF1"/>
    <w:rsid w:val="00D30E95"/>
    <w:rsid w:val="00D3167B"/>
    <w:rsid w:val="00D32F2C"/>
    <w:rsid w:val="00D3386A"/>
    <w:rsid w:val="00D349F1"/>
    <w:rsid w:val="00D351D6"/>
    <w:rsid w:val="00D35736"/>
    <w:rsid w:val="00D4085F"/>
    <w:rsid w:val="00D4121D"/>
    <w:rsid w:val="00D41224"/>
    <w:rsid w:val="00D43FF3"/>
    <w:rsid w:val="00D447AE"/>
    <w:rsid w:val="00D45D1E"/>
    <w:rsid w:val="00D47F7E"/>
    <w:rsid w:val="00D5024A"/>
    <w:rsid w:val="00D5085A"/>
    <w:rsid w:val="00D50E53"/>
    <w:rsid w:val="00D51963"/>
    <w:rsid w:val="00D55F9D"/>
    <w:rsid w:val="00D57C7C"/>
    <w:rsid w:val="00D634C5"/>
    <w:rsid w:val="00D63511"/>
    <w:rsid w:val="00D63995"/>
    <w:rsid w:val="00D645BB"/>
    <w:rsid w:val="00D65390"/>
    <w:rsid w:val="00D6541E"/>
    <w:rsid w:val="00D661EE"/>
    <w:rsid w:val="00D709EB"/>
    <w:rsid w:val="00D70A5F"/>
    <w:rsid w:val="00D70F69"/>
    <w:rsid w:val="00D7136A"/>
    <w:rsid w:val="00D726B2"/>
    <w:rsid w:val="00D74D39"/>
    <w:rsid w:val="00D7547F"/>
    <w:rsid w:val="00D76084"/>
    <w:rsid w:val="00D77329"/>
    <w:rsid w:val="00D80067"/>
    <w:rsid w:val="00D8021F"/>
    <w:rsid w:val="00D80729"/>
    <w:rsid w:val="00D81D30"/>
    <w:rsid w:val="00D82155"/>
    <w:rsid w:val="00D82865"/>
    <w:rsid w:val="00D83571"/>
    <w:rsid w:val="00D84447"/>
    <w:rsid w:val="00D8481C"/>
    <w:rsid w:val="00D84AF6"/>
    <w:rsid w:val="00D853E2"/>
    <w:rsid w:val="00D8575E"/>
    <w:rsid w:val="00D85956"/>
    <w:rsid w:val="00D85F55"/>
    <w:rsid w:val="00D86276"/>
    <w:rsid w:val="00D87980"/>
    <w:rsid w:val="00D901D7"/>
    <w:rsid w:val="00D90541"/>
    <w:rsid w:val="00D915AA"/>
    <w:rsid w:val="00D9385A"/>
    <w:rsid w:val="00D94AFC"/>
    <w:rsid w:val="00D94BB7"/>
    <w:rsid w:val="00D97958"/>
    <w:rsid w:val="00DA0508"/>
    <w:rsid w:val="00DA0B1B"/>
    <w:rsid w:val="00DA212C"/>
    <w:rsid w:val="00DA3780"/>
    <w:rsid w:val="00DA4436"/>
    <w:rsid w:val="00DA4CDB"/>
    <w:rsid w:val="00DA5C60"/>
    <w:rsid w:val="00DA5C71"/>
    <w:rsid w:val="00DA5FB9"/>
    <w:rsid w:val="00DA7690"/>
    <w:rsid w:val="00DA7D9B"/>
    <w:rsid w:val="00DB0A15"/>
    <w:rsid w:val="00DB1591"/>
    <w:rsid w:val="00DB1937"/>
    <w:rsid w:val="00DB39E5"/>
    <w:rsid w:val="00DB643E"/>
    <w:rsid w:val="00DB6466"/>
    <w:rsid w:val="00DB720B"/>
    <w:rsid w:val="00DC11E7"/>
    <w:rsid w:val="00DC3E94"/>
    <w:rsid w:val="00DC65AE"/>
    <w:rsid w:val="00DC7971"/>
    <w:rsid w:val="00DC7EAF"/>
    <w:rsid w:val="00DD1F29"/>
    <w:rsid w:val="00DD267F"/>
    <w:rsid w:val="00DD716B"/>
    <w:rsid w:val="00DE063A"/>
    <w:rsid w:val="00DE270A"/>
    <w:rsid w:val="00DE28AB"/>
    <w:rsid w:val="00DE45CF"/>
    <w:rsid w:val="00DE4BDD"/>
    <w:rsid w:val="00DE55BF"/>
    <w:rsid w:val="00DE5D89"/>
    <w:rsid w:val="00DE72DC"/>
    <w:rsid w:val="00DE771D"/>
    <w:rsid w:val="00DE7DD2"/>
    <w:rsid w:val="00DF0B0A"/>
    <w:rsid w:val="00DF0D33"/>
    <w:rsid w:val="00DF11F0"/>
    <w:rsid w:val="00DF24CC"/>
    <w:rsid w:val="00DF4E07"/>
    <w:rsid w:val="00DF50A1"/>
    <w:rsid w:val="00DF6D20"/>
    <w:rsid w:val="00E001D0"/>
    <w:rsid w:val="00E00471"/>
    <w:rsid w:val="00E00E70"/>
    <w:rsid w:val="00E01D89"/>
    <w:rsid w:val="00E0236B"/>
    <w:rsid w:val="00E03F5A"/>
    <w:rsid w:val="00E04084"/>
    <w:rsid w:val="00E044E3"/>
    <w:rsid w:val="00E05864"/>
    <w:rsid w:val="00E059FA"/>
    <w:rsid w:val="00E0769D"/>
    <w:rsid w:val="00E07E81"/>
    <w:rsid w:val="00E129A2"/>
    <w:rsid w:val="00E13721"/>
    <w:rsid w:val="00E14AE8"/>
    <w:rsid w:val="00E158FD"/>
    <w:rsid w:val="00E16ACF"/>
    <w:rsid w:val="00E16FD6"/>
    <w:rsid w:val="00E170C0"/>
    <w:rsid w:val="00E17A30"/>
    <w:rsid w:val="00E20643"/>
    <w:rsid w:val="00E2080D"/>
    <w:rsid w:val="00E20D27"/>
    <w:rsid w:val="00E21BDB"/>
    <w:rsid w:val="00E232B8"/>
    <w:rsid w:val="00E24DB4"/>
    <w:rsid w:val="00E25ACA"/>
    <w:rsid w:val="00E30BD7"/>
    <w:rsid w:val="00E30E52"/>
    <w:rsid w:val="00E30FD4"/>
    <w:rsid w:val="00E335EF"/>
    <w:rsid w:val="00E33653"/>
    <w:rsid w:val="00E367B6"/>
    <w:rsid w:val="00E3686E"/>
    <w:rsid w:val="00E411C9"/>
    <w:rsid w:val="00E413C6"/>
    <w:rsid w:val="00E41876"/>
    <w:rsid w:val="00E418F1"/>
    <w:rsid w:val="00E42BCF"/>
    <w:rsid w:val="00E42CB6"/>
    <w:rsid w:val="00E433A7"/>
    <w:rsid w:val="00E4567C"/>
    <w:rsid w:val="00E45E37"/>
    <w:rsid w:val="00E4698C"/>
    <w:rsid w:val="00E47275"/>
    <w:rsid w:val="00E54F25"/>
    <w:rsid w:val="00E550D6"/>
    <w:rsid w:val="00E55A4F"/>
    <w:rsid w:val="00E56711"/>
    <w:rsid w:val="00E57043"/>
    <w:rsid w:val="00E602D2"/>
    <w:rsid w:val="00E60C42"/>
    <w:rsid w:val="00E60ECF"/>
    <w:rsid w:val="00E62229"/>
    <w:rsid w:val="00E62408"/>
    <w:rsid w:val="00E629B6"/>
    <w:rsid w:val="00E643E4"/>
    <w:rsid w:val="00E6485A"/>
    <w:rsid w:val="00E65767"/>
    <w:rsid w:val="00E66C47"/>
    <w:rsid w:val="00E66EF3"/>
    <w:rsid w:val="00E676DE"/>
    <w:rsid w:val="00E706A1"/>
    <w:rsid w:val="00E708DB"/>
    <w:rsid w:val="00E70D12"/>
    <w:rsid w:val="00E713AF"/>
    <w:rsid w:val="00E7156E"/>
    <w:rsid w:val="00E71AC3"/>
    <w:rsid w:val="00E72FE8"/>
    <w:rsid w:val="00E73003"/>
    <w:rsid w:val="00E7422E"/>
    <w:rsid w:val="00E74E95"/>
    <w:rsid w:val="00E77529"/>
    <w:rsid w:val="00E80E7D"/>
    <w:rsid w:val="00E81986"/>
    <w:rsid w:val="00E82762"/>
    <w:rsid w:val="00E83C30"/>
    <w:rsid w:val="00E83FB4"/>
    <w:rsid w:val="00E8456D"/>
    <w:rsid w:val="00E878C1"/>
    <w:rsid w:val="00E87F31"/>
    <w:rsid w:val="00E90B41"/>
    <w:rsid w:val="00E91202"/>
    <w:rsid w:val="00E9166C"/>
    <w:rsid w:val="00E919B1"/>
    <w:rsid w:val="00E9293F"/>
    <w:rsid w:val="00E92D27"/>
    <w:rsid w:val="00E93995"/>
    <w:rsid w:val="00E96D5F"/>
    <w:rsid w:val="00E97281"/>
    <w:rsid w:val="00EA20A1"/>
    <w:rsid w:val="00EA2B51"/>
    <w:rsid w:val="00EA316A"/>
    <w:rsid w:val="00EA3922"/>
    <w:rsid w:val="00EA4A02"/>
    <w:rsid w:val="00EA504D"/>
    <w:rsid w:val="00EA675F"/>
    <w:rsid w:val="00EA7CFB"/>
    <w:rsid w:val="00EB05F0"/>
    <w:rsid w:val="00EB0FBF"/>
    <w:rsid w:val="00EB1E40"/>
    <w:rsid w:val="00EB2309"/>
    <w:rsid w:val="00EB2536"/>
    <w:rsid w:val="00EB373E"/>
    <w:rsid w:val="00EB3ABA"/>
    <w:rsid w:val="00EB5A64"/>
    <w:rsid w:val="00EC07EA"/>
    <w:rsid w:val="00EC100E"/>
    <w:rsid w:val="00EC3EEE"/>
    <w:rsid w:val="00EC6625"/>
    <w:rsid w:val="00EC7F3F"/>
    <w:rsid w:val="00ED06C9"/>
    <w:rsid w:val="00ED33F2"/>
    <w:rsid w:val="00ED3AD0"/>
    <w:rsid w:val="00ED3B58"/>
    <w:rsid w:val="00ED46E2"/>
    <w:rsid w:val="00ED519F"/>
    <w:rsid w:val="00ED51C9"/>
    <w:rsid w:val="00ED6444"/>
    <w:rsid w:val="00ED6EB5"/>
    <w:rsid w:val="00EE009E"/>
    <w:rsid w:val="00EE0BCF"/>
    <w:rsid w:val="00EE1E34"/>
    <w:rsid w:val="00EE229D"/>
    <w:rsid w:val="00EE50E8"/>
    <w:rsid w:val="00EE5103"/>
    <w:rsid w:val="00EE5B21"/>
    <w:rsid w:val="00EE61C2"/>
    <w:rsid w:val="00EE64BA"/>
    <w:rsid w:val="00EE6807"/>
    <w:rsid w:val="00EE6962"/>
    <w:rsid w:val="00EE7402"/>
    <w:rsid w:val="00EE7BC4"/>
    <w:rsid w:val="00EE7F46"/>
    <w:rsid w:val="00EF1320"/>
    <w:rsid w:val="00EF1450"/>
    <w:rsid w:val="00EF26CA"/>
    <w:rsid w:val="00EF5A8E"/>
    <w:rsid w:val="00EF5AAA"/>
    <w:rsid w:val="00F0118E"/>
    <w:rsid w:val="00F03673"/>
    <w:rsid w:val="00F037AD"/>
    <w:rsid w:val="00F05094"/>
    <w:rsid w:val="00F05AC1"/>
    <w:rsid w:val="00F05E23"/>
    <w:rsid w:val="00F05F91"/>
    <w:rsid w:val="00F06439"/>
    <w:rsid w:val="00F07491"/>
    <w:rsid w:val="00F07C84"/>
    <w:rsid w:val="00F12951"/>
    <w:rsid w:val="00F12AC5"/>
    <w:rsid w:val="00F13747"/>
    <w:rsid w:val="00F1379F"/>
    <w:rsid w:val="00F13EE7"/>
    <w:rsid w:val="00F152FD"/>
    <w:rsid w:val="00F15D66"/>
    <w:rsid w:val="00F17AC2"/>
    <w:rsid w:val="00F17B34"/>
    <w:rsid w:val="00F20060"/>
    <w:rsid w:val="00F21024"/>
    <w:rsid w:val="00F215FB"/>
    <w:rsid w:val="00F21F62"/>
    <w:rsid w:val="00F2225D"/>
    <w:rsid w:val="00F23D38"/>
    <w:rsid w:val="00F23E57"/>
    <w:rsid w:val="00F2411C"/>
    <w:rsid w:val="00F2574E"/>
    <w:rsid w:val="00F263BD"/>
    <w:rsid w:val="00F26E3A"/>
    <w:rsid w:val="00F27E4D"/>
    <w:rsid w:val="00F30094"/>
    <w:rsid w:val="00F32BA5"/>
    <w:rsid w:val="00F34835"/>
    <w:rsid w:val="00F35A74"/>
    <w:rsid w:val="00F36036"/>
    <w:rsid w:val="00F403C9"/>
    <w:rsid w:val="00F418A2"/>
    <w:rsid w:val="00F43F88"/>
    <w:rsid w:val="00F4413F"/>
    <w:rsid w:val="00F45982"/>
    <w:rsid w:val="00F4698E"/>
    <w:rsid w:val="00F46EFB"/>
    <w:rsid w:val="00F47300"/>
    <w:rsid w:val="00F50019"/>
    <w:rsid w:val="00F52772"/>
    <w:rsid w:val="00F52F47"/>
    <w:rsid w:val="00F54043"/>
    <w:rsid w:val="00F541B6"/>
    <w:rsid w:val="00F542FF"/>
    <w:rsid w:val="00F544A7"/>
    <w:rsid w:val="00F55444"/>
    <w:rsid w:val="00F55910"/>
    <w:rsid w:val="00F55D28"/>
    <w:rsid w:val="00F56909"/>
    <w:rsid w:val="00F56FA1"/>
    <w:rsid w:val="00F57A5F"/>
    <w:rsid w:val="00F57BDF"/>
    <w:rsid w:val="00F610EC"/>
    <w:rsid w:val="00F613C6"/>
    <w:rsid w:val="00F6337E"/>
    <w:rsid w:val="00F64BDD"/>
    <w:rsid w:val="00F6599E"/>
    <w:rsid w:val="00F66B58"/>
    <w:rsid w:val="00F66B66"/>
    <w:rsid w:val="00F67770"/>
    <w:rsid w:val="00F67888"/>
    <w:rsid w:val="00F67D4C"/>
    <w:rsid w:val="00F67D84"/>
    <w:rsid w:val="00F71136"/>
    <w:rsid w:val="00F71F45"/>
    <w:rsid w:val="00F72591"/>
    <w:rsid w:val="00F72BC8"/>
    <w:rsid w:val="00F7381D"/>
    <w:rsid w:val="00F762E0"/>
    <w:rsid w:val="00F76415"/>
    <w:rsid w:val="00F7694B"/>
    <w:rsid w:val="00F771BF"/>
    <w:rsid w:val="00F80690"/>
    <w:rsid w:val="00F80F76"/>
    <w:rsid w:val="00F81DB5"/>
    <w:rsid w:val="00F8221C"/>
    <w:rsid w:val="00F82519"/>
    <w:rsid w:val="00F8261F"/>
    <w:rsid w:val="00F82883"/>
    <w:rsid w:val="00F82FC2"/>
    <w:rsid w:val="00F8333A"/>
    <w:rsid w:val="00F83F9E"/>
    <w:rsid w:val="00F8521E"/>
    <w:rsid w:val="00F85307"/>
    <w:rsid w:val="00F85F61"/>
    <w:rsid w:val="00F86B5A"/>
    <w:rsid w:val="00F87211"/>
    <w:rsid w:val="00F873BF"/>
    <w:rsid w:val="00F87669"/>
    <w:rsid w:val="00F9068C"/>
    <w:rsid w:val="00F90694"/>
    <w:rsid w:val="00F91373"/>
    <w:rsid w:val="00F93F57"/>
    <w:rsid w:val="00F94427"/>
    <w:rsid w:val="00F94DD3"/>
    <w:rsid w:val="00F95034"/>
    <w:rsid w:val="00F953F6"/>
    <w:rsid w:val="00F9645D"/>
    <w:rsid w:val="00F97EAA"/>
    <w:rsid w:val="00FA0051"/>
    <w:rsid w:val="00FA0488"/>
    <w:rsid w:val="00FA1E63"/>
    <w:rsid w:val="00FA3999"/>
    <w:rsid w:val="00FA5206"/>
    <w:rsid w:val="00FA7E2C"/>
    <w:rsid w:val="00FB01E4"/>
    <w:rsid w:val="00FB06A3"/>
    <w:rsid w:val="00FB08C3"/>
    <w:rsid w:val="00FB1682"/>
    <w:rsid w:val="00FB1BE9"/>
    <w:rsid w:val="00FB1D18"/>
    <w:rsid w:val="00FB2578"/>
    <w:rsid w:val="00FB3000"/>
    <w:rsid w:val="00FB321C"/>
    <w:rsid w:val="00FB48EA"/>
    <w:rsid w:val="00FB5CAA"/>
    <w:rsid w:val="00FC07FD"/>
    <w:rsid w:val="00FC0BDD"/>
    <w:rsid w:val="00FC1B1F"/>
    <w:rsid w:val="00FC1D1C"/>
    <w:rsid w:val="00FC1D92"/>
    <w:rsid w:val="00FC3AC1"/>
    <w:rsid w:val="00FC3B41"/>
    <w:rsid w:val="00FC52E9"/>
    <w:rsid w:val="00FC5CD3"/>
    <w:rsid w:val="00FC5E8C"/>
    <w:rsid w:val="00FC5F1B"/>
    <w:rsid w:val="00FD217B"/>
    <w:rsid w:val="00FD2B41"/>
    <w:rsid w:val="00FD5608"/>
    <w:rsid w:val="00FE2C71"/>
    <w:rsid w:val="00FE31B0"/>
    <w:rsid w:val="00FE4B08"/>
    <w:rsid w:val="00FE7613"/>
    <w:rsid w:val="00FF468E"/>
    <w:rsid w:val="00FF4736"/>
    <w:rsid w:val="00FF579F"/>
    <w:rsid w:val="00FF6C69"/>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sk-SK" w:eastAsia="sk-SK"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semiHidden="0" w:unhideWhenUsed="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lsdException w:name="toc 2" w:locked="1" w:semiHidden="0" w:uiPriority="39"/>
    <w:lsdException w:name="toc 3" w:locked="1" w:semiHidden="0" w:uiPriority="39"/>
    <w:lsdException w:name="toc 4" w:locked="1" w:semiHidden="0" w:uiPriority="39"/>
    <w:lsdException w:name="toc 5" w:locked="1" w:semiHidden="0" w:uiPriority="39"/>
    <w:lsdException w:name="toc 6" w:locked="1" w:semiHidden="0" w:uiPriority="39"/>
    <w:lsdException w:name="toc 7" w:locked="1" w:semiHidden="0" w:uiPriority="39"/>
    <w:lsdException w:name="toc 8" w:locked="1" w:semiHidden="0" w:uiPriority="39"/>
    <w:lsdException w:name="toc 9" w:locked="1" w:semiHidden="0" w:uiPriority="39"/>
    <w:lsdException w:name="footnote text" w:locked="1" w:semiHidden="0"/>
    <w:lsdException w:name="caption" w:locked="1" w:semiHidden="0" w:qFormat="1"/>
    <w:lsdException w:name="footnote reference" w:locked="1" w:semiHidden="0"/>
    <w:lsdException w:name="List Bullet" w:locked="1" w:semiHidden="0"/>
    <w:lsdException w:name="Title" w:locked="1" w:semiHidden="0" w:uiPriority="0" w:unhideWhenUsed="0" w:qFormat="1"/>
    <w:lsdException w:name="Default Paragraph Font" w:locked="1" w:semiHidden="0"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qFormat="1"/>
  </w:latentStyles>
  <w:style w:type="paragraph" w:default="1" w:styleId="Normlny">
    <w:name w:val="Normal"/>
    <w:qFormat/>
    <w:rsid w:val="002B2727"/>
    <w:rPr>
      <w:rFonts w:ascii="Times New Roman" w:eastAsia="Times New Roman" w:hAnsi="Times New Roman"/>
      <w:sz w:val="24"/>
      <w:szCs w:val="24"/>
    </w:rPr>
  </w:style>
  <w:style w:type="paragraph" w:styleId="Nadpis1">
    <w:name w:val="heading 1"/>
    <w:basedOn w:val="Normlny"/>
    <w:next w:val="Normlny"/>
    <w:link w:val="Nadpis1Char"/>
    <w:autoRedefine/>
    <w:uiPriority w:val="99"/>
    <w:qFormat/>
    <w:rsid w:val="00F12951"/>
    <w:pPr>
      <w:keepNext/>
      <w:keepLines/>
      <w:pBdr>
        <w:bottom w:val="single" w:sz="8" w:space="4" w:color="4F81BD"/>
      </w:pBdr>
      <w:spacing w:before="480" w:after="300"/>
      <w:contextualSpacing/>
      <w:outlineLvl w:val="0"/>
    </w:pPr>
    <w:rPr>
      <w:bCs/>
      <w:color w:val="365F91"/>
      <w:spacing w:val="5"/>
      <w:kern w:val="28"/>
      <w:sz w:val="52"/>
      <w:szCs w:val="52"/>
    </w:rPr>
  </w:style>
  <w:style w:type="paragraph" w:styleId="Nadpis2">
    <w:name w:val="heading 2"/>
    <w:basedOn w:val="Normlny"/>
    <w:next w:val="Normlny"/>
    <w:link w:val="Nadpis2Char"/>
    <w:autoRedefine/>
    <w:uiPriority w:val="99"/>
    <w:qFormat/>
    <w:rsid w:val="00F12951"/>
    <w:pPr>
      <w:keepNext/>
      <w:keepLines/>
      <w:pBdr>
        <w:bottom w:val="single" w:sz="8" w:space="4" w:color="4F81BD"/>
      </w:pBdr>
      <w:spacing w:before="200" w:after="300"/>
      <w:contextualSpacing/>
      <w:outlineLvl w:val="1"/>
    </w:pPr>
    <w:rPr>
      <w:rFonts w:ascii="Cambria" w:hAnsi="Cambria"/>
      <w:b/>
      <w:bCs/>
      <w:color w:val="365F91"/>
      <w:spacing w:val="5"/>
      <w:kern w:val="28"/>
      <w:sz w:val="36"/>
      <w:szCs w:val="26"/>
    </w:rPr>
  </w:style>
  <w:style w:type="paragraph" w:styleId="Nadpis3">
    <w:name w:val="heading 3"/>
    <w:aliases w:val="Podúloha"/>
    <w:basedOn w:val="Normlny"/>
    <w:next w:val="Normlny"/>
    <w:link w:val="Nadpis3Char"/>
    <w:uiPriority w:val="99"/>
    <w:qFormat/>
    <w:rsid w:val="00F12951"/>
    <w:pPr>
      <w:keepNext/>
      <w:keepLines/>
      <w:spacing w:before="200" w:line="276" w:lineRule="auto"/>
      <w:jc w:val="both"/>
      <w:outlineLvl w:val="2"/>
    </w:pPr>
    <w:rPr>
      <w:rFonts w:ascii="Cambria" w:hAnsi="Cambria"/>
      <w:b/>
      <w:bCs/>
      <w:color w:val="4F81BD"/>
      <w:sz w:val="26"/>
      <w:szCs w:val="22"/>
      <w:lang w:eastAsia="en-US"/>
    </w:rPr>
  </w:style>
  <w:style w:type="paragraph" w:styleId="Nadpis4">
    <w:name w:val="heading 4"/>
    <w:basedOn w:val="Normlny"/>
    <w:next w:val="Normlny"/>
    <w:link w:val="Nadpis4Char"/>
    <w:uiPriority w:val="99"/>
    <w:qFormat/>
    <w:rsid w:val="00F12951"/>
    <w:pPr>
      <w:keepNext/>
      <w:keepLines/>
      <w:spacing w:before="200"/>
      <w:outlineLvl w:val="3"/>
    </w:pPr>
    <w:rPr>
      <w:rFonts w:ascii="Cambria" w:hAnsi="Cambria"/>
      <w:b/>
      <w:bCs/>
      <w:i/>
      <w:iCs/>
      <w:color w:val="4F81BD"/>
    </w:rPr>
  </w:style>
  <w:style w:type="paragraph" w:styleId="Nadpis5">
    <w:name w:val="heading 5"/>
    <w:basedOn w:val="Normlny"/>
    <w:next w:val="Normlny"/>
    <w:link w:val="Nadpis5Char"/>
    <w:uiPriority w:val="99"/>
    <w:qFormat/>
    <w:rsid w:val="00F12951"/>
    <w:pPr>
      <w:keepNext/>
      <w:keepLines/>
      <w:spacing w:before="200"/>
      <w:outlineLvl w:val="4"/>
    </w:pPr>
    <w:rPr>
      <w:rFonts w:ascii="Cambria" w:hAnsi="Cambria"/>
      <w:color w:val="243F6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9"/>
    <w:locked/>
    <w:rsid w:val="00F12951"/>
    <w:rPr>
      <w:rFonts w:ascii="Times New Roman" w:hAnsi="Times New Roman" w:cs="Times New Roman"/>
      <w:bCs/>
      <w:color w:val="365F91"/>
      <w:spacing w:val="5"/>
      <w:kern w:val="28"/>
      <w:sz w:val="52"/>
      <w:szCs w:val="52"/>
      <w:lang w:eastAsia="sk-SK"/>
    </w:rPr>
  </w:style>
  <w:style w:type="character" w:customStyle="1" w:styleId="Nadpis2Char">
    <w:name w:val="Nadpis 2 Char"/>
    <w:link w:val="Nadpis2"/>
    <w:uiPriority w:val="99"/>
    <w:locked/>
    <w:rsid w:val="00F12951"/>
    <w:rPr>
      <w:rFonts w:ascii="Cambria" w:hAnsi="Cambria" w:cs="Times New Roman"/>
      <w:b/>
      <w:bCs/>
      <w:color w:val="365F91"/>
      <w:spacing w:val="5"/>
      <w:kern w:val="28"/>
      <w:sz w:val="26"/>
      <w:szCs w:val="26"/>
      <w:lang w:eastAsia="sk-SK"/>
    </w:rPr>
  </w:style>
  <w:style w:type="character" w:customStyle="1" w:styleId="Nadpis3Char">
    <w:name w:val="Nadpis 3 Char"/>
    <w:aliases w:val="Podúloha Char"/>
    <w:link w:val="Nadpis3"/>
    <w:uiPriority w:val="99"/>
    <w:locked/>
    <w:rsid w:val="00F12951"/>
    <w:rPr>
      <w:rFonts w:ascii="Cambria" w:hAnsi="Cambria" w:cs="Times New Roman"/>
      <w:b/>
      <w:bCs/>
      <w:color w:val="4F81BD"/>
      <w:sz w:val="26"/>
    </w:rPr>
  </w:style>
  <w:style w:type="character" w:customStyle="1" w:styleId="Nadpis4Char">
    <w:name w:val="Nadpis 4 Char"/>
    <w:link w:val="Nadpis4"/>
    <w:uiPriority w:val="99"/>
    <w:locked/>
    <w:rsid w:val="00F12951"/>
    <w:rPr>
      <w:rFonts w:ascii="Cambria" w:hAnsi="Cambria" w:cs="Times New Roman"/>
      <w:b/>
      <w:bCs/>
      <w:i/>
      <w:iCs/>
      <w:color w:val="4F81BD"/>
      <w:sz w:val="24"/>
      <w:szCs w:val="24"/>
      <w:lang w:eastAsia="sk-SK"/>
    </w:rPr>
  </w:style>
  <w:style w:type="character" w:customStyle="1" w:styleId="Nadpis5Char">
    <w:name w:val="Nadpis 5 Char"/>
    <w:link w:val="Nadpis5"/>
    <w:uiPriority w:val="99"/>
    <w:semiHidden/>
    <w:locked/>
    <w:rsid w:val="00F12951"/>
    <w:rPr>
      <w:rFonts w:ascii="Cambria" w:hAnsi="Cambria" w:cs="Times New Roman"/>
      <w:color w:val="243F60"/>
      <w:sz w:val="24"/>
      <w:szCs w:val="24"/>
      <w:lang w:eastAsia="sk-SK"/>
    </w:rPr>
  </w:style>
  <w:style w:type="paragraph" w:styleId="Textbubliny">
    <w:name w:val="Balloon Text"/>
    <w:basedOn w:val="Normlny"/>
    <w:link w:val="TextbublinyChar"/>
    <w:uiPriority w:val="99"/>
    <w:semiHidden/>
    <w:rsid w:val="00F12951"/>
    <w:rPr>
      <w:rFonts w:ascii="Tahoma" w:hAnsi="Tahoma" w:cs="Tahoma"/>
      <w:sz w:val="16"/>
      <w:szCs w:val="16"/>
    </w:rPr>
  </w:style>
  <w:style w:type="character" w:customStyle="1" w:styleId="TextbublinyChar">
    <w:name w:val="Text bubliny Char"/>
    <w:link w:val="Textbubliny"/>
    <w:uiPriority w:val="99"/>
    <w:semiHidden/>
    <w:locked/>
    <w:rsid w:val="00F12951"/>
    <w:rPr>
      <w:rFonts w:ascii="Tahoma" w:hAnsi="Tahoma" w:cs="Tahoma"/>
      <w:sz w:val="16"/>
      <w:szCs w:val="16"/>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uiPriority w:val="99"/>
    <w:rsid w:val="00F12951"/>
    <w:rPr>
      <w:rFonts w:cs="Times New Roman"/>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Char4"/>
    <w:basedOn w:val="Normlny"/>
    <w:link w:val="TextpoznmkypodiarouChar"/>
    <w:uiPriority w:val="99"/>
    <w:rsid w:val="00F12951"/>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link w:val="Textpoznmkypodiarou"/>
    <w:uiPriority w:val="99"/>
    <w:locked/>
    <w:rsid w:val="00F12951"/>
    <w:rPr>
      <w:rFonts w:ascii="Times New Roman" w:hAnsi="Times New Roman" w:cs="Times New Roman"/>
      <w:sz w:val="20"/>
      <w:szCs w:val="20"/>
      <w:lang w:eastAsia="sk-SK"/>
    </w:rPr>
  </w:style>
  <w:style w:type="paragraph" w:customStyle="1" w:styleId="SRK1">
    <w:name w:val="SRK 1"/>
    <w:basedOn w:val="Nadpis1"/>
    <w:next w:val="Normlny"/>
    <w:autoRedefine/>
    <w:uiPriority w:val="99"/>
    <w:qFormat/>
    <w:rsid w:val="00227685"/>
    <w:pPr>
      <w:pBdr>
        <w:bottom w:val="single" w:sz="8" w:space="31" w:color="4F81BD"/>
      </w:pBdr>
      <w:contextualSpacing w:val="0"/>
    </w:pPr>
    <w:rPr>
      <w:color w:val="1E4E9D"/>
    </w:rPr>
  </w:style>
  <w:style w:type="paragraph" w:customStyle="1" w:styleId="SRK2">
    <w:name w:val="SRK 2"/>
    <w:basedOn w:val="Nadpis2"/>
    <w:next w:val="Normlny"/>
    <w:autoRedefine/>
    <w:uiPriority w:val="99"/>
    <w:qFormat/>
    <w:rsid w:val="00CB47F1"/>
    <w:pPr>
      <w:contextualSpacing w:val="0"/>
    </w:pPr>
    <w:rPr>
      <w:rFonts w:ascii="Times New Roman" w:hAnsi="Times New Roman"/>
      <w:b w:val="0"/>
      <w:color w:val="1E4E9D"/>
    </w:rPr>
  </w:style>
  <w:style w:type="paragraph" w:styleId="Pta">
    <w:name w:val="footer"/>
    <w:basedOn w:val="Normlny"/>
    <w:link w:val="PtaChar"/>
    <w:uiPriority w:val="99"/>
    <w:rsid w:val="00F12951"/>
    <w:pPr>
      <w:tabs>
        <w:tab w:val="center" w:pos="4536"/>
        <w:tab w:val="right" w:pos="9072"/>
      </w:tabs>
    </w:pPr>
  </w:style>
  <w:style w:type="character" w:customStyle="1" w:styleId="PtaChar">
    <w:name w:val="Päta Char"/>
    <w:link w:val="Pta"/>
    <w:uiPriority w:val="99"/>
    <w:locked/>
    <w:rsid w:val="00F12951"/>
    <w:rPr>
      <w:rFonts w:ascii="Times New Roman" w:hAnsi="Times New Roman" w:cs="Times New Roman"/>
      <w:sz w:val="24"/>
      <w:szCs w:val="24"/>
      <w:lang w:eastAsia="sk-SK"/>
    </w:rPr>
  </w:style>
  <w:style w:type="paragraph" w:customStyle="1" w:styleId="SRK3">
    <w:name w:val="SRK 3"/>
    <w:basedOn w:val="Nadpis3"/>
    <w:autoRedefine/>
    <w:uiPriority w:val="99"/>
    <w:qFormat/>
    <w:rsid w:val="00CB47F1"/>
    <w:pPr>
      <w:spacing w:line="240" w:lineRule="auto"/>
    </w:pPr>
    <w:rPr>
      <w:rFonts w:ascii="Times New Roman" w:hAnsi="Times New Roman"/>
      <w:b w:val="0"/>
      <w:color w:val="1E4E9D"/>
    </w:rPr>
  </w:style>
  <w:style w:type="paragraph" w:customStyle="1" w:styleId="SRK4">
    <w:name w:val="SRK 4"/>
    <w:basedOn w:val="Nadpis4"/>
    <w:next w:val="Normlny"/>
    <w:autoRedefine/>
    <w:uiPriority w:val="99"/>
    <w:qFormat/>
    <w:rsid w:val="00CB47F1"/>
    <w:pPr>
      <w:jc w:val="both"/>
    </w:pPr>
    <w:rPr>
      <w:rFonts w:ascii="Times New Roman" w:hAnsi="Times New Roman"/>
      <w:b w:val="0"/>
      <w:i w:val="0"/>
      <w:color w:val="1E4E9D"/>
    </w:rPr>
  </w:style>
  <w:style w:type="paragraph" w:styleId="Odsekzoznamu">
    <w:name w:val="List Paragraph"/>
    <w:aliases w:val="body,Odsek zoznamu2"/>
    <w:basedOn w:val="Normlny"/>
    <w:link w:val="OdsekzoznamuChar"/>
    <w:uiPriority w:val="34"/>
    <w:qFormat/>
    <w:rsid w:val="00F12951"/>
    <w:pPr>
      <w:ind w:left="720"/>
      <w:contextualSpacing/>
    </w:pPr>
  </w:style>
  <w:style w:type="character" w:customStyle="1" w:styleId="OdsekzoznamuChar">
    <w:name w:val="Odsek zoznamu Char"/>
    <w:aliases w:val="body Char,Odsek zoznamu2 Char"/>
    <w:link w:val="Odsekzoznamu"/>
    <w:uiPriority w:val="34"/>
    <w:locked/>
    <w:rsid w:val="00F12951"/>
    <w:rPr>
      <w:rFonts w:ascii="Times New Roman" w:hAnsi="Times New Roman" w:cs="Times New Roman"/>
      <w:sz w:val="24"/>
      <w:szCs w:val="24"/>
      <w:lang w:eastAsia="sk-SK"/>
    </w:rPr>
  </w:style>
  <w:style w:type="paragraph" w:styleId="Textkomentra">
    <w:name w:val="annotation text"/>
    <w:basedOn w:val="Normlny"/>
    <w:link w:val="TextkomentraChar"/>
    <w:uiPriority w:val="99"/>
    <w:rsid w:val="00F12951"/>
    <w:rPr>
      <w:sz w:val="20"/>
      <w:szCs w:val="20"/>
    </w:rPr>
  </w:style>
  <w:style w:type="character" w:customStyle="1" w:styleId="TextkomentraChar">
    <w:name w:val="Text komentára Char"/>
    <w:link w:val="Textkomentra"/>
    <w:uiPriority w:val="99"/>
    <w:locked/>
    <w:rsid w:val="00F12951"/>
    <w:rPr>
      <w:rFonts w:ascii="Times New Roman" w:hAnsi="Times New Roman" w:cs="Times New Roman"/>
      <w:sz w:val="20"/>
      <w:szCs w:val="20"/>
      <w:lang w:eastAsia="sk-SK"/>
    </w:rPr>
  </w:style>
  <w:style w:type="character" w:styleId="Odkaznakomentr">
    <w:name w:val="annotation reference"/>
    <w:uiPriority w:val="99"/>
    <w:semiHidden/>
    <w:rsid w:val="00F12951"/>
    <w:rPr>
      <w:rFonts w:cs="Times New Roman"/>
      <w:sz w:val="16"/>
      <w:szCs w:val="16"/>
    </w:rPr>
  </w:style>
  <w:style w:type="paragraph" w:styleId="Predmetkomentra">
    <w:name w:val="annotation subject"/>
    <w:basedOn w:val="Textkomentra"/>
    <w:next w:val="Textkomentra"/>
    <w:link w:val="PredmetkomentraChar"/>
    <w:uiPriority w:val="99"/>
    <w:semiHidden/>
    <w:rsid w:val="00F12951"/>
    <w:rPr>
      <w:b/>
      <w:bCs/>
    </w:rPr>
  </w:style>
  <w:style w:type="character" w:customStyle="1" w:styleId="PredmetkomentraChar">
    <w:name w:val="Predmet komentára Char"/>
    <w:link w:val="Predmetkomentra"/>
    <w:uiPriority w:val="99"/>
    <w:semiHidden/>
    <w:locked/>
    <w:rsid w:val="00F12951"/>
    <w:rPr>
      <w:rFonts w:ascii="Times New Roman" w:hAnsi="Times New Roman" w:cs="Times New Roman"/>
      <w:b/>
      <w:bCs/>
      <w:sz w:val="20"/>
      <w:szCs w:val="20"/>
      <w:lang w:eastAsia="sk-SK"/>
    </w:rPr>
  </w:style>
  <w:style w:type="paragraph" w:customStyle="1" w:styleId="SRK5">
    <w:name w:val="SRK 5"/>
    <w:basedOn w:val="Nadpis5"/>
    <w:next w:val="Normlny"/>
    <w:uiPriority w:val="99"/>
    <w:qFormat/>
    <w:rsid w:val="00CB47F1"/>
    <w:rPr>
      <w:rFonts w:ascii="Times New Roman" w:hAnsi="Times New Roman"/>
      <w:b/>
      <w:i/>
      <w:color w:val="1E4E9D"/>
    </w:rPr>
  </w:style>
  <w:style w:type="paragraph" w:styleId="Popis">
    <w:name w:val="caption"/>
    <w:basedOn w:val="Normlny"/>
    <w:next w:val="Normlny"/>
    <w:uiPriority w:val="99"/>
    <w:qFormat/>
    <w:rsid w:val="00F12951"/>
    <w:pPr>
      <w:spacing w:after="200"/>
    </w:pPr>
    <w:rPr>
      <w:b/>
      <w:bCs/>
      <w:color w:val="4F81BD"/>
      <w:sz w:val="18"/>
      <w:szCs w:val="18"/>
    </w:rPr>
  </w:style>
  <w:style w:type="paragraph" w:customStyle="1" w:styleId="SRKNorm">
    <w:name w:val="SRK Norm."/>
    <w:basedOn w:val="Normlny"/>
    <w:next w:val="Normlny"/>
    <w:uiPriority w:val="99"/>
    <w:rsid w:val="00F12951"/>
    <w:pPr>
      <w:spacing w:before="200" w:after="200"/>
      <w:jc w:val="both"/>
    </w:pPr>
  </w:style>
  <w:style w:type="paragraph" w:styleId="Revzia">
    <w:name w:val="Revision"/>
    <w:hidden/>
    <w:uiPriority w:val="99"/>
    <w:semiHidden/>
    <w:rsid w:val="00F12951"/>
    <w:rPr>
      <w:rFonts w:ascii="Times New Roman" w:eastAsia="Times New Roman" w:hAnsi="Times New Roman"/>
      <w:sz w:val="24"/>
      <w:szCs w:val="24"/>
    </w:rPr>
  </w:style>
  <w:style w:type="paragraph" w:styleId="Normlnywebov">
    <w:name w:val="Normal (Web)"/>
    <w:basedOn w:val="Normlny"/>
    <w:uiPriority w:val="99"/>
    <w:semiHidden/>
    <w:rsid w:val="00F12951"/>
    <w:pPr>
      <w:spacing w:before="100" w:beforeAutospacing="1" w:after="100" w:afterAutospacing="1"/>
    </w:pPr>
  </w:style>
  <w:style w:type="paragraph" w:styleId="Zvraznencitcia">
    <w:name w:val="Intense Quote"/>
    <w:basedOn w:val="Normlny"/>
    <w:next w:val="Normlny"/>
    <w:link w:val="ZvraznencitciaChar"/>
    <w:uiPriority w:val="99"/>
    <w:qFormat/>
    <w:rsid w:val="00F12951"/>
    <w:pPr>
      <w:pBdr>
        <w:bottom w:val="single" w:sz="4" w:space="4" w:color="4F81BD"/>
      </w:pBdr>
      <w:spacing w:before="200" w:after="280" w:line="276" w:lineRule="auto"/>
      <w:ind w:left="936" w:right="936"/>
      <w:jc w:val="both"/>
    </w:pPr>
    <w:rPr>
      <w:rFonts w:eastAsia="Calibri"/>
      <w:b/>
      <w:bCs/>
      <w:i/>
      <w:iCs/>
      <w:color w:val="4F81BD"/>
      <w:szCs w:val="22"/>
      <w:lang w:eastAsia="en-US"/>
    </w:rPr>
  </w:style>
  <w:style w:type="character" w:customStyle="1" w:styleId="ZvraznencitciaChar">
    <w:name w:val="Zvýraznená citácia Char"/>
    <w:link w:val="Zvraznencitcia"/>
    <w:uiPriority w:val="99"/>
    <w:locked/>
    <w:rsid w:val="00F12951"/>
    <w:rPr>
      <w:rFonts w:ascii="Times New Roman" w:hAnsi="Times New Roman" w:cs="Times New Roman"/>
      <w:b/>
      <w:bCs/>
      <w:i/>
      <w:iCs/>
      <w:color w:val="4F81BD"/>
      <w:sz w:val="24"/>
    </w:rPr>
  </w:style>
  <w:style w:type="paragraph" w:styleId="Obsah1">
    <w:name w:val="toc 1"/>
    <w:basedOn w:val="Normlny"/>
    <w:next w:val="Normlny"/>
    <w:autoRedefine/>
    <w:uiPriority w:val="39"/>
    <w:rsid w:val="00F12951"/>
    <w:pPr>
      <w:tabs>
        <w:tab w:val="right" w:leader="dot" w:pos="9825"/>
      </w:tabs>
      <w:spacing w:after="100"/>
      <w:ind w:left="-426"/>
    </w:pPr>
    <w:rPr>
      <w:b/>
      <w:noProof/>
      <w:sz w:val="28"/>
    </w:rPr>
  </w:style>
  <w:style w:type="paragraph" w:styleId="Obsah2">
    <w:name w:val="toc 2"/>
    <w:basedOn w:val="Normlny"/>
    <w:next w:val="Normlny"/>
    <w:autoRedefine/>
    <w:uiPriority w:val="39"/>
    <w:rsid w:val="00F12951"/>
    <w:pPr>
      <w:tabs>
        <w:tab w:val="right" w:leader="dot" w:pos="9841"/>
      </w:tabs>
      <w:spacing w:after="100"/>
    </w:pPr>
  </w:style>
  <w:style w:type="paragraph" w:styleId="Obsah3">
    <w:name w:val="toc 3"/>
    <w:basedOn w:val="Normlny"/>
    <w:next w:val="Normlny"/>
    <w:autoRedefine/>
    <w:uiPriority w:val="39"/>
    <w:rsid w:val="00F12951"/>
    <w:pPr>
      <w:tabs>
        <w:tab w:val="right" w:leader="dot" w:pos="9825"/>
      </w:tabs>
      <w:spacing w:after="100"/>
      <w:ind w:left="993" w:hanging="567"/>
    </w:pPr>
  </w:style>
  <w:style w:type="table" w:customStyle="1" w:styleId="Strednpodfarbenie1zvraznenie11">
    <w:name w:val="Stredné podfarbenie 1 – zvýraznenie 11"/>
    <w:uiPriority w:val="99"/>
    <w:rsid w:val="00F1295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paragraph" w:styleId="Zkladntext">
    <w:name w:val="Body Text"/>
    <w:basedOn w:val="Normlny"/>
    <w:link w:val="ZkladntextChar"/>
    <w:uiPriority w:val="99"/>
    <w:rsid w:val="00F12951"/>
    <w:pPr>
      <w:spacing w:after="120" w:line="276" w:lineRule="auto"/>
      <w:jc w:val="both"/>
    </w:pPr>
    <w:rPr>
      <w:rFonts w:eastAsia="Calibri"/>
      <w:szCs w:val="22"/>
      <w:lang w:eastAsia="en-US"/>
    </w:rPr>
  </w:style>
  <w:style w:type="character" w:customStyle="1" w:styleId="ZkladntextChar">
    <w:name w:val="Základný text Char"/>
    <w:link w:val="Zkladntext"/>
    <w:uiPriority w:val="99"/>
    <w:locked/>
    <w:rsid w:val="00F12951"/>
    <w:rPr>
      <w:rFonts w:ascii="Times New Roman" w:hAnsi="Times New Roman" w:cs="Times New Roman"/>
      <w:sz w:val="24"/>
    </w:rPr>
  </w:style>
  <w:style w:type="paragraph" w:styleId="Zoznamsodrkami">
    <w:name w:val="List Bullet"/>
    <w:basedOn w:val="Zkladntext"/>
    <w:uiPriority w:val="99"/>
    <w:rsid w:val="00F12951"/>
    <w:pPr>
      <w:numPr>
        <w:numId w:val="15"/>
      </w:numPr>
      <w:spacing w:before="130" w:after="130" w:line="240" w:lineRule="auto"/>
    </w:pPr>
    <w:rPr>
      <w:rFonts w:eastAsia="Times New Roman"/>
      <w:sz w:val="22"/>
      <w:szCs w:val="20"/>
    </w:rPr>
  </w:style>
  <w:style w:type="paragraph" w:styleId="Obsah4">
    <w:name w:val="toc 4"/>
    <w:basedOn w:val="Normlny"/>
    <w:next w:val="Normlny"/>
    <w:autoRedefine/>
    <w:uiPriority w:val="39"/>
    <w:rsid w:val="009B0F7F"/>
    <w:pPr>
      <w:tabs>
        <w:tab w:val="right" w:leader="dot" w:pos="9825"/>
      </w:tabs>
      <w:spacing w:after="100" w:line="276" w:lineRule="auto"/>
      <w:ind w:left="1843" w:hanging="851"/>
    </w:pPr>
    <w:rPr>
      <w:noProof/>
      <w:sz w:val="22"/>
      <w:szCs w:val="22"/>
    </w:rPr>
  </w:style>
  <w:style w:type="paragraph" w:styleId="Obsah6">
    <w:name w:val="toc 6"/>
    <w:basedOn w:val="Normlny"/>
    <w:next w:val="Normlny"/>
    <w:autoRedefine/>
    <w:uiPriority w:val="39"/>
    <w:rsid w:val="00F12951"/>
    <w:pPr>
      <w:spacing w:after="100" w:line="276" w:lineRule="auto"/>
      <w:ind w:left="1100"/>
    </w:pPr>
    <w:rPr>
      <w:rFonts w:ascii="Calibri" w:hAnsi="Calibri"/>
      <w:sz w:val="22"/>
      <w:szCs w:val="22"/>
    </w:rPr>
  </w:style>
  <w:style w:type="paragraph" w:styleId="Obsah7">
    <w:name w:val="toc 7"/>
    <w:basedOn w:val="Normlny"/>
    <w:next w:val="Normlny"/>
    <w:autoRedefine/>
    <w:uiPriority w:val="39"/>
    <w:rsid w:val="00F12951"/>
    <w:pPr>
      <w:spacing w:after="100" w:line="276" w:lineRule="auto"/>
      <w:ind w:left="1320"/>
    </w:pPr>
    <w:rPr>
      <w:rFonts w:ascii="Calibri" w:hAnsi="Calibri"/>
      <w:sz w:val="22"/>
      <w:szCs w:val="22"/>
    </w:rPr>
  </w:style>
  <w:style w:type="paragraph" w:styleId="Obsah8">
    <w:name w:val="toc 8"/>
    <w:basedOn w:val="Normlny"/>
    <w:next w:val="Normlny"/>
    <w:autoRedefine/>
    <w:uiPriority w:val="39"/>
    <w:rsid w:val="00F12951"/>
    <w:pPr>
      <w:spacing w:after="100" w:line="276" w:lineRule="auto"/>
      <w:ind w:left="1540"/>
    </w:pPr>
    <w:rPr>
      <w:rFonts w:ascii="Calibri" w:hAnsi="Calibri"/>
      <w:sz w:val="22"/>
      <w:szCs w:val="22"/>
    </w:rPr>
  </w:style>
  <w:style w:type="paragraph" w:styleId="Obsah9">
    <w:name w:val="toc 9"/>
    <w:basedOn w:val="Normlny"/>
    <w:next w:val="Normlny"/>
    <w:autoRedefine/>
    <w:uiPriority w:val="39"/>
    <w:rsid w:val="00F12951"/>
    <w:pPr>
      <w:spacing w:after="100" w:line="276" w:lineRule="auto"/>
      <w:ind w:left="1760"/>
    </w:pPr>
    <w:rPr>
      <w:rFonts w:ascii="Calibri" w:hAnsi="Calibri"/>
      <w:sz w:val="22"/>
      <w:szCs w:val="22"/>
    </w:rPr>
  </w:style>
  <w:style w:type="character" w:styleId="Textzstupnhosymbolu">
    <w:name w:val="Placeholder Text"/>
    <w:uiPriority w:val="99"/>
    <w:semiHidden/>
    <w:rsid w:val="00F12951"/>
    <w:rPr>
      <w:rFonts w:ascii="Times New Roman" w:hAnsi="Times New Roman" w:cs="Times New Roman"/>
      <w:color w:val="808080"/>
    </w:rPr>
  </w:style>
  <w:style w:type="character" w:styleId="Hypertextovprepojenie">
    <w:name w:val="Hyperlink"/>
    <w:uiPriority w:val="99"/>
    <w:rsid w:val="00F12951"/>
    <w:rPr>
      <w:rFonts w:cs="Times New Roman"/>
      <w:color w:val="0000FF"/>
      <w:u w:val="single"/>
    </w:rPr>
  </w:style>
  <w:style w:type="character" w:styleId="Intenzvnezvraznenie">
    <w:name w:val="Intense Emphasis"/>
    <w:uiPriority w:val="99"/>
    <w:qFormat/>
    <w:rsid w:val="00F12951"/>
    <w:rPr>
      <w:rFonts w:cs="Times New Roman"/>
      <w:b/>
      <w:bCs/>
      <w:i/>
      <w:iCs/>
      <w:color w:val="4F81BD"/>
    </w:rPr>
  </w:style>
  <w:style w:type="character" w:styleId="Jemnodkaz">
    <w:name w:val="Subtle Reference"/>
    <w:uiPriority w:val="99"/>
    <w:qFormat/>
    <w:rsid w:val="00F12951"/>
    <w:rPr>
      <w:rFonts w:cs="Times New Roman"/>
      <w:smallCaps/>
      <w:color w:val="C0504D"/>
      <w:u w:val="single"/>
    </w:rPr>
  </w:style>
  <w:style w:type="paragraph" w:customStyle="1" w:styleId="CM1">
    <w:name w:val="CM1"/>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Default">
    <w:name w:val="Default"/>
    <w:uiPriority w:val="99"/>
    <w:rsid w:val="00F12951"/>
    <w:pPr>
      <w:autoSpaceDE w:val="0"/>
      <w:autoSpaceDN w:val="0"/>
      <w:adjustRightInd w:val="0"/>
    </w:pPr>
    <w:rPr>
      <w:rFonts w:ascii="Times New Roman" w:hAnsi="Times New Roman"/>
      <w:color w:val="000000"/>
      <w:sz w:val="24"/>
      <w:szCs w:val="24"/>
      <w:lang w:eastAsia="en-US"/>
    </w:rPr>
  </w:style>
  <w:style w:type="paragraph" w:styleId="Obsah5">
    <w:name w:val="toc 5"/>
    <w:basedOn w:val="Normlny"/>
    <w:next w:val="Normlny"/>
    <w:autoRedefine/>
    <w:uiPriority w:val="39"/>
    <w:rsid w:val="009A663F"/>
    <w:pPr>
      <w:tabs>
        <w:tab w:val="right" w:leader="dot" w:pos="9825"/>
      </w:tabs>
      <w:spacing w:after="100" w:line="276" w:lineRule="auto"/>
      <w:ind w:left="2410" w:hanging="874"/>
    </w:pPr>
    <w:rPr>
      <w:noProof/>
      <w:sz w:val="20"/>
      <w:szCs w:val="22"/>
    </w:rPr>
  </w:style>
  <w:style w:type="paragraph" w:styleId="Bezriadkovania">
    <w:name w:val="No Spacing"/>
    <w:uiPriority w:val="99"/>
    <w:qFormat/>
    <w:rsid w:val="00F12951"/>
    <w:rPr>
      <w:rFonts w:ascii="Times New Roman" w:eastAsia="Times New Roman" w:hAnsi="Times New Roman"/>
      <w:sz w:val="24"/>
      <w:szCs w:val="24"/>
    </w:rPr>
  </w:style>
  <w:style w:type="paragraph" w:styleId="Hlavikaobsahu">
    <w:name w:val="TOC Heading"/>
    <w:basedOn w:val="Nadpis1"/>
    <w:next w:val="Normlny"/>
    <w:uiPriority w:val="99"/>
    <w:qFormat/>
    <w:rsid w:val="00F12951"/>
    <w:pPr>
      <w:pBdr>
        <w:bottom w:val="none" w:sz="0" w:space="0" w:color="auto"/>
      </w:pBdr>
      <w:spacing w:after="0" w:line="276" w:lineRule="auto"/>
      <w:contextualSpacing w:val="0"/>
      <w:outlineLvl w:val="9"/>
    </w:pPr>
    <w:rPr>
      <w:rFonts w:ascii="Cambria" w:hAnsi="Cambria"/>
      <w:b/>
      <w:spacing w:val="0"/>
      <w:kern w:val="0"/>
      <w:sz w:val="28"/>
      <w:szCs w:val="28"/>
    </w:rPr>
  </w:style>
  <w:style w:type="character" w:styleId="PouitHypertextovPrepojenie">
    <w:name w:val="FollowedHyperlink"/>
    <w:uiPriority w:val="99"/>
    <w:semiHidden/>
    <w:rsid w:val="00F12951"/>
    <w:rPr>
      <w:rFonts w:cs="Times New Roman"/>
      <w:color w:val="800080"/>
      <w:u w:val="single"/>
    </w:rPr>
  </w:style>
  <w:style w:type="table" w:styleId="Mriekatabuky">
    <w:name w:val="Table Grid"/>
    <w:basedOn w:val="Normlnatabuka"/>
    <w:uiPriority w:val="99"/>
    <w:rsid w:val="00F129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sid w:val="00F12951"/>
    <w:rPr>
      <w:rFonts w:ascii="EUAlbertina" w:hAnsi="EUAlbertina"/>
      <w:color w:val="auto"/>
    </w:rPr>
  </w:style>
  <w:style w:type="paragraph" w:styleId="Hlavika">
    <w:name w:val="header"/>
    <w:basedOn w:val="Normlny"/>
    <w:link w:val="HlavikaChar"/>
    <w:uiPriority w:val="99"/>
    <w:rsid w:val="00F12951"/>
    <w:pPr>
      <w:tabs>
        <w:tab w:val="center" w:pos="4536"/>
        <w:tab w:val="right" w:pos="9072"/>
      </w:tabs>
    </w:pPr>
  </w:style>
  <w:style w:type="character" w:customStyle="1" w:styleId="HlavikaChar">
    <w:name w:val="Hlavička Char"/>
    <w:link w:val="Hlavika"/>
    <w:uiPriority w:val="99"/>
    <w:locked/>
    <w:rsid w:val="00F12951"/>
    <w:rPr>
      <w:rFonts w:ascii="Times New Roman" w:hAnsi="Times New Roman" w:cs="Times New Roman"/>
      <w:sz w:val="24"/>
      <w:szCs w:val="24"/>
      <w:lang w:eastAsia="sk-SK"/>
    </w:rPr>
  </w:style>
  <w:style w:type="character" w:customStyle="1" w:styleId="A7">
    <w:name w:val="A7"/>
    <w:uiPriority w:val="99"/>
    <w:rsid w:val="00F12951"/>
    <w:rPr>
      <w:color w:val="000000"/>
      <w:sz w:val="22"/>
    </w:rPr>
  </w:style>
  <w:style w:type="paragraph" w:styleId="Zarkazkladnhotextu2">
    <w:name w:val="Body Text Indent 2"/>
    <w:basedOn w:val="Normlny"/>
    <w:link w:val="Zarkazkladnhotextu2Char"/>
    <w:uiPriority w:val="99"/>
    <w:semiHidden/>
    <w:rsid w:val="00600D13"/>
    <w:pPr>
      <w:spacing w:after="120" w:line="480" w:lineRule="auto"/>
      <w:ind w:left="283"/>
    </w:pPr>
  </w:style>
  <w:style w:type="character" w:customStyle="1" w:styleId="Zarkazkladnhotextu2Char">
    <w:name w:val="Zarážka základného textu 2 Char"/>
    <w:link w:val="Zarkazkladnhotextu2"/>
    <w:uiPriority w:val="99"/>
    <w:semiHidden/>
    <w:locked/>
    <w:rsid w:val="00600D13"/>
    <w:rPr>
      <w:rFonts w:ascii="Times New Roman" w:hAnsi="Times New Roman" w:cs="Times New Roman"/>
      <w:sz w:val="24"/>
      <w:szCs w:val="24"/>
      <w:lang w:eastAsia="sk-SK"/>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sk-SK" w:eastAsia="sk-SK"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nhideWhenUsed="0" w:qFormat="1"/>
    <w:lsdException w:name="heading 2" w:locked="1" w:semiHidden="0" w:unhideWhenUsed="0" w:qFormat="1"/>
    <w:lsdException w:name="heading 3" w:locked="1" w:semiHidden="0" w:unhideWhenUsed="0" w:qFormat="1"/>
    <w:lsdException w:name="heading 4" w:locked="1" w:semiHidden="0" w:unhideWhenUsed="0" w:qFormat="1"/>
    <w:lsdException w:name="heading 5" w:locked="1" w:semiHidden="0" w:unhideWhenUsed="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lsdException w:name="toc 2" w:locked="1" w:semiHidden="0" w:uiPriority="39"/>
    <w:lsdException w:name="toc 3" w:locked="1" w:semiHidden="0" w:uiPriority="39"/>
    <w:lsdException w:name="toc 4" w:locked="1" w:semiHidden="0" w:uiPriority="39"/>
    <w:lsdException w:name="toc 5" w:locked="1" w:semiHidden="0" w:uiPriority="39"/>
    <w:lsdException w:name="toc 6" w:locked="1" w:semiHidden="0" w:uiPriority="39"/>
    <w:lsdException w:name="toc 7" w:locked="1" w:semiHidden="0" w:uiPriority="39"/>
    <w:lsdException w:name="toc 8" w:locked="1" w:semiHidden="0" w:uiPriority="39"/>
    <w:lsdException w:name="toc 9" w:locked="1" w:semiHidden="0" w:uiPriority="39"/>
    <w:lsdException w:name="footnote text" w:locked="1" w:semiHidden="0"/>
    <w:lsdException w:name="caption" w:locked="1" w:semiHidden="0" w:qFormat="1"/>
    <w:lsdException w:name="footnote reference" w:locked="1" w:semiHidden="0"/>
    <w:lsdException w:name="List Bullet" w:locked="1" w:semiHidden="0"/>
    <w:lsdException w:name="Title" w:locked="1" w:semiHidden="0" w:uiPriority="0" w:unhideWhenUsed="0" w:qFormat="1"/>
    <w:lsdException w:name="Default Paragraph Font" w:locked="1" w:semiHidden="0"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qFormat="1"/>
  </w:latentStyles>
  <w:style w:type="paragraph" w:default="1" w:styleId="Normlny">
    <w:name w:val="Normal"/>
    <w:qFormat/>
    <w:rsid w:val="002B2727"/>
    <w:rPr>
      <w:rFonts w:ascii="Times New Roman" w:eastAsia="Times New Roman" w:hAnsi="Times New Roman"/>
      <w:sz w:val="24"/>
      <w:szCs w:val="24"/>
    </w:rPr>
  </w:style>
  <w:style w:type="paragraph" w:styleId="Nadpis1">
    <w:name w:val="heading 1"/>
    <w:basedOn w:val="Normlny"/>
    <w:next w:val="Normlny"/>
    <w:link w:val="Nadpis1Char"/>
    <w:autoRedefine/>
    <w:uiPriority w:val="99"/>
    <w:qFormat/>
    <w:rsid w:val="00F12951"/>
    <w:pPr>
      <w:keepNext/>
      <w:keepLines/>
      <w:pBdr>
        <w:bottom w:val="single" w:sz="8" w:space="4" w:color="4F81BD"/>
      </w:pBdr>
      <w:spacing w:before="480" w:after="300"/>
      <w:contextualSpacing/>
      <w:outlineLvl w:val="0"/>
    </w:pPr>
    <w:rPr>
      <w:bCs/>
      <w:color w:val="365F91"/>
      <w:spacing w:val="5"/>
      <w:kern w:val="28"/>
      <w:sz w:val="52"/>
      <w:szCs w:val="52"/>
    </w:rPr>
  </w:style>
  <w:style w:type="paragraph" w:styleId="Nadpis2">
    <w:name w:val="heading 2"/>
    <w:basedOn w:val="Normlny"/>
    <w:next w:val="Normlny"/>
    <w:link w:val="Nadpis2Char"/>
    <w:autoRedefine/>
    <w:uiPriority w:val="99"/>
    <w:qFormat/>
    <w:rsid w:val="00F12951"/>
    <w:pPr>
      <w:keepNext/>
      <w:keepLines/>
      <w:pBdr>
        <w:bottom w:val="single" w:sz="8" w:space="4" w:color="4F81BD"/>
      </w:pBdr>
      <w:spacing w:before="200" w:after="300"/>
      <w:contextualSpacing/>
      <w:outlineLvl w:val="1"/>
    </w:pPr>
    <w:rPr>
      <w:rFonts w:ascii="Cambria" w:hAnsi="Cambria"/>
      <w:b/>
      <w:bCs/>
      <w:color w:val="365F91"/>
      <w:spacing w:val="5"/>
      <w:kern w:val="28"/>
      <w:sz w:val="36"/>
      <w:szCs w:val="26"/>
    </w:rPr>
  </w:style>
  <w:style w:type="paragraph" w:styleId="Nadpis3">
    <w:name w:val="heading 3"/>
    <w:aliases w:val="Podúloha"/>
    <w:basedOn w:val="Normlny"/>
    <w:next w:val="Normlny"/>
    <w:link w:val="Nadpis3Char"/>
    <w:uiPriority w:val="99"/>
    <w:qFormat/>
    <w:rsid w:val="00F12951"/>
    <w:pPr>
      <w:keepNext/>
      <w:keepLines/>
      <w:spacing w:before="200" w:line="276" w:lineRule="auto"/>
      <w:jc w:val="both"/>
      <w:outlineLvl w:val="2"/>
    </w:pPr>
    <w:rPr>
      <w:rFonts w:ascii="Cambria" w:hAnsi="Cambria"/>
      <w:b/>
      <w:bCs/>
      <w:color w:val="4F81BD"/>
      <w:sz w:val="26"/>
      <w:szCs w:val="22"/>
      <w:lang w:eastAsia="en-US"/>
    </w:rPr>
  </w:style>
  <w:style w:type="paragraph" w:styleId="Nadpis4">
    <w:name w:val="heading 4"/>
    <w:basedOn w:val="Normlny"/>
    <w:next w:val="Normlny"/>
    <w:link w:val="Nadpis4Char"/>
    <w:uiPriority w:val="99"/>
    <w:qFormat/>
    <w:rsid w:val="00F12951"/>
    <w:pPr>
      <w:keepNext/>
      <w:keepLines/>
      <w:spacing w:before="200"/>
      <w:outlineLvl w:val="3"/>
    </w:pPr>
    <w:rPr>
      <w:rFonts w:ascii="Cambria" w:hAnsi="Cambria"/>
      <w:b/>
      <w:bCs/>
      <w:i/>
      <w:iCs/>
      <w:color w:val="4F81BD"/>
    </w:rPr>
  </w:style>
  <w:style w:type="paragraph" w:styleId="Nadpis5">
    <w:name w:val="heading 5"/>
    <w:basedOn w:val="Normlny"/>
    <w:next w:val="Normlny"/>
    <w:link w:val="Nadpis5Char"/>
    <w:uiPriority w:val="99"/>
    <w:qFormat/>
    <w:rsid w:val="00F12951"/>
    <w:pPr>
      <w:keepNext/>
      <w:keepLines/>
      <w:spacing w:before="200"/>
      <w:outlineLvl w:val="4"/>
    </w:pPr>
    <w:rPr>
      <w:rFonts w:ascii="Cambria" w:hAnsi="Cambria"/>
      <w:color w:val="243F6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9"/>
    <w:locked/>
    <w:rsid w:val="00F12951"/>
    <w:rPr>
      <w:rFonts w:ascii="Times New Roman" w:hAnsi="Times New Roman" w:cs="Times New Roman"/>
      <w:bCs/>
      <w:color w:val="365F91"/>
      <w:spacing w:val="5"/>
      <w:kern w:val="28"/>
      <w:sz w:val="52"/>
      <w:szCs w:val="52"/>
      <w:lang w:eastAsia="sk-SK"/>
    </w:rPr>
  </w:style>
  <w:style w:type="character" w:customStyle="1" w:styleId="Nadpis2Char">
    <w:name w:val="Nadpis 2 Char"/>
    <w:link w:val="Nadpis2"/>
    <w:uiPriority w:val="99"/>
    <w:locked/>
    <w:rsid w:val="00F12951"/>
    <w:rPr>
      <w:rFonts w:ascii="Cambria" w:hAnsi="Cambria" w:cs="Times New Roman"/>
      <w:b/>
      <w:bCs/>
      <w:color w:val="365F91"/>
      <w:spacing w:val="5"/>
      <w:kern w:val="28"/>
      <w:sz w:val="26"/>
      <w:szCs w:val="26"/>
      <w:lang w:eastAsia="sk-SK"/>
    </w:rPr>
  </w:style>
  <w:style w:type="character" w:customStyle="1" w:styleId="Nadpis3Char">
    <w:name w:val="Nadpis 3 Char"/>
    <w:aliases w:val="Podúloha Char"/>
    <w:link w:val="Nadpis3"/>
    <w:uiPriority w:val="99"/>
    <w:locked/>
    <w:rsid w:val="00F12951"/>
    <w:rPr>
      <w:rFonts w:ascii="Cambria" w:hAnsi="Cambria" w:cs="Times New Roman"/>
      <w:b/>
      <w:bCs/>
      <w:color w:val="4F81BD"/>
      <w:sz w:val="26"/>
    </w:rPr>
  </w:style>
  <w:style w:type="character" w:customStyle="1" w:styleId="Nadpis4Char">
    <w:name w:val="Nadpis 4 Char"/>
    <w:link w:val="Nadpis4"/>
    <w:uiPriority w:val="99"/>
    <w:locked/>
    <w:rsid w:val="00F12951"/>
    <w:rPr>
      <w:rFonts w:ascii="Cambria" w:hAnsi="Cambria" w:cs="Times New Roman"/>
      <w:b/>
      <w:bCs/>
      <w:i/>
      <w:iCs/>
      <w:color w:val="4F81BD"/>
      <w:sz w:val="24"/>
      <w:szCs w:val="24"/>
      <w:lang w:eastAsia="sk-SK"/>
    </w:rPr>
  </w:style>
  <w:style w:type="character" w:customStyle="1" w:styleId="Nadpis5Char">
    <w:name w:val="Nadpis 5 Char"/>
    <w:link w:val="Nadpis5"/>
    <w:uiPriority w:val="99"/>
    <w:semiHidden/>
    <w:locked/>
    <w:rsid w:val="00F12951"/>
    <w:rPr>
      <w:rFonts w:ascii="Cambria" w:hAnsi="Cambria" w:cs="Times New Roman"/>
      <w:color w:val="243F60"/>
      <w:sz w:val="24"/>
      <w:szCs w:val="24"/>
      <w:lang w:eastAsia="sk-SK"/>
    </w:rPr>
  </w:style>
  <w:style w:type="paragraph" w:styleId="Textbubliny">
    <w:name w:val="Balloon Text"/>
    <w:basedOn w:val="Normlny"/>
    <w:link w:val="TextbublinyChar"/>
    <w:uiPriority w:val="99"/>
    <w:semiHidden/>
    <w:rsid w:val="00F12951"/>
    <w:rPr>
      <w:rFonts w:ascii="Tahoma" w:hAnsi="Tahoma" w:cs="Tahoma"/>
      <w:sz w:val="16"/>
      <w:szCs w:val="16"/>
    </w:rPr>
  </w:style>
  <w:style w:type="character" w:customStyle="1" w:styleId="TextbublinyChar">
    <w:name w:val="Text bubliny Char"/>
    <w:link w:val="Textbubliny"/>
    <w:uiPriority w:val="99"/>
    <w:semiHidden/>
    <w:locked/>
    <w:rsid w:val="00F12951"/>
    <w:rPr>
      <w:rFonts w:ascii="Tahoma" w:hAnsi="Tahoma" w:cs="Tahoma"/>
      <w:sz w:val="16"/>
      <w:szCs w:val="16"/>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uiPriority w:val="99"/>
    <w:rsid w:val="00F12951"/>
    <w:rPr>
      <w:rFonts w:cs="Times New Roman"/>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Char4"/>
    <w:basedOn w:val="Normlny"/>
    <w:link w:val="TextpoznmkypodiarouChar"/>
    <w:uiPriority w:val="99"/>
    <w:rsid w:val="00F12951"/>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link w:val="Textpoznmkypodiarou"/>
    <w:uiPriority w:val="99"/>
    <w:locked/>
    <w:rsid w:val="00F12951"/>
    <w:rPr>
      <w:rFonts w:ascii="Times New Roman" w:hAnsi="Times New Roman" w:cs="Times New Roman"/>
      <w:sz w:val="20"/>
      <w:szCs w:val="20"/>
      <w:lang w:eastAsia="sk-SK"/>
    </w:rPr>
  </w:style>
  <w:style w:type="paragraph" w:customStyle="1" w:styleId="SRK1">
    <w:name w:val="SRK 1"/>
    <w:basedOn w:val="Nadpis1"/>
    <w:next w:val="Normlny"/>
    <w:autoRedefine/>
    <w:uiPriority w:val="99"/>
    <w:qFormat/>
    <w:rsid w:val="00227685"/>
    <w:pPr>
      <w:pBdr>
        <w:bottom w:val="single" w:sz="8" w:space="31" w:color="4F81BD"/>
      </w:pBdr>
      <w:contextualSpacing w:val="0"/>
    </w:pPr>
    <w:rPr>
      <w:color w:val="1E4E9D"/>
    </w:rPr>
  </w:style>
  <w:style w:type="paragraph" w:customStyle="1" w:styleId="SRK2">
    <w:name w:val="SRK 2"/>
    <w:basedOn w:val="Nadpis2"/>
    <w:next w:val="Normlny"/>
    <w:autoRedefine/>
    <w:uiPriority w:val="99"/>
    <w:qFormat/>
    <w:rsid w:val="00CB47F1"/>
    <w:pPr>
      <w:contextualSpacing w:val="0"/>
    </w:pPr>
    <w:rPr>
      <w:rFonts w:ascii="Times New Roman" w:hAnsi="Times New Roman"/>
      <w:b w:val="0"/>
      <w:color w:val="1E4E9D"/>
    </w:rPr>
  </w:style>
  <w:style w:type="paragraph" w:styleId="Pta">
    <w:name w:val="footer"/>
    <w:basedOn w:val="Normlny"/>
    <w:link w:val="PtaChar"/>
    <w:uiPriority w:val="99"/>
    <w:rsid w:val="00F12951"/>
    <w:pPr>
      <w:tabs>
        <w:tab w:val="center" w:pos="4536"/>
        <w:tab w:val="right" w:pos="9072"/>
      </w:tabs>
    </w:pPr>
  </w:style>
  <w:style w:type="character" w:customStyle="1" w:styleId="PtaChar">
    <w:name w:val="Päta Char"/>
    <w:link w:val="Pta"/>
    <w:uiPriority w:val="99"/>
    <w:locked/>
    <w:rsid w:val="00F12951"/>
    <w:rPr>
      <w:rFonts w:ascii="Times New Roman" w:hAnsi="Times New Roman" w:cs="Times New Roman"/>
      <w:sz w:val="24"/>
      <w:szCs w:val="24"/>
      <w:lang w:eastAsia="sk-SK"/>
    </w:rPr>
  </w:style>
  <w:style w:type="paragraph" w:customStyle="1" w:styleId="SRK3">
    <w:name w:val="SRK 3"/>
    <w:basedOn w:val="Nadpis3"/>
    <w:autoRedefine/>
    <w:uiPriority w:val="99"/>
    <w:qFormat/>
    <w:rsid w:val="00CB47F1"/>
    <w:pPr>
      <w:spacing w:line="240" w:lineRule="auto"/>
    </w:pPr>
    <w:rPr>
      <w:rFonts w:ascii="Times New Roman" w:hAnsi="Times New Roman"/>
      <w:b w:val="0"/>
      <w:color w:val="1E4E9D"/>
    </w:rPr>
  </w:style>
  <w:style w:type="paragraph" w:customStyle="1" w:styleId="SRK4">
    <w:name w:val="SRK 4"/>
    <w:basedOn w:val="Nadpis4"/>
    <w:next w:val="Normlny"/>
    <w:autoRedefine/>
    <w:uiPriority w:val="99"/>
    <w:qFormat/>
    <w:rsid w:val="00CB47F1"/>
    <w:pPr>
      <w:jc w:val="both"/>
    </w:pPr>
    <w:rPr>
      <w:rFonts w:ascii="Times New Roman" w:hAnsi="Times New Roman"/>
      <w:b w:val="0"/>
      <w:i w:val="0"/>
      <w:color w:val="1E4E9D"/>
    </w:rPr>
  </w:style>
  <w:style w:type="paragraph" w:styleId="Odsekzoznamu">
    <w:name w:val="List Paragraph"/>
    <w:aliases w:val="body,Odsek zoznamu2"/>
    <w:basedOn w:val="Normlny"/>
    <w:link w:val="OdsekzoznamuChar"/>
    <w:uiPriority w:val="34"/>
    <w:qFormat/>
    <w:rsid w:val="00F12951"/>
    <w:pPr>
      <w:ind w:left="720"/>
      <w:contextualSpacing/>
    </w:pPr>
  </w:style>
  <w:style w:type="character" w:customStyle="1" w:styleId="OdsekzoznamuChar">
    <w:name w:val="Odsek zoznamu Char"/>
    <w:aliases w:val="body Char,Odsek zoznamu2 Char"/>
    <w:link w:val="Odsekzoznamu"/>
    <w:uiPriority w:val="34"/>
    <w:locked/>
    <w:rsid w:val="00F12951"/>
    <w:rPr>
      <w:rFonts w:ascii="Times New Roman" w:hAnsi="Times New Roman" w:cs="Times New Roman"/>
      <w:sz w:val="24"/>
      <w:szCs w:val="24"/>
      <w:lang w:eastAsia="sk-SK"/>
    </w:rPr>
  </w:style>
  <w:style w:type="paragraph" w:styleId="Textkomentra">
    <w:name w:val="annotation text"/>
    <w:basedOn w:val="Normlny"/>
    <w:link w:val="TextkomentraChar"/>
    <w:uiPriority w:val="99"/>
    <w:rsid w:val="00F12951"/>
    <w:rPr>
      <w:sz w:val="20"/>
      <w:szCs w:val="20"/>
    </w:rPr>
  </w:style>
  <w:style w:type="character" w:customStyle="1" w:styleId="TextkomentraChar">
    <w:name w:val="Text komentára Char"/>
    <w:link w:val="Textkomentra"/>
    <w:uiPriority w:val="99"/>
    <w:locked/>
    <w:rsid w:val="00F12951"/>
    <w:rPr>
      <w:rFonts w:ascii="Times New Roman" w:hAnsi="Times New Roman" w:cs="Times New Roman"/>
      <w:sz w:val="20"/>
      <w:szCs w:val="20"/>
      <w:lang w:eastAsia="sk-SK"/>
    </w:rPr>
  </w:style>
  <w:style w:type="character" w:styleId="Odkaznakomentr">
    <w:name w:val="annotation reference"/>
    <w:uiPriority w:val="99"/>
    <w:semiHidden/>
    <w:rsid w:val="00F12951"/>
    <w:rPr>
      <w:rFonts w:cs="Times New Roman"/>
      <w:sz w:val="16"/>
      <w:szCs w:val="16"/>
    </w:rPr>
  </w:style>
  <w:style w:type="paragraph" w:styleId="Predmetkomentra">
    <w:name w:val="annotation subject"/>
    <w:basedOn w:val="Textkomentra"/>
    <w:next w:val="Textkomentra"/>
    <w:link w:val="PredmetkomentraChar"/>
    <w:uiPriority w:val="99"/>
    <w:semiHidden/>
    <w:rsid w:val="00F12951"/>
    <w:rPr>
      <w:b/>
      <w:bCs/>
    </w:rPr>
  </w:style>
  <w:style w:type="character" w:customStyle="1" w:styleId="PredmetkomentraChar">
    <w:name w:val="Predmet komentára Char"/>
    <w:link w:val="Predmetkomentra"/>
    <w:uiPriority w:val="99"/>
    <w:semiHidden/>
    <w:locked/>
    <w:rsid w:val="00F12951"/>
    <w:rPr>
      <w:rFonts w:ascii="Times New Roman" w:hAnsi="Times New Roman" w:cs="Times New Roman"/>
      <w:b/>
      <w:bCs/>
      <w:sz w:val="20"/>
      <w:szCs w:val="20"/>
      <w:lang w:eastAsia="sk-SK"/>
    </w:rPr>
  </w:style>
  <w:style w:type="paragraph" w:customStyle="1" w:styleId="SRK5">
    <w:name w:val="SRK 5"/>
    <w:basedOn w:val="Nadpis5"/>
    <w:next w:val="Normlny"/>
    <w:uiPriority w:val="99"/>
    <w:qFormat/>
    <w:rsid w:val="00CB47F1"/>
    <w:rPr>
      <w:rFonts w:ascii="Times New Roman" w:hAnsi="Times New Roman"/>
      <w:b/>
      <w:i/>
      <w:color w:val="1E4E9D"/>
    </w:rPr>
  </w:style>
  <w:style w:type="paragraph" w:styleId="Popis">
    <w:name w:val="caption"/>
    <w:basedOn w:val="Normlny"/>
    <w:next w:val="Normlny"/>
    <w:uiPriority w:val="99"/>
    <w:qFormat/>
    <w:rsid w:val="00F12951"/>
    <w:pPr>
      <w:spacing w:after="200"/>
    </w:pPr>
    <w:rPr>
      <w:b/>
      <w:bCs/>
      <w:color w:val="4F81BD"/>
      <w:sz w:val="18"/>
      <w:szCs w:val="18"/>
    </w:rPr>
  </w:style>
  <w:style w:type="paragraph" w:customStyle="1" w:styleId="SRKNorm">
    <w:name w:val="SRK Norm."/>
    <w:basedOn w:val="Normlny"/>
    <w:next w:val="Normlny"/>
    <w:uiPriority w:val="99"/>
    <w:rsid w:val="00F12951"/>
    <w:pPr>
      <w:spacing w:before="200" w:after="200"/>
      <w:jc w:val="both"/>
    </w:pPr>
  </w:style>
  <w:style w:type="paragraph" w:styleId="Revzia">
    <w:name w:val="Revision"/>
    <w:hidden/>
    <w:uiPriority w:val="99"/>
    <w:semiHidden/>
    <w:rsid w:val="00F12951"/>
    <w:rPr>
      <w:rFonts w:ascii="Times New Roman" w:eastAsia="Times New Roman" w:hAnsi="Times New Roman"/>
      <w:sz w:val="24"/>
      <w:szCs w:val="24"/>
    </w:rPr>
  </w:style>
  <w:style w:type="paragraph" w:styleId="Normlnywebov">
    <w:name w:val="Normal (Web)"/>
    <w:basedOn w:val="Normlny"/>
    <w:uiPriority w:val="99"/>
    <w:semiHidden/>
    <w:rsid w:val="00F12951"/>
    <w:pPr>
      <w:spacing w:before="100" w:beforeAutospacing="1" w:after="100" w:afterAutospacing="1"/>
    </w:pPr>
  </w:style>
  <w:style w:type="paragraph" w:styleId="Zvraznencitcia">
    <w:name w:val="Intense Quote"/>
    <w:basedOn w:val="Normlny"/>
    <w:next w:val="Normlny"/>
    <w:link w:val="ZvraznencitciaChar"/>
    <w:uiPriority w:val="99"/>
    <w:qFormat/>
    <w:rsid w:val="00F12951"/>
    <w:pPr>
      <w:pBdr>
        <w:bottom w:val="single" w:sz="4" w:space="4" w:color="4F81BD"/>
      </w:pBdr>
      <w:spacing w:before="200" w:after="280" w:line="276" w:lineRule="auto"/>
      <w:ind w:left="936" w:right="936"/>
      <w:jc w:val="both"/>
    </w:pPr>
    <w:rPr>
      <w:rFonts w:eastAsia="Calibri"/>
      <w:b/>
      <w:bCs/>
      <w:i/>
      <w:iCs/>
      <w:color w:val="4F81BD"/>
      <w:szCs w:val="22"/>
      <w:lang w:eastAsia="en-US"/>
    </w:rPr>
  </w:style>
  <w:style w:type="character" w:customStyle="1" w:styleId="ZvraznencitciaChar">
    <w:name w:val="Zvýraznená citácia Char"/>
    <w:link w:val="Zvraznencitcia"/>
    <w:uiPriority w:val="99"/>
    <w:locked/>
    <w:rsid w:val="00F12951"/>
    <w:rPr>
      <w:rFonts w:ascii="Times New Roman" w:hAnsi="Times New Roman" w:cs="Times New Roman"/>
      <w:b/>
      <w:bCs/>
      <w:i/>
      <w:iCs/>
      <w:color w:val="4F81BD"/>
      <w:sz w:val="24"/>
    </w:rPr>
  </w:style>
  <w:style w:type="paragraph" w:styleId="Obsah1">
    <w:name w:val="toc 1"/>
    <w:basedOn w:val="Normlny"/>
    <w:next w:val="Normlny"/>
    <w:autoRedefine/>
    <w:uiPriority w:val="39"/>
    <w:rsid w:val="00F12951"/>
    <w:pPr>
      <w:tabs>
        <w:tab w:val="right" w:leader="dot" w:pos="9825"/>
      </w:tabs>
      <w:spacing w:after="100"/>
      <w:ind w:left="-426"/>
    </w:pPr>
    <w:rPr>
      <w:b/>
      <w:noProof/>
      <w:sz w:val="28"/>
    </w:rPr>
  </w:style>
  <w:style w:type="paragraph" w:styleId="Obsah2">
    <w:name w:val="toc 2"/>
    <w:basedOn w:val="Normlny"/>
    <w:next w:val="Normlny"/>
    <w:autoRedefine/>
    <w:uiPriority w:val="39"/>
    <w:rsid w:val="00F12951"/>
    <w:pPr>
      <w:tabs>
        <w:tab w:val="right" w:leader="dot" w:pos="9841"/>
      </w:tabs>
      <w:spacing w:after="100"/>
    </w:pPr>
  </w:style>
  <w:style w:type="paragraph" w:styleId="Obsah3">
    <w:name w:val="toc 3"/>
    <w:basedOn w:val="Normlny"/>
    <w:next w:val="Normlny"/>
    <w:autoRedefine/>
    <w:uiPriority w:val="39"/>
    <w:rsid w:val="00F12951"/>
    <w:pPr>
      <w:tabs>
        <w:tab w:val="right" w:leader="dot" w:pos="9825"/>
      </w:tabs>
      <w:spacing w:after="100"/>
      <w:ind w:left="993" w:hanging="567"/>
    </w:pPr>
  </w:style>
  <w:style w:type="table" w:customStyle="1" w:styleId="Strednpodfarbenie1zvraznenie11">
    <w:name w:val="Stredné podfarbenie 1 – zvýraznenie 11"/>
    <w:uiPriority w:val="99"/>
    <w:rsid w:val="00F12951"/>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paragraph" w:styleId="Zkladntext">
    <w:name w:val="Body Text"/>
    <w:basedOn w:val="Normlny"/>
    <w:link w:val="ZkladntextChar"/>
    <w:uiPriority w:val="99"/>
    <w:rsid w:val="00F12951"/>
    <w:pPr>
      <w:spacing w:after="120" w:line="276" w:lineRule="auto"/>
      <w:jc w:val="both"/>
    </w:pPr>
    <w:rPr>
      <w:rFonts w:eastAsia="Calibri"/>
      <w:szCs w:val="22"/>
      <w:lang w:eastAsia="en-US"/>
    </w:rPr>
  </w:style>
  <w:style w:type="character" w:customStyle="1" w:styleId="ZkladntextChar">
    <w:name w:val="Základný text Char"/>
    <w:link w:val="Zkladntext"/>
    <w:uiPriority w:val="99"/>
    <w:locked/>
    <w:rsid w:val="00F12951"/>
    <w:rPr>
      <w:rFonts w:ascii="Times New Roman" w:hAnsi="Times New Roman" w:cs="Times New Roman"/>
      <w:sz w:val="24"/>
    </w:rPr>
  </w:style>
  <w:style w:type="paragraph" w:styleId="Zoznamsodrkami">
    <w:name w:val="List Bullet"/>
    <w:basedOn w:val="Zkladntext"/>
    <w:uiPriority w:val="99"/>
    <w:rsid w:val="00F12951"/>
    <w:pPr>
      <w:numPr>
        <w:numId w:val="15"/>
      </w:numPr>
      <w:spacing w:before="130" w:after="130" w:line="240" w:lineRule="auto"/>
    </w:pPr>
    <w:rPr>
      <w:rFonts w:eastAsia="Times New Roman"/>
      <w:sz w:val="22"/>
      <w:szCs w:val="20"/>
    </w:rPr>
  </w:style>
  <w:style w:type="paragraph" w:styleId="Obsah4">
    <w:name w:val="toc 4"/>
    <w:basedOn w:val="Normlny"/>
    <w:next w:val="Normlny"/>
    <w:autoRedefine/>
    <w:uiPriority w:val="39"/>
    <w:rsid w:val="009B0F7F"/>
    <w:pPr>
      <w:tabs>
        <w:tab w:val="right" w:leader="dot" w:pos="9825"/>
      </w:tabs>
      <w:spacing w:after="100" w:line="276" w:lineRule="auto"/>
      <w:ind w:left="1843" w:hanging="851"/>
    </w:pPr>
    <w:rPr>
      <w:noProof/>
      <w:sz w:val="22"/>
      <w:szCs w:val="22"/>
    </w:rPr>
  </w:style>
  <w:style w:type="paragraph" w:styleId="Obsah6">
    <w:name w:val="toc 6"/>
    <w:basedOn w:val="Normlny"/>
    <w:next w:val="Normlny"/>
    <w:autoRedefine/>
    <w:uiPriority w:val="39"/>
    <w:rsid w:val="00F12951"/>
    <w:pPr>
      <w:spacing w:after="100" w:line="276" w:lineRule="auto"/>
      <w:ind w:left="1100"/>
    </w:pPr>
    <w:rPr>
      <w:rFonts w:ascii="Calibri" w:hAnsi="Calibri"/>
      <w:sz w:val="22"/>
      <w:szCs w:val="22"/>
    </w:rPr>
  </w:style>
  <w:style w:type="paragraph" w:styleId="Obsah7">
    <w:name w:val="toc 7"/>
    <w:basedOn w:val="Normlny"/>
    <w:next w:val="Normlny"/>
    <w:autoRedefine/>
    <w:uiPriority w:val="39"/>
    <w:rsid w:val="00F12951"/>
    <w:pPr>
      <w:spacing w:after="100" w:line="276" w:lineRule="auto"/>
      <w:ind w:left="1320"/>
    </w:pPr>
    <w:rPr>
      <w:rFonts w:ascii="Calibri" w:hAnsi="Calibri"/>
      <w:sz w:val="22"/>
      <w:szCs w:val="22"/>
    </w:rPr>
  </w:style>
  <w:style w:type="paragraph" w:styleId="Obsah8">
    <w:name w:val="toc 8"/>
    <w:basedOn w:val="Normlny"/>
    <w:next w:val="Normlny"/>
    <w:autoRedefine/>
    <w:uiPriority w:val="39"/>
    <w:rsid w:val="00F12951"/>
    <w:pPr>
      <w:spacing w:after="100" w:line="276" w:lineRule="auto"/>
      <w:ind w:left="1540"/>
    </w:pPr>
    <w:rPr>
      <w:rFonts w:ascii="Calibri" w:hAnsi="Calibri"/>
      <w:sz w:val="22"/>
      <w:szCs w:val="22"/>
    </w:rPr>
  </w:style>
  <w:style w:type="paragraph" w:styleId="Obsah9">
    <w:name w:val="toc 9"/>
    <w:basedOn w:val="Normlny"/>
    <w:next w:val="Normlny"/>
    <w:autoRedefine/>
    <w:uiPriority w:val="39"/>
    <w:rsid w:val="00F12951"/>
    <w:pPr>
      <w:spacing w:after="100" w:line="276" w:lineRule="auto"/>
      <w:ind w:left="1760"/>
    </w:pPr>
    <w:rPr>
      <w:rFonts w:ascii="Calibri" w:hAnsi="Calibri"/>
      <w:sz w:val="22"/>
      <w:szCs w:val="22"/>
    </w:rPr>
  </w:style>
  <w:style w:type="character" w:styleId="Textzstupnhosymbolu">
    <w:name w:val="Placeholder Text"/>
    <w:uiPriority w:val="99"/>
    <w:semiHidden/>
    <w:rsid w:val="00F12951"/>
    <w:rPr>
      <w:rFonts w:ascii="Times New Roman" w:hAnsi="Times New Roman" w:cs="Times New Roman"/>
      <w:color w:val="808080"/>
    </w:rPr>
  </w:style>
  <w:style w:type="character" w:styleId="Hypertextovprepojenie">
    <w:name w:val="Hyperlink"/>
    <w:uiPriority w:val="99"/>
    <w:rsid w:val="00F12951"/>
    <w:rPr>
      <w:rFonts w:cs="Times New Roman"/>
      <w:color w:val="0000FF"/>
      <w:u w:val="single"/>
    </w:rPr>
  </w:style>
  <w:style w:type="character" w:styleId="Intenzvnezvraznenie">
    <w:name w:val="Intense Emphasis"/>
    <w:uiPriority w:val="99"/>
    <w:qFormat/>
    <w:rsid w:val="00F12951"/>
    <w:rPr>
      <w:rFonts w:cs="Times New Roman"/>
      <w:b/>
      <w:bCs/>
      <w:i/>
      <w:iCs/>
      <w:color w:val="4F81BD"/>
    </w:rPr>
  </w:style>
  <w:style w:type="character" w:styleId="Jemnodkaz">
    <w:name w:val="Subtle Reference"/>
    <w:uiPriority w:val="99"/>
    <w:qFormat/>
    <w:rsid w:val="00F12951"/>
    <w:rPr>
      <w:rFonts w:cs="Times New Roman"/>
      <w:smallCaps/>
      <w:color w:val="C0504D"/>
      <w:u w:val="single"/>
    </w:rPr>
  </w:style>
  <w:style w:type="paragraph" w:customStyle="1" w:styleId="CM1">
    <w:name w:val="CM1"/>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rsid w:val="00F12951"/>
    <w:pPr>
      <w:autoSpaceDE w:val="0"/>
      <w:autoSpaceDN w:val="0"/>
      <w:adjustRightInd w:val="0"/>
    </w:pPr>
    <w:rPr>
      <w:rFonts w:ascii="EUAlbertina" w:eastAsia="Calibri" w:hAnsi="EUAlbertina"/>
      <w:lang w:eastAsia="en-US"/>
    </w:rPr>
  </w:style>
  <w:style w:type="paragraph" w:customStyle="1" w:styleId="Default">
    <w:name w:val="Default"/>
    <w:uiPriority w:val="99"/>
    <w:rsid w:val="00F12951"/>
    <w:pPr>
      <w:autoSpaceDE w:val="0"/>
      <w:autoSpaceDN w:val="0"/>
      <w:adjustRightInd w:val="0"/>
    </w:pPr>
    <w:rPr>
      <w:rFonts w:ascii="Times New Roman" w:hAnsi="Times New Roman"/>
      <w:color w:val="000000"/>
      <w:sz w:val="24"/>
      <w:szCs w:val="24"/>
      <w:lang w:eastAsia="en-US"/>
    </w:rPr>
  </w:style>
  <w:style w:type="paragraph" w:styleId="Obsah5">
    <w:name w:val="toc 5"/>
    <w:basedOn w:val="Normlny"/>
    <w:next w:val="Normlny"/>
    <w:autoRedefine/>
    <w:uiPriority w:val="39"/>
    <w:rsid w:val="009A663F"/>
    <w:pPr>
      <w:tabs>
        <w:tab w:val="right" w:leader="dot" w:pos="9825"/>
      </w:tabs>
      <w:spacing w:after="100" w:line="276" w:lineRule="auto"/>
      <w:ind w:left="2410" w:hanging="874"/>
    </w:pPr>
    <w:rPr>
      <w:noProof/>
      <w:sz w:val="20"/>
      <w:szCs w:val="22"/>
    </w:rPr>
  </w:style>
  <w:style w:type="paragraph" w:styleId="Bezriadkovania">
    <w:name w:val="No Spacing"/>
    <w:uiPriority w:val="99"/>
    <w:qFormat/>
    <w:rsid w:val="00F12951"/>
    <w:rPr>
      <w:rFonts w:ascii="Times New Roman" w:eastAsia="Times New Roman" w:hAnsi="Times New Roman"/>
      <w:sz w:val="24"/>
      <w:szCs w:val="24"/>
    </w:rPr>
  </w:style>
  <w:style w:type="paragraph" w:styleId="Hlavikaobsahu">
    <w:name w:val="TOC Heading"/>
    <w:basedOn w:val="Nadpis1"/>
    <w:next w:val="Normlny"/>
    <w:uiPriority w:val="99"/>
    <w:qFormat/>
    <w:rsid w:val="00F12951"/>
    <w:pPr>
      <w:pBdr>
        <w:bottom w:val="none" w:sz="0" w:space="0" w:color="auto"/>
      </w:pBdr>
      <w:spacing w:after="0" w:line="276" w:lineRule="auto"/>
      <w:contextualSpacing w:val="0"/>
      <w:outlineLvl w:val="9"/>
    </w:pPr>
    <w:rPr>
      <w:rFonts w:ascii="Cambria" w:hAnsi="Cambria"/>
      <w:b/>
      <w:spacing w:val="0"/>
      <w:kern w:val="0"/>
      <w:sz w:val="28"/>
      <w:szCs w:val="28"/>
    </w:rPr>
  </w:style>
  <w:style w:type="character" w:styleId="PouitHypertextovPrepojenie">
    <w:name w:val="FollowedHyperlink"/>
    <w:uiPriority w:val="99"/>
    <w:semiHidden/>
    <w:rsid w:val="00F12951"/>
    <w:rPr>
      <w:rFonts w:cs="Times New Roman"/>
      <w:color w:val="800080"/>
      <w:u w:val="single"/>
    </w:rPr>
  </w:style>
  <w:style w:type="table" w:styleId="Mriekatabuky">
    <w:name w:val="Table Grid"/>
    <w:basedOn w:val="Normlnatabuka"/>
    <w:uiPriority w:val="99"/>
    <w:rsid w:val="00F129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sid w:val="00F12951"/>
    <w:rPr>
      <w:rFonts w:ascii="EUAlbertina" w:hAnsi="EUAlbertina"/>
      <w:color w:val="auto"/>
    </w:rPr>
  </w:style>
  <w:style w:type="paragraph" w:styleId="Hlavika">
    <w:name w:val="header"/>
    <w:basedOn w:val="Normlny"/>
    <w:link w:val="HlavikaChar"/>
    <w:uiPriority w:val="99"/>
    <w:rsid w:val="00F12951"/>
    <w:pPr>
      <w:tabs>
        <w:tab w:val="center" w:pos="4536"/>
        <w:tab w:val="right" w:pos="9072"/>
      </w:tabs>
    </w:pPr>
  </w:style>
  <w:style w:type="character" w:customStyle="1" w:styleId="HlavikaChar">
    <w:name w:val="Hlavička Char"/>
    <w:link w:val="Hlavika"/>
    <w:uiPriority w:val="99"/>
    <w:locked/>
    <w:rsid w:val="00F12951"/>
    <w:rPr>
      <w:rFonts w:ascii="Times New Roman" w:hAnsi="Times New Roman" w:cs="Times New Roman"/>
      <w:sz w:val="24"/>
      <w:szCs w:val="24"/>
      <w:lang w:eastAsia="sk-SK"/>
    </w:rPr>
  </w:style>
  <w:style w:type="character" w:customStyle="1" w:styleId="A7">
    <w:name w:val="A7"/>
    <w:uiPriority w:val="99"/>
    <w:rsid w:val="00F12951"/>
    <w:rPr>
      <w:color w:val="000000"/>
      <w:sz w:val="22"/>
    </w:rPr>
  </w:style>
  <w:style w:type="paragraph" w:styleId="Zarkazkladnhotextu2">
    <w:name w:val="Body Text Indent 2"/>
    <w:basedOn w:val="Normlny"/>
    <w:link w:val="Zarkazkladnhotextu2Char"/>
    <w:uiPriority w:val="99"/>
    <w:semiHidden/>
    <w:rsid w:val="00600D13"/>
    <w:pPr>
      <w:spacing w:after="120" w:line="480" w:lineRule="auto"/>
      <w:ind w:left="283"/>
    </w:pPr>
  </w:style>
  <w:style w:type="character" w:customStyle="1" w:styleId="Zarkazkladnhotextu2Char">
    <w:name w:val="Zarážka základného textu 2 Char"/>
    <w:link w:val="Zarkazkladnhotextu2"/>
    <w:uiPriority w:val="99"/>
    <w:semiHidden/>
    <w:locked/>
    <w:rsid w:val="00600D13"/>
    <w:rPr>
      <w:rFonts w:ascii="Times New Roman" w:hAnsi="Times New Roman" w:cs="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0419225">
      <w:bodyDiv w:val="1"/>
      <w:marLeft w:val="0"/>
      <w:marRight w:val="0"/>
      <w:marTop w:val="0"/>
      <w:marBottom w:val="0"/>
      <w:divBdr>
        <w:top w:val="none" w:sz="0" w:space="0" w:color="auto"/>
        <w:left w:val="none" w:sz="0" w:space="0" w:color="auto"/>
        <w:bottom w:val="none" w:sz="0" w:space="0" w:color="auto"/>
        <w:right w:val="none" w:sz="0" w:space="0" w:color="auto"/>
      </w:divBdr>
    </w:div>
    <w:div w:id="380329876">
      <w:marLeft w:val="0"/>
      <w:marRight w:val="0"/>
      <w:marTop w:val="0"/>
      <w:marBottom w:val="0"/>
      <w:divBdr>
        <w:top w:val="none" w:sz="0" w:space="0" w:color="auto"/>
        <w:left w:val="none" w:sz="0" w:space="0" w:color="auto"/>
        <w:bottom w:val="none" w:sz="0" w:space="0" w:color="auto"/>
        <w:right w:val="none" w:sz="0" w:space="0" w:color="auto"/>
      </w:divBdr>
    </w:div>
    <w:div w:id="380329877">
      <w:marLeft w:val="0"/>
      <w:marRight w:val="0"/>
      <w:marTop w:val="0"/>
      <w:marBottom w:val="0"/>
      <w:divBdr>
        <w:top w:val="none" w:sz="0" w:space="0" w:color="auto"/>
        <w:left w:val="none" w:sz="0" w:space="0" w:color="auto"/>
        <w:bottom w:val="none" w:sz="0" w:space="0" w:color="auto"/>
        <w:right w:val="none" w:sz="0" w:space="0" w:color="auto"/>
      </w:divBdr>
    </w:div>
    <w:div w:id="380329879">
      <w:marLeft w:val="0"/>
      <w:marRight w:val="0"/>
      <w:marTop w:val="0"/>
      <w:marBottom w:val="0"/>
      <w:divBdr>
        <w:top w:val="none" w:sz="0" w:space="0" w:color="auto"/>
        <w:left w:val="none" w:sz="0" w:space="0" w:color="auto"/>
        <w:bottom w:val="none" w:sz="0" w:space="0" w:color="auto"/>
        <w:right w:val="none" w:sz="0" w:space="0" w:color="auto"/>
      </w:divBdr>
    </w:div>
    <w:div w:id="380329880">
      <w:marLeft w:val="0"/>
      <w:marRight w:val="0"/>
      <w:marTop w:val="0"/>
      <w:marBottom w:val="0"/>
      <w:divBdr>
        <w:top w:val="none" w:sz="0" w:space="0" w:color="auto"/>
        <w:left w:val="none" w:sz="0" w:space="0" w:color="auto"/>
        <w:bottom w:val="none" w:sz="0" w:space="0" w:color="auto"/>
        <w:right w:val="none" w:sz="0" w:space="0" w:color="auto"/>
      </w:divBdr>
    </w:div>
    <w:div w:id="380329881">
      <w:marLeft w:val="0"/>
      <w:marRight w:val="0"/>
      <w:marTop w:val="0"/>
      <w:marBottom w:val="0"/>
      <w:divBdr>
        <w:top w:val="none" w:sz="0" w:space="0" w:color="auto"/>
        <w:left w:val="none" w:sz="0" w:space="0" w:color="auto"/>
        <w:bottom w:val="none" w:sz="0" w:space="0" w:color="auto"/>
        <w:right w:val="none" w:sz="0" w:space="0" w:color="auto"/>
      </w:divBdr>
    </w:div>
    <w:div w:id="380329882">
      <w:marLeft w:val="0"/>
      <w:marRight w:val="0"/>
      <w:marTop w:val="0"/>
      <w:marBottom w:val="0"/>
      <w:divBdr>
        <w:top w:val="none" w:sz="0" w:space="0" w:color="auto"/>
        <w:left w:val="none" w:sz="0" w:space="0" w:color="auto"/>
        <w:bottom w:val="none" w:sz="0" w:space="0" w:color="auto"/>
        <w:right w:val="none" w:sz="0" w:space="0" w:color="auto"/>
      </w:divBdr>
      <w:divsChild>
        <w:div w:id="380329890">
          <w:marLeft w:val="547"/>
          <w:marRight w:val="0"/>
          <w:marTop w:val="0"/>
          <w:marBottom w:val="0"/>
          <w:divBdr>
            <w:top w:val="none" w:sz="0" w:space="0" w:color="auto"/>
            <w:left w:val="none" w:sz="0" w:space="0" w:color="auto"/>
            <w:bottom w:val="none" w:sz="0" w:space="0" w:color="auto"/>
            <w:right w:val="none" w:sz="0" w:space="0" w:color="auto"/>
          </w:divBdr>
        </w:div>
      </w:divsChild>
    </w:div>
    <w:div w:id="380329883">
      <w:marLeft w:val="0"/>
      <w:marRight w:val="0"/>
      <w:marTop w:val="0"/>
      <w:marBottom w:val="0"/>
      <w:divBdr>
        <w:top w:val="none" w:sz="0" w:space="0" w:color="auto"/>
        <w:left w:val="none" w:sz="0" w:space="0" w:color="auto"/>
        <w:bottom w:val="none" w:sz="0" w:space="0" w:color="auto"/>
        <w:right w:val="none" w:sz="0" w:space="0" w:color="auto"/>
      </w:divBdr>
    </w:div>
    <w:div w:id="380329884">
      <w:marLeft w:val="0"/>
      <w:marRight w:val="0"/>
      <w:marTop w:val="0"/>
      <w:marBottom w:val="0"/>
      <w:divBdr>
        <w:top w:val="none" w:sz="0" w:space="0" w:color="auto"/>
        <w:left w:val="none" w:sz="0" w:space="0" w:color="auto"/>
        <w:bottom w:val="none" w:sz="0" w:space="0" w:color="auto"/>
        <w:right w:val="none" w:sz="0" w:space="0" w:color="auto"/>
      </w:divBdr>
    </w:div>
    <w:div w:id="380329885">
      <w:marLeft w:val="0"/>
      <w:marRight w:val="0"/>
      <w:marTop w:val="0"/>
      <w:marBottom w:val="0"/>
      <w:divBdr>
        <w:top w:val="none" w:sz="0" w:space="0" w:color="auto"/>
        <w:left w:val="none" w:sz="0" w:space="0" w:color="auto"/>
        <w:bottom w:val="none" w:sz="0" w:space="0" w:color="auto"/>
        <w:right w:val="none" w:sz="0" w:space="0" w:color="auto"/>
      </w:divBdr>
    </w:div>
    <w:div w:id="380329886">
      <w:marLeft w:val="0"/>
      <w:marRight w:val="0"/>
      <w:marTop w:val="0"/>
      <w:marBottom w:val="0"/>
      <w:divBdr>
        <w:top w:val="none" w:sz="0" w:space="0" w:color="auto"/>
        <w:left w:val="none" w:sz="0" w:space="0" w:color="auto"/>
        <w:bottom w:val="none" w:sz="0" w:space="0" w:color="auto"/>
        <w:right w:val="none" w:sz="0" w:space="0" w:color="auto"/>
      </w:divBdr>
    </w:div>
    <w:div w:id="380329887">
      <w:marLeft w:val="0"/>
      <w:marRight w:val="0"/>
      <w:marTop w:val="0"/>
      <w:marBottom w:val="0"/>
      <w:divBdr>
        <w:top w:val="none" w:sz="0" w:space="0" w:color="auto"/>
        <w:left w:val="none" w:sz="0" w:space="0" w:color="auto"/>
        <w:bottom w:val="none" w:sz="0" w:space="0" w:color="auto"/>
        <w:right w:val="none" w:sz="0" w:space="0" w:color="auto"/>
      </w:divBdr>
    </w:div>
    <w:div w:id="380329888">
      <w:marLeft w:val="0"/>
      <w:marRight w:val="0"/>
      <w:marTop w:val="0"/>
      <w:marBottom w:val="0"/>
      <w:divBdr>
        <w:top w:val="none" w:sz="0" w:space="0" w:color="auto"/>
        <w:left w:val="none" w:sz="0" w:space="0" w:color="auto"/>
        <w:bottom w:val="none" w:sz="0" w:space="0" w:color="auto"/>
        <w:right w:val="none" w:sz="0" w:space="0" w:color="auto"/>
      </w:divBdr>
      <w:divsChild>
        <w:div w:id="380329915">
          <w:marLeft w:val="547"/>
          <w:marRight w:val="0"/>
          <w:marTop w:val="0"/>
          <w:marBottom w:val="0"/>
          <w:divBdr>
            <w:top w:val="none" w:sz="0" w:space="0" w:color="auto"/>
            <w:left w:val="none" w:sz="0" w:space="0" w:color="auto"/>
            <w:bottom w:val="none" w:sz="0" w:space="0" w:color="auto"/>
            <w:right w:val="none" w:sz="0" w:space="0" w:color="auto"/>
          </w:divBdr>
        </w:div>
      </w:divsChild>
    </w:div>
    <w:div w:id="380329889">
      <w:marLeft w:val="0"/>
      <w:marRight w:val="0"/>
      <w:marTop w:val="0"/>
      <w:marBottom w:val="0"/>
      <w:divBdr>
        <w:top w:val="none" w:sz="0" w:space="0" w:color="auto"/>
        <w:left w:val="none" w:sz="0" w:space="0" w:color="auto"/>
        <w:bottom w:val="none" w:sz="0" w:space="0" w:color="auto"/>
        <w:right w:val="none" w:sz="0" w:space="0" w:color="auto"/>
      </w:divBdr>
    </w:div>
    <w:div w:id="380329891">
      <w:marLeft w:val="0"/>
      <w:marRight w:val="0"/>
      <w:marTop w:val="0"/>
      <w:marBottom w:val="0"/>
      <w:divBdr>
        <w:top w:val="none" w:sz="0" w:space="0" w:color="auto"/>
        <w:left w:val="none" w:sz="0" w:space="0" w:color="auto"/>
        <w:bottom w:val="none" w:sz="0" w:space="0" w:color="auto"/>
        <w:right w:val="none" w:sz="0" w:space="0" w:color="auto"/>
      </w:divBdr>
    </w:div>
    <w:div w:id="380329892">
      <w:marLeft w:val="0"/>
      <w:marRight w:val="0"/>
      <w:marTop w:val="0"/>
      <w:marBottom w:val="0"/>
      <w:divBdr>
        <w:top w:val="none" w:sz="0" w:space="0" w:color="auto"/>
        <w:left w:val="none" w:sz="0" w:space="0" w:color="auto"/>
        <w:bottom w:val="none" w:sz="0" w:space="0" w:color="auto"/>
        <w:right w:val="none" w:sz="0" w:space="0" w:color="auto"/>
      </w:divBdr>
    </w:div>
    <w:div w:id="380329893">
      <w:marLeft w:val="0"/>
      <w:marRight w:val="0"/>
      <w:marTop w:val="0"/>
      <w:marBottom w:val="0"/>
      <w:divBdr>
        <w:top w:val="none" w:sz="0" w:space="0" w:color="auto"/>
        <w:left w:val="none" w:sz="0" w:space="0" w:color="auto"/>
        <w:bottom w:val="none" w:sz="0" w:space="0" w:color="auto"/>
        <w:right w:val="none" w:sz="0" w:space="0" w:color="auto"/>
      </w:divBdr>
    </w:div>
    <w:div w:id="380329894">
      <w:marLeft w:val="0"/>
      <w:marRight w:val="0"/>
      <w:marTop w:val="0"/>
      <w:marBottom w:val="0"/>
      <w:divBdr>
        <w:top w:val="none" w:sz="0" w:space="0" w:color="auto"/>
        <w:left w:val="none" w:sz="0" w:space="0" w:color="auto"/>
        <w:bottom w:val="none" w:sz="0" w:space="0" w:color="auto"/>
        <w:right w:val="none" w:sz="0" w:space="0" w:color="auto"/>
      </w:divBdr>
    </w:div>
    <w:div w:id="380329895">
      <w:marLeft w:val="0"/>
      <w:marRight w:val="0"/>
      <w:marTop w:val="0"/>
      <w:marBottom w:val="0"/>
      <w:divBdr>
        <w:top w:val="none" w:sz="0" w:space="0" w:color="auto"/>
        <w:left w:val="none" w:sz="0" w:space="0" w:color="auto"/>
        <w:bottom w:val="none" w:sz="0" w:space="0" w:color="auto"/>
        <w:right w:val="none" w:sz="0" w:space="0" w:color="auto"/>
      </w:divBdr>
    </w:div>
    <w:div w:id="380329896">
      <w:marLeft w:val="0"/>
      <w:marRight w:val="0"/>
      <w:marTop w:val="0"/>
      <w:marBottom w:val="0"/>
      <w:divBdr>
        <w:top w:val="none" w:sz="0" w:space="0" w:color="auto"/>
        <w:left w:val="none" w:sz="0" w:space="0" w:color="auto"/>
        <w:bottom w:val="none" w:sz="0" w:space="0" w:color="auto"/>
        <w:right w:val="none" w:sz="0" w:space="0" w:color="auto"/>
      </w:divBdr>
    </w:div>
    <w:div w:id="380329897">
      <w:marLeft w:val="0"/>
      <w:marRight w:val="0"/>
      <w:marTop w:val="0"/>
      <w:marBottom w:val="0"/>
      <w:divBdr>
        <w:top w:val="none" w:sz="0" w:space="0" w:color="auto"/>
        <w:left w:val="none" w:sz="0" w:space="0" w:color="auto"/>
        <w:bottom w:val="none" w:sz="0" w:space="0" w:color="auto"/>
        <w:right w:val="none" w:sz="0" w:space="0" w:color="auto"/>
      </w:divBdr>
    </w:div>
    <w:div w:id="380329899">
      <w:marLeft w:val="0"/>
      <w:marRight w:val="0"/>
      <w:marTop w:val="0"/>
      <w:marBottom w:val="0"/>
      <w:divBdr>
        <w:top w:val="none" w:sz="0" w:space="0" w:color="auto"/>
        <w:left w:val="none" w:sz="0" w:space="0" w:color="auto"/>
        <w:bottom w:val="none" w:sz="0" w:space="0" w:color="auto"/>
        <w:right w:val="none" w:sz="0" w:space="0" w:color="auto"/>
      </w:divBdr>
    </w:div>
    <w:div w:id="380329900">
      <w:marLeft w:val="0"/>
      <w:marRight w:val="0"/>
      <w:marTop w:val="0"/>
      <w:marBottom w:val="0"/>
      <w:divBdr>
        <w:top w:val="none" w:sz="0" w:space="0" w:color="auto"/>
        <w:left w:val="none" w:sz="0" w:space="0" w:color="auto"/>
        <w:bottom w:val="none" w:sz="0" w:space="0" w:color="auto"/>
        <w:right w:val="none" w:sz="0" w:space="0" w:color="auto"/>
      </w:divBdr>
    </w:div>
    <w:div w:id="380329901">
      <w:marLeft w:val="0"/>
      <w:marRight w:val="0"/>
      <w:marTop w:val="0"/>
      <w:marBottom w:val="0"/>
      <w:divBdr>
        <w:top w:val="none" w:sz="0" w:space="0" w:color="auto"/>
        <w:left w:val="none" w:sz="0" w:space="0" w:color="auto"/>
        <w:bottom w:val="none" w:sz="0" w:space="0" w:color="auto"/>
        <w:right w:val="none" w:sz="0" w:space="0" w:color="auto"/>
      </w:divBdr>
    </w:div>
    <w:div w:id="380329902">
      <w:marLeft w:val="0"/>
      <w:marRight w:val="0"/>
      <w:marTop w:val="0"/>
      <w:marBottom w:val="0"/>
      <w:divBdr>
        <w:top w:val="none" w:sz="0" w:space="0" w:color="auto"/>
        <w:left w:val="none" w:sz="0" w:space="0" w:color="auto"/>
        <w:bottom w:val="none" w:sz="0" w:space="0" w:color="auto"/>
        <w:right w:val="none" w:sz="0" w:space="0" w:color="auto"/>
      </w:divBdr>
    </w:div>
    <w:div w:id="380329903">
      <w:marLeft w:val="0"/>
      <w:marRight w:val="0"/>
      <w:marTop w:val="0"/>
      <w:marBottom w:val="0"/>
      <w:divBdr>
        <w:top w:val="none" w:sz="0" w:space="0" w:color="auto"/>
        <w:left w:val="none" w:sz="0" w:space="0" w:color="auto"/>
        <w:bottom w:val="none" w:sz="0" w:space="0" w:color="auto"/>
        <w:right w:val="none" w:sz="0" w:space="0" w:color="auto"/>
      </w:divBdr>
    </w:div>
    <w:div w:id="380329904">
      <w:marLeft w:val="0"/>
      <w:marRight w:val="0"/>
      <w:marTop w:val="0"/>
      <w:marBottom w:val="0"/>
      <w:divBdr>
        <w:top w:val="none" w:sz="0" w:space="0" w:color="auto"/>
        <w:left w:val="none" w:sz="0" w:space="0" w:color="auto"/>
        <w:bottom w:val="none" w:sz="0" w:space="0" w:color="auto"/>
        <w:right w:val="none" w:sz="0" w:space="0" w:color="auto"/>
      </w:divBdr>
    </w:div>
    <w:div w:id="380329905">
      <w:marLeft w:val="0"/>
      <w:marRight w:val="0"/>
      <w:marTop w:val="0"/>
      <w:marBottom w:val="0"/>
      <w:divBdr>
        <w:top w:val="none" w:sz="0" w:space="0" w:color="auto"/>
        <w:left w:val="none" w:sz="0" w:space="0" w:color="auto"/>
        <w:bottom w:val="none" w:sz="0" w:space="0" w:color="auto"/>
        <w:right w:val="none" w:sz="0" w:space="0" w:color="auto"/>
      </w:divBdr>
    </w:div>
    <w:div w:id="380329907">
      <w:marLeft w:val="0"/>
      <w:marRight w:val="0"/>
      <w:marTop w:val="0"/>
      <w:marBottom w:val="0"/>
      <w:divBdr>
        <w:top w:val="none" w:sz="0" w:space="0" w:color="auto"/>
        <w:left w:val="none" w:sz="0" w:space="0" w:color="auto"/>
        <w:bottom w:val="none" w:sz="0" w:space="0" w:color="auto"/>
        <w:right w:val="none" w:sz="0" w:space="0" w:color="auto"/>
      </w:divBdr>
    </w:div>
    <w:div w:id="380329908">
      <w:marLeft w:val="0"/>
      <w:marRight w:val="0"/>
      <w:marTop w:val="0"/>
      <w:marBottom w:val="0"/>
      <w:divBdr>
        <w:top w:val="none" w:sz="0" w:space="0" w:color="auto"/>
        <w:left w:val="none" w:sz="0" w:space="0" w:color="auto"/>
        <w:bottom w:val="none" w:sz="0" w:space="0" w:color="auto"/>
        <w:right w:val="none" w:sz="0" w:space="0" w:color="auto"/>
      </w:divBdr>
    </w:div>
    <w:div w:id="380329909">
      <w:marLeft w:val="0"/>
      <w:marRight w:val="0"/>
      <w:marTop w:val="0"/>
      <w:marBottom w:val="0"/>
      <w:divBdr>
        <w:top w:val="none" w:sz="0" w:space="0" w:color="auto"/>
        <w:left w:val="none" w:sz="0" w:space="0" w:color="auto"/>
        <w:bottom w:val="none" w:sz="0" w:space="0" w:color="auto"/>
        <w:right w:val="none" w:sz="0" w:space="0" w:color="auto"/>
      </w:divBdr>
    </w:div>
    <w:div w:id="380329910">
      <w:marLeft w:val="0"/>
      <w:marRight w:val="0"/>
      <w:marTop w:val="0"/>
      <w:marBottom w:val="0"/>
      <w:divBdr>
        <w:top w:val="none" w:sz="0" w:space="0" w:color="auto"/>
        <w:left w:val="none" w:sz="0" w:space="0" w:color="auto"/>
        <w:bottom w:val="none" w:sz="0" w:space="0" w:color="auto"/>
        <w:right w:val="none" w:sz="0" w:space="0" w:color="auto"/>
      </w:divBdr>
    </w:div>
    <w:div w:id="380329911">
      <w:marLeft w:val="0"/>
      <w:marRight w:val="0"/>
      <w:marTop w:val="0"/>
      <w:marBottom w:val="0"/>
      <w:divBdr>
        <w:top w:val="none" w:sz="0" w:space="0" w:color="auto"/>
        <w:left w:val="none" w:sz="0" w:space="0" w:color="auto"/>
        <w:bottom w:val="none" w:sz="0" w:space="0" w:color="auto"/>
        <w:right w:val="none" w:sz="0" w:space="0" w:color="auto"/>
      </w:divBdr>
    </w:div>
    <w:div w:id="380329912">
      <w:marLeft w:val="0"/>
      <w:marRight w:val="0"/>
      <w:marTop w:val="0"/>
      <w:marBottom w:val="0"/>
      <w:divBdr>
        <w:top w:val="none" w:sz="0" w:space="0" w:color="auto"/>
        <w:left w:val="none" w:sz="0" w:space="0" w:color="auto"/>
        <w:bottom w:val="none" w:sz="0" w:space="0" w:color="auto"/>
        <w:right w:val="none" w:sz="0" w:space="0" w:color="auto"/>
      </w:divBdr>
    </w:div>
    <w:div w:id="380329913">
      <w:marLeft w:val="0"/>
      <w:marRight w:val="0"/>
      <w:marTop w:val="0"/>
      <w:marBottom w:val="0"/>
      <w:divBdr>
        <w:top w:val="none" w:sz="0" w:space="0" w:color="auto"/>
        <w:left w:val="none" w:sz="0" w:space="0" w:color="auto"/>
        <w:bottom w:val="none" w:sz="0" w:space="0" w:color="auto"/>
        <w:right w:val="none" w:sz="0" w:space="0" w:color="auto"/>
      </w:divBdr>
    </w:div>
    <w:div w:id="380329914">
      <w:marLeft w:val="0"/>
      <w:marRight w:val="0"/>
      <w:marTop w:val="0"/>
      <w:marBottom w:val="0"/>
      <w:divBdr>
        <w:top w:val="none" w:sz="0" w:space="0" w:color="auto"/>
        <w:left w:val="none" w:sz="0" w:space="0" w:color="auto"/>
        <w:bottom w:val="none" w:sz="0" w:space="0" w:color="auto"/>
        <w:right w:val="none" w:sz="0" w:space="0" w:color="auto"/>
      </w:divBdr>
    </w:div>
    <w:div w:id="380329916">
      <w:marLeft w:val="0"/>
      <w:marRight w:val="0"/>
      <w:marTop w:val="0"/>
      <w:marBottom w:val="0"/>
      <w:divBdr>
        <w:top w:val="none" w:sz="0" w:space="0" w:color="auto"/>
        <w:left w:val="none" w:sz="0" w:space="0" w:color="auto"/>
        <w:bottom w:val="none" w:sz="0" w:space="0" w:color="auto"/>
        <w:right w:val="none" w:sz="0" w:space="0" w:color="auto"/>
      </w:divBdr>
      <w:divsChild>
        <w:div w:id="380329906">
          <w:marLeft w:val="547"/>
          <w:marRight w:val="0"/>
          <w:marTop w:val="0"/>
          <w:marBottom w:val="0"/>
          <w:divBdr>
            <w:top w:val="none" w:sz="0" w:space="0" w:color="auto"/>
            <w:left w:val="none" w:sz="0" w:space="0" w:color="auto"/>
            <w:bottom w:val="none" w:sz="0" w:space="0" w:color="auto"/>
            <w:right w:val="none" w:sz="0" w:space="0" w:color="auto"/>
          </w:divBdr>
        </w:div>
      </w:divsChild>
    </w:div>
    <w:div w:id="380329917">
      <w:marLeft w:val="0"/>
      <w:marRight w:val="0"/>
      <w:marTop w:val="0"/>
      <w:marBottom w:val="0"/>
      <w:divBdr>
        <w:top w:val="none" w:sz="0" w:space="0" w:color="auto"/>
        <w:left w:val="none" w:sz="0" w:space="0" w:color="auto"/>
        <w:bottom w:val="none" w:sz="0" w:space="0" w:color="auto"/>
        <w:right w:val="none" w:sz="0" w:space="0" w:color="auto"/>
      </w:divBdr>
    </w:div>
    <w:div w:id="380329918">
      <w:marLeft w:val="0"/>
      <w:marRight w:val="0"/>
      <w:marTop w:val="0"/>
      <w:marBottom w:val="0"/>
      <w:divBdr>
        <w:top w:val="none" w:sz="0" w:space="0" w:color="auto"/>
        <w:left w:val="none" w:sz="0" w:space="0" w:color="auto"/>
        <w:bottom w:val="none" w:sz="0" w:space="0" w:color="auto"/>
        <w:right w:val="none" w:sz="0" w:space="0" w:color="auto"/>
      </w:divBdr>
    </w:div>
    <w:div w:id="380329919">
      <w:marLeft w:val="0"/>
      <w:marRight w:val="0"/>
      <w:marTop w:val="0"/>
      <w:marBottom w:val="0"/>
      <w:divBdr>
        <w:top w:val="none" w:sz="0" w:space="0" w:color="auto"/>
        <w:left w:val="none" w:sz="0" w:space="0" w:color="auto"/>
        <w:bottom w:val="none" w:sz="0" w:space="0" w:color="auto"/>
        <w:right w:val="none" w:sz="0" w:space="0" w:color="auto"/>
      </w:divBdr>
    </w:div>
    <w:div w:id="380329920">
      <w:marLeft w:val="0"/>
      <w:marRight w:val="0"/>
      <w:marTop w:val="0"/>
      <w:marBottom w:val="0"/>
      <w:divBdr>
        <w:top w:val="none" w:sz="0" w:space="0" w:color="auto"/>
        <w:left w:val="none" w:sz="0" w:space="0" w:color="auto"/>
        <w:bottom w:val="none" w:sz="0" w:space="0" w:color="auto"/>
        <w:right w:val="none" w:sz="0" w:space="0" w:color="auto"/>
      </w:divBdr>
    </w:div>
    <w:div w:id="380329921">
      <w:marLeft w:val="0"/>
      <w:marRight w:val="0"/>
      <w:marTop w:val="0"/>
      <w:marBottom w:val="0"/>
      <w:divBdr>
        <w:top w:val="none" w:sz="0" w:space="0" w:color="auto"/>
        <w:left w:val="none" w:sz="0" w:space="0" w:color="auto"/>
        <w:bottom w:val="none" w:sz="0" w:space="0" w:color="auto"/>
        <w:right w:val="none" w:sz="0" w:space="0" w:color="auto"/>
      </w:divBdr>
    </w:div>
    <w:div w:id="380329922">
      <w:marLeft w:val="0"/>
      <w:marRight w:val="0"/>
      <w:marTop w:val="0"/>
      <w:marBottom w:val="0"/>
      <w:divBdr>
        <w:top w:val="none" w:sz="0" w:space="0" w:color="auto"/>
        <w:left w:val="none" w:sz="0" w:space="0" w:color="auto"/>
        <w:bottom w:val="none" w:sz="0" w:space="0" w:color="auto"/>
        <w:right w:val="none" w:sz="0" w:space="0" w:color="auto"/>
      </w:divBdr>
    </w:div>
    <w:div w:id="380329923">
      <w:marLeft w:val="0"/>
      <w:marRight w:val="0"/>
      <w:marTop w:val="0"/>
      <w:marBottom w:val="0"/>
      <w:divBdr>
        <w:top w:val="none" w:sz="0" w:space="0" w:color="auto"/>
        <w:left w:val="none" w:sz="0" w:space="0" w:color="auto"/>
        <w:bottom w:val="none" w:sz="0" w:space="0" w:color="auto"/>
        <w:right w:val="none" w:sz="0" w:space="0" w:color="auto"/>
      </w:divBdr>
    </w:div>
    <w:div w:id="380329924">
      <w:marLeft w:val="0"/>
      <w:marRight w:val="0"/>
      <w:marTop w:val="0"/>
      <w:marBottom w:val="0"/>
      <w:divBdr>
        <w:top w:val="none" w:sz="0" w:space="0" w:color="auto"/>
        <w:left w:val="none" w:sz="0" w:space="0" w:color="auto"/>
        <w:bottom w:val="none" w:sz="0" w:space="0" w:color="auto"/>
        <w:right w:val="none" w:sz="0" w:space="0" w:color="auto"/>
      </w:divBdr>
    </w:div>
    <w:div w:id="380329925">
      <w:marLeft w:val="0"/>
      <w:marRight w:val="0"/>
      <w:marTop w:val="0"/>
      <w:marBottom w:val="0"/>
      <w:divBdr>
        <w:top w:val="none" w:sz="0" w:space="0" w:color="auto"/>
        <w:left w:val="none" w:sz="0" w:space="0" w:color="auto"/>
        <w:bottom w:val="none" w:sz="0" w:space="0" w:color="auto"/>
        <w:right w:val="none" w:sz="0" w:space="0" w:color="auto"/>
      </w:divBdr>
      <w:divsChild>
        <w:div w:id="380329898">
          <w:marLeft w:val="547"/>
          <w:marRight w:val="0"/>
          <w:marTop w:val="0"/>
          <w:marBottom w:val="0"/>
          <w:divBdr>
            <w:top w:val="none" w:sz="0" w:space="0" w:color="auto"/>
            <w:left w:val="none" w:sz="0" w:space="0" w:color="auto"/>
            <w:bottom w:val="none" w:sz="0" w:space="0" w:color="auto"/>
            <w:right w:val="none" w:sz="0" w:space="0" w:color="auto"/>
          </w:divBdr>
        </w:div>
      </w:divsChild>
    </w:div>
    <w:div w:id="380329926">
      <w:marLeft w:val="0"/>
      <w:marRight w:val="0"/>
      <w:marTop w:val="0"/>
      <w:marBottom w:val="0"/>
      <w:divBdr>
        <w:top w:val="none" w:sz="0" w:space="0" w:color="auto"/>
        <w:left w:val="none" w:sz="0" w:space="0" w:color="auto"/>
        <w:bottom w:val="none" w:sz="0" w:space="0" w:color="auto"/>
        <w:right w:val="none" w:sz="0" w:space="0" w:color="auto"/>
      </w:divBdr>
    </w:div>
    <w:div w:id="380329927">
      <w:marLeft w:val="0"/>
      <w:marRight w:val="0"/>
      <w:marTop w:val="0"/>
      <w:marBottom w:val="0"/>
      <w:divBdr>
        <w:top w:val="none" w:sz="0" w:space="0" w:color="auto"/>
        <w:left w:val="none" w:sz="0" w:space="0" w:color="auto"/>
        <w:bottom w:val="none" w:sz="0" w:space="0" w:color="auto"/>
        <w:right w:val="none" w:sz="0" w:space="0" w:color="auto"/>
      </w:divBdr>
      <w:divsChild>
        <w:div w:id="380329878">
          <w:marLeft w:val="547"/>
          <w:marRight w:val="0"/>
          <w:marTop w:val="0"/>
          <w:marBottom w:val="0"/>
          <w:divBdr>
            <w:top w:val="none" w:sz="0" w:space="0" w:color="auto"/>
            <w:left w:val="none" w:sz="0" w:space="0" w:color="auto"/>
            <w:bottom w:val="none" w:sz="0" w:space="0" w:color="auto"/>
            <w:right w:val="none" w:sz="0" w:space="0" w:color="auto"/>
          </w:divBdr>
        </w:div>
      </w:divsChild>
    </w:div>
    <w:div w:id="380329928">
      <w:marLeft w:val="0"/>
      <w:marRight w:val="0"/>
      <w:marTop w:val="0"/>
      <w:marBottom w:val="0"/>
      <w:divBdr>
        <w:top w:val="none" w:sz="0" w:space="0" w:color="auto"/>
        <w:left w:val="none" w:sz="0" w:space="0" w:color="auto"/>
        <w:bottom w:val="none" w:sz="0" w:space="0" w:color="auto"/>
        <w:right w:val="none" w:sz="0" w:space="0" w:color="auto"/>
      </w:divBdr>
    </w:div>
    <w:div w:id="380329929">
      <w:marLeft w:val="0"/>
      <w:marRight w:val="0"/>
      <w:marTop w:val="0"/>
      <w:marBottom w:val="0"/>
      <w:divBdr>
        <w:top w:val="none" w:sz="0" w:space="0" w:color="auto"/>
        <w:left w:val="none" w:sz="0" w:space="0" w:color="auto"/>
        <w:bottom w:val="none" w:sz="0" w:space="0" w:color="auto"/>
        <w:right w:val="none" w:sz="0" w:space="0" w:color="auto"/>
      </w:divBdr>
    </w:div>
    <w:div w:id="380329930">
      <w:marLeft w:val="0"/>
      <w:marRight w:val="0"/>
      <w:marTop w:val="0"/>
      <w:marBottom w:val="0"/>
      <w:divBdr>
        <w:top w:val="none" w:sz="0" w:space="0" w:color="auto"/>
        <w:left w:val="none" w:sz="0" w:space="0" w:color="auto"/>
        <w:bottom w:val="none" w:sz="0" w:space="0" w:color="auto"/>
        <w:right w:val="none" w:sz="0" w:space="0" w:color="auto"/>
      </w:divBdr>
    </w:div>
    <w:div w:id="380329931">
      <w:marLeft w:val="0"/>
      <w:marRight w:val="0"/>
      <w:marTop w:val="0"/>
      <w:marBottom w:val="0"/>
      <w:divBdr>
        <w:top w:val="none" w:sz="0" w:space="0" w:color="auto"/>
        <w:left w:val="none" w:sz="0" w:space="0" w:color="auto"/>
        <w:bottom w:val="none" w:sz="0" w:space="0" w:color="auto"/>
        <w:right w:val="none" w:sz="0" w:space="0" w:color="auto"/>
      </w:divBdr>
    </w:div>
    <w:div w:id="380329932">
      <w:marLeft w:val="0"/>
      <w:marRight w:val="0"/>
      <w:marTop w:val="0"/>
      <w:marBottom w:val="0"/>
      <w:divBdr>
        <w:top w:val="none" w:sz="0" w:space="0" w:color="auto"/>
        <w:left w:val="none" w:sz="0" w:space="0" w:color="auto"/>
        <w:bottom w:val="none" w:sz="0" w:space="0" w:color="auto"/>
        <w:right w:val="none" w:sz="0" w:space="0" w:color="auto"/>
      </w:divBdr>
    </w:div>
    <w:div w:id="380329933">
      <w:marLeft w:val="0"/>
      <w:marRight w:val="0"/>
      <w:marTop w:val="0"/>
      <w:marBottom w:val="0"/>
      <w:divBdr>
        <w:top w:val="none" w:sz="0" w:space="0" w:color="auto"/>
        <w:left w:val="none" w:sz="0" w:space="0" w:color="auto"/>
        <w:bottom w:val="none" w:sz="0" w:space="0" w:color="auto"/>
        <w:right w:val="none" w:sz="0" w:space="0" w:color="auto"/>
      </w:divBdr>
    </w:div>
    <w:div w:id="380329935">
      <w:marLeft w:val="0"/>
      <w:marRight w:val="0"/>
      <w:marTop w:val="0"/>
      <w:marBottom w:val="0"/>
      <w:divBdr>
        <w:top w:val="none" w:sz="0" w:space="0" w:color="auto"/>
        <w:left w:val="none" w:sz="0" w:space="0" w:color="auto"/>
        <w:bottom w:val="none" w:sz="0" w:space="0" w:color="auto"/>
        <w:right w:val="none" w:sz="0" w:space="0" w:color="auto"/>
      </w:divBdr>
    </w:div>
    <w:div w:id="380329936">
      <w:marLeft w:val="0"/>
      <w:marRight w:val="0"/>
      <w:marTop w:val="0"/>
      <w:marBottom w:val="0"/>
      <w:divBdr>
        <w:top w:val="none" w:sz="0" w:space="0" w:color="auto"/>
        <w:left w:val="none" w:sz="0" w:space="0" w:color="auto"/>
        <w:bottom w:val="none" w:sz="0" w:space="0" w:color="auto"/>
        <w:right w:val="none" w:sz="0" w:space="0" w:color="auto"/>
      </w:divBdr>
    </w:div>
    <w:div w:id="380329937">
      <w:marLeft w:val="0"/>
      <w:marRight w:val="0"/>
      <w:marTop w:val="0"/>
      <w:marBottom w:val="0"/>
      <w:divBdr>
        <w:top w:val="none" w:sz="0" w:space="0" w:color="auto"/>
        <w:left w:val="none" w:sz="0" w:space="0" w:color="auto"/>
        <w:bottom w:val="none" w:sz="0" w:space="0" w:color="auto"/>
        <w:right w:val="none" w:sz="0" w:space="0" w:color="auto"/>
      </w:divBdr>
    </w:div>
    <w:div w:id="380329938">
      <w:marLeft w:val="0"/>
      <w:marRight w:val="0"/>
      <w:marTop w:val="0"/>
      <w:marBottom w:val="0"/>
      <w:divBdr>
        <w:top w:val="none" w:sz="0" w:space="0" w:color="auto"/>
        <w:left w:val="none" w:sz="0" w:space="0" w:color="auto"/>
        <w:bottom w:val="none" w:sz="0" w:space="0" w:color="auto"/>
        <w:right w:val="none" w:sz="0" w:space="0" w:color="auto"/>
      </w:divBdr>
    </w:div>
    <w:div w:id="380329939">
      <w:marLeft w:val="0"/>
      <w:marRight w:val="0"/>
      <w:marTop w:val="0"/>
      <w:marBottom w:val="0"/>
      <w:divBdr>
        <w:top w:val="none" w:sz="0" w:space="0" w:color="auto"/>
        <w:left w:val="none" w:sz="0" w:space="0" w:color="auto"/>
        <w:bottom w:val="none" w:sz="0" w:space="0" w:color="auto"/>
        <w:right w:val="none" w:sz="0" w:space="0" w:color="auto"/>
      </w:divBdr>
      <w:divsChild>
        <w:div w:id="380329934">
          <w:marLeft w:val="547"/>
          <w:marRight w:val="0"/>
          <w:marTop w:val="0"/>
          <w:marBottom w:val="0"/>
          <w:divBdr>
            <w:top w:val="none" w:sz="0" w:space="0" w:color="auto"/>
            <w:left w:val="none" w:sz="0" w:space="0" w:color="auto"/>
            <w:bottom w:val="none" w:sz="0" w:space="0" w:color="auto"/>
            <w:right w:val="none" w:sz="0" w:space="0" w:color="auto"/>
          </w:divBdr>
        </w:div>
      </w:divsChild>
    </w:div>
    <w:div w:id="380329940">
      <w:marLeft w:val="0"/>
      <w:marRight w:val="0"/>
      <w:marTop w:val="0"/>
      <w:marBottom w:val="0"/>
      <w:divBdr>
        <w:top w:val="none" w:sz="0" w:space="0" w:color="auto"/>
        <w:left w:val="none" w:sz="0" w:space="0" w:color="auto"/>
        <w:bottom w:val="none" w:sz="0" w:space="0" w:color="auto"/>
        <w:right w:val="none" w:sz="0" w:space="0" w:color="auto"/>
      </w:divBdr>
    </w:div>
    <w:div w:id="380329941">
      <w:marLeft w:val="0"/>
      <w:marRight w:val="0"/>
      <w:marTop w:val="0"/>
      <w:marBottom w:val="0"/>
      <w:divBdr>
        <w:top w:val="none" w:sz="0" w:space="0" w:color="auto"/>
        <w:left w:val="none" w:sz="0" w:space="0" w:color="auto"/>
        <w:bottom w:val="none" w:sz="0" w:space="0" w:color="auto"/>
        <w:right w:val="none" w:sz="0" w:space="0" w:color="auto"/>
      </w:divBdr>
    </w:div>
    <w:div w:id="380329942">
      <w:marLeft w:val="0"/>
      <w:marRight w:val="0"/>
      <w:marTop w:val="0"/>
      <w:marBottom w:val="0"/>
      <w:divBdr>
        <w:top w:val="none" w:sz="0" w:space="0" w:color="auto"/>
        <w:left w:val="none" w:sz="0" w:space="0" w:color="auto"/>
        <w:bottom w:val="none" w:sz="0" w:space="0" w:color="auto"/>
        <w:right w:val="none" w:sz="0" w:space="0" w:color="auto"/>
      </w:divBdr>
    </w:div>
    <w:div w:id="380329943">
      <w:marLeft w:val="0"/>
      <w:marRight w:val="0"/>
      <w:marTop w:val="0"/>
      <w:marBottom w:val="0"/>
      <w:divBdr>
        <w:top w:val="none" w:sz="0" w:space="0" w:color="auto"/>
        <w:left w:val="none" w:sz="0" w:space="0" w:color="auto"/>
        <w:bottom w:val="none" w:sz="0" w:space="0" w:color="auto"/>
        <w:right w:val="none" w:sz="0" w:space="0" w:color="auto"/>
      </w:divBdr>
    </w:div>
    <w:div w:id="380329944">
      <w:marLeft w:val="0"/>
      <w:marRight w:val="0"/>
      <w:marTop w:val="0"/>
      <w:marBottom w:val="0"/>
      <w:divBdr>
        <w:top w:val="none" w:sz="0" w:space="0" w:color="auto"/>
        <w:left w:val="none" w:sz="0" w:space="0" w:color="auto"/>
        <w:bottom w:val="none" w:sz="0" w:space="0" w:color="auto"/>
        <w:right w:val="none" w:sz="0" w:space="0" w:color="auto"/>
      </w:divBdr>
    </w:div>
    <w:div w:id="380329945">
      <w:marLeft w:val="0"/>
      <w:marRight w:val="0"/>
      <w:marTop w:val="0"/>
      <w:marBottom w:val="0"/>
      <w:divBdr>
        <w:top w:val="none" w:sz="0" w:space="0" w:color="auto"/>
        <w:left w:val="none" w:sz="0" w:space="0" w:color="auto"/>
        <w:bottom w:val="none" w:sz="0" w:space="0" w:color="auto"/>
        <w:right w:val="none" w:sz="0" w:space="0" w:color="auto"/>
      </w:divBdr>
    </w:div>
    <w:div w:id="1099370640">
      <w:bodyDiv w:val="1"/>
      <w:marLeft w:val="0"/>
      <w:marRight w:val="0"/>
      <w:marTop w:val="0"/>
      <w:marBottom w:val="0"/>
      <w:divBdr>
        <w:top w:val="none" w:sz="0" w:space="0" w:color="auto"/>
        <w:left w:val="none" w:sz="0" w:space="0" w:color="auto"/>
        <w:bottom w:val="none" w:sz="0" w:space="0" w:color="auto"/>
        <w:right w:val="none" w:sz="0" w:space="0" w:color="auto"/>
      </w:divBdr>
    </w:div>
    <w:div w:id="1202402789">
      <w:bodyDiv w:val="1"/>
      <w:marLeft w:val="0"/>
      <w:marRight w:val="0"/>
      <w:marTop w:val="0"/>
      <w:marBottom w:val="0"/>
      <w:divBdr>
        <w:top w:val="none" w:sz="0" w:space="0" w:color="auto"/>
        <w:left w:val="none" w:sz="0" w:space="0" w:color="auto"/>
        <w:bottom w:val="none" w:sz="0" w:space="0" w:color="auto"/>
        <w:right w:val="none" w:sz="0" w:space="0" w:color="auto"/>
      </w:divBdr>
    </w:div>
    <w:div w:id="1715035797">
      <w:bodyDiv w:val="1"/>
      <w:marLeft w:val="0"/>
      <w:marRight w:val="0"/>
      <w:marTop w:val="0"/>
      <w:marBottom w:val="0"/>
      <w:divBdr>
        <w:top w:val="none" w:sz="0" w:space="0" w:color="auto"/>
        <w:left w:val="none" w:sz="0" w:space="0" w:color="auto"/>
        <w:bottom w:val="none" w:sz="0" w:space="0" w:color="auto"/>
        <w:right w:val="none" w:sz="0" w:space="0" w:color="auto"/>
      </w:divBdr>
    </w:div>
    <w:div w:id="1829983121">
      <w:bodyDiv w:val="1"/>
      <w:marLeft w:val="0"/>
      <w:marRight w:val="0"/>
      <w:marTop w:val="0"/>
      <w:marBottom w:val="0"/>
      <w:divBdr>
        <w:top w:val="none" w:sz="0" w:space="0" w:color="auto"/>
        <w:left w:val="none" w:sz="0" w:space="0" w:color="auto"/>
        <w:bottom w:val="none" w:sz="0" w:space="0" w:color="auto"/>
        <w:right w:val="none" w:sz="0" w:space="0" w:color="auto"/>
      </w:divBdr>
    </w:div>
    <w:div w:id="20930420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QuickStyle" Target="diagrams/quickStyle13.xml"/><Relationship Id="rId21" Type="http://schemas.openxmlformats.org/officeDocument/2006/relationships/hyperlink" Target="http://www.partnerskadohoda.gov.sk" TargetMode="External"/><Relationship Id="rId42" Type="http://schemas.openxmlformats.org/officeDocument/2006/relationships/hyperlink" Target="https://www.vszp.sk/platitelia/platenie-poistneho/zoznam-dlznikov.html" TargetMode="External"/><Relationship Id="rId63" Type="http://schemas.microsoft.com/office/2007/relationships/diagramDrawing" Target="diagrams/drawing3.xml"/><Relationship Id="rId84" Type="http://schemas.openxmlformats.org/officeDocument/2006/relationships/diagramLayout" Target="diagrams/layout7.xml"/><Relationship Id="rId138" Type="http://schemas.openxmlformats.org/officeDocument/2006/relationships/diagramLayout" Target="diagrams/layout17.xml"/><Relationship Id="rId159" Type="http://schemas.openxmlformats.org/officeDocument/2006/relationships/diagramQuickStyle" Target="diagrams/quickStyle21.xml"/><Relationship Id="rId170" Type="http://schemas.openxmlformats.org/officeDocument/2006/relationships/diagramColors" Target="diagrams/colors23.xml"/><Relationship Id="rId191" Type="http://schemas.openxmlformats.org/officeDocument/2006/relationships/diagramColors" Target="diagrams/colors27.xml"/><Relationship Id="rId205" Type="http://schemas.openxmlformats.org/officeDocument/2006/relationships/hyperlink" Target="mailto:zakazkycko@vlada.gov.sk" TargetMode="External"/><Relationship Id="rId226" Type="http://schemas.openxmlformats.org/officeDocument/2006/relationships/hyperlink" Target="http://www.partnerskadohoda.gov.sk" TargetMode="External"/><Relationship Id="rId107" Type="http://schemas.openxmlformats.org/officeDocument/2006/relationships/diagramQuickStyle" Target="diagrams/quickStyle11.xml"/><Relationship Id="rId11" Type="http://schemas.openxmlformats.org/officeDocument/2006/relationships/hyperlink" Target="http://eur-lex.europa.eu/oj/direct-access.html?locale=sk" TargetMode="External"/><Relationship Id="rId32" Type="http://schemas.openxmlformats.org/officeDocument/2006/relationships/hyperlink" Target="mailto:monitorovanie.cko@vicepremier.gov.sk" TargetMode="External"/><Relationship Id="rId53" Type="http://schemas.microsoft.com/office/2007/relationships/diagramDrawing" Target="diagrams/drawing1.xml"/><Relationship Id="rId74" Type="http://schemas.openxmlformats.org/officeDocument/2006/relationships/hyperlink" Target="http://www.partnerskadohoda.gov.sk" TargetMode="External"/><Relationship Id="rId128" Type="http://schemas.openxmlformats.org/officeDocument/2006/relationships/diagramLayout" Target="diagrams/layout15.xml"/><Relationship Id="rId149" Type="http://schemas.openxmlformats.org/officeDocument/2006/relationships/diagramQuickStyle" Target="diagrams/quickStyle19.xml"/><Relationship Id="rId5" Type="http://schemas.openxmlformats.org/officeDocument/2006/relationships/settings" Target="settings.xml"/><Relationship Id="rId95" Type="http://schemas.openxmlformats.org/officeDocument/2006/relationships/diagramData" Target="diagrams/data9.xml"/><Relationship Id="rId160" Type="http://schemas.openxmlformats.org/officeDocument/2006/relationships/diagramColors" Target="diagrams/colors21.xml"/><Relationship Id="rId181" Type="http://schemas.microsoft.com/office/2007/relationships/diagramDrawing" Target="diagrams/drawing25.xml"/><Relationship Id="rId216" Type="http://schemas.openxmlformats.org/officeDocument/2006/relationships/image" Target="media/image8.jpeg"/><Relationship Id="rId22" Type="http://schemas.openxmlformats.org/officeDocument/2006/relationships/hyperlink" Target="http://www.partnerskadohoda.gov.sk" TargetMode="External"/><Relationship Id="rId27" Type="http://schemas.openxmlformats.org/officeDocument/2006/relationships/hyperlink" Target="mailto:manualy@mfsr.sk" TargetMode="External"/><Relationship Id="rId43" Type="http://schemas.openxmlformats.org/officeDocument/2006/relationships/hyperlink" Target="http://www.dovera.sk/overenia/dlznici/zoznam-dlznikov" TargetMode="External"/><Relationship Id="rId48" Type="http://schemas.openxmlformats.org/officeDocument/2006/relationships/hyperlink" Target="https://rpvs.gov.sk/rpvs/" TargetMode="External"/><Relationship Id="rId64" Type="http://schemas.openxmlformats.org/officeDocument/2006/relationships/diagramData" Target="diagrams/data4.xml"/><Relationship Id="rId69" Type="http://schemas.openxmlformats.org/officeDocument/2006/relationships/diagramData" Target="diagrams/data5.xml"/><Relationship Id="rId113" Type="http://schemas.openxmlformats.org/officeDocument/2006/relationships/diagramColors" Target="diagrams/colors12.xml"/><Relationship Id="rId118" Type="http://schemas.openxmlformats.org/officeDocument/2006/relationships/diagramColors" Target="diagrams/colors13.xml"/><Relationship Id="rId134" Type="http://schemas.openxmlformats.org/officeDocument/2006/relationships/diagramQuickStyle" Target="diagrams/quickStyle16.xml"/><Relationship Id="rId139" Type="http://schemas.openxmlformats.org/officeDocument/2006/relationships/diagramQuickStyle" Target="diagrams/quickStyle17.xml"/><Relationship Id="rId80" Type="http://schemas.openxmlformats.org/officeDocument/2006/relationships/diagramQuickStyle" Target="diagrams/quickStyle6.xml"/><Relationship Id="rId85" Type="http://schemas.openxmlformats.org/officeDocument/2006/relationships/diagramQuickStyle" Target="diagrams/quickStyle7.xml"/><Relationship Id="rId150" Type="http://schemas.openxmlformats.org/officeDocument/2006/relationships/diagramColors" Target="diagrams/colors19.xml"/><Relationship Id="rId155" Type="http://schemas.openxmlformats.org/officeDocument/2006/relationships/diagramColors" Target="diagrams/colors20.xml"/><Relationship Id="rId171" Type="http://schemas.microsoft.com/office/2007/relationships/diagramDrawing" Target="diagrams/drawing23.xml"/><Relationship Id="rId176" Type="http://schemas.microsoft.com/office/2007/relationships/diagramDrawing" Target="diagrams/drawing24.xml"/><Relationship Id="rId192" Type="http://schemas.microsoft.com/office/2007/relationships/diagramDrawing" Target="diagrams/drawing27.xml"/><Relationship Id="rId197" Type="http://schemas.microsoft.com/office/2007/relationships/diagramDrawing" Target="diagrams/drawing28.xml"/><Relationship Id="rId206" Type="http://schemas.openxmlformats.org/officeDocument/2006/relationships/hyperlink" Target="http://www.partnerskadohoda.gov.sk" TargetMode="External"/><Relationship Id="rId227" Type="http://schemas.openxmlformats.org/officeDocument/2006/relationships/hyperlink" Target="http://www.partnerskadohoda.gov.sk" TargetMode="External"/><Relationship Id="rId201" Type="http://schemas.openxmlformats.org/officeDocument/2006/relationships/diagramColors" Target="diagrams/colors29.xml"/><Relationship Id="rId222" Type="http://schemas.openxmlformats.org/officeDocument/2006/relationships/hyperlink" Target="http://www.partnerskadohoda.gov.sk" TargetMode="External"/><Relationship Id="rId12" Type="http://schemas.openxmlformats.org/officeDocument/2006/relationships/hyperlink" Target="http://www.partnerskadohoda.gov.sk" TargetMode="External"/><Relationship Id="rId17" Type="http://schemas.openxmlformats.org/officeDocument/2006/relationships/hyperlink" Target="mailto:monitorovanie.cko@vicepremier.gov.sk" TargetMode="External"/><Relationship Id="rId33" Type="http://schemas.openxmlformats.org/officeDocument/2006/relationships/hyperlink" Target="mailto:organauditu@mfsr.sk" TargetMode="External"/><Relationship Id="rId38" Type="http://schemas.openxmlformats.org/officeDocument/2006/relationships/hyperlink" Target="mailto:nms@vicepremier.gov.sk" TargetMode="External"/><Relationship Id="rId59" Type="http://schemas.openxmlformats.org/officeDocument/2006/relationships/diagramData" Target="diagrams/data3.xml"/><Relationship Id="rId103" Type="http://schemas.openxmlformats.org/officeDocument/2006/relationships/diagramColors" Target="diagrams/colors10.xml"/><Relationship Id="rId108" Type="http://schemas.openxmlformats.org/officeDocument/2006/relationships/diagramColors" Target="diagrams/colors11.xml"/><Relationship Id="rId124" Type="http://schemas.openxmlformats.org/officeDocument/2006/relationships/diagramQuickStyle" Target="diagrams/quickStyle14.xml"/><Relationship Id="rId129" Type="http://schemas.openxmlformats.org/officeDocument/2006/relationships/diagramQuickStyle" Target="diagrams/quickStyle15.xml"/><Relationship Id="rId54" Type="http://schemas.openxmlformats.org/officeDocument/2006/relationships/diagramData" Target="diagrams/data2.xml"/><Relationship Id="rId70" Type="http://schemas.openxmlformats.org/officeDocument/2006/relationships/diagramLayout" Target="diagrams/layout5.xml"/><Relationship Id="rId75" Type="http://schemas.openxmlformats.org/officeDocument/2006/relationships/hyperlink" Target="mailto:vyzvy@vicepremier.gov.sk" TargetMode="External"/><Relationship Id="rId91" Type="http://schemas.openxmlformats.org/officeDocument/2006/relationships/diagramColors" Target="diagrams/colors8.xml"/><Relationship Id="rId96" Type="http://schemas.openxmlformats.org/officeDocument/2006/relationships/diagramLayout" Target="diagrams/layout9.xml"/><Relationship Id="rId140" Type="http://schemas.openxmlformats.org/officeDocument/2006/relationships/diagramColors" Target="diagrams/colors17.xml"/><Relationship Id="rId145" Type="http://schemas.openxmlformats.org/officeDocument/2006/relationships/diagramColors" Target="diagrams/colors18.xml"/><Relationship Id="rId161" Type="http://schemas.microsoft.com/office/2007/relationships/diagramDrawing" Target="diagrams/drawing21.xml"/><Relationship Id="rId166" Type="http://schemas.microsoft.com/office/2007/relationships/diagramDrawing" Target="diagrams/drawing22.xml"/><Relationship Id="rId182" Type="http://schemas.openxmlformats.org/officeDocument/2006/relationships/diagramData" Target="diagrams/data26.xml"/><Relationship Id="rId187" Type="http://schemas.openxmlformats.org/officeDocument/2006/relationships/image" Target="media/image4.png"/><Relationship Id="rId217" Type="http://schemas.openxmlformats.org/officeDocument/2006/relationships/hyperlink" Target="http://www.partnerskadohoda.gov.sk" TargetMode="External"/><Relationship Id="rId1" Type="http://schemas.openxmlformats.org/officeDocument/2006/relationships/customXml" Target="../customXml/item1.xml"/><Relationship Id="rId6" Type="http://schemas.openxmlformats.org/officeDocument/2006/relationships/webSettings" Target="webSettings.xml"/><Relationship Id="rId212" Type="http://schemas.openxmlformats.org/officeDocument/2006/relationships/hyperlink" Target="mailto:monitorovanie.cko@vicepremier.gov.sk" TargetMode="External"/><Relationship Id="rId23" Type="http://schemas.openxmlformats.org/officeDocument/2006/relationships/hyperlink" Target="mailto:" TargetMode="External"/><Relationship Id="rId28" Type="http://schemas.openxmlformats.org/officeDocument/2006/relationships/hyperlink" Target="mailto:CO_manual@mfsr.sk" TargetMode="External"/><Relationship Id="rId49" Type="http://schemas.openxmlformats.org/officeDocument/2006/relationships/diagramData" Target="diagrams/data1.xml"/><Relationship Id="rId114" Type="http://schemas.microsoft.com/office/2007/relationships/diagramDrawing" Target="diagrams/drawing12.xml"/><Relationship Id="rId119" Type="http://schemas.microsoft.com/office/2007/relationships/diagramDrawing" Target="diagrams/drawing13.xml"/><Relationship Id="rId44" Type="http://schemas.openxmlformats.org/officeDocument/2006/relationships/hyperlink" Target="https://www.union.sk/zoznam-dlznikov" TargetMode="External"/><Relationship Id="rId60" Type="http://schemas.openxmlformats.org/officeDocument/2006/relationships/diagramLayout" Target="diagrams/layout3.xml"/><Relationship Id="rId65" Type="http://schemas.openxmlformats.org/officeDocument/2006/relationships/diagramLayout" Target="diagrams/layout4.xml"/><Relationship Id="rId81" Type="http://schemas.openxmlformats.org/officeDocument/2006/relationships/diagramColors" Target="diagrams/colors6.xml"/><Relationship Id="rId86" Type="http://schemas.openxmlformats.org/officeDocument/2006/relationships/diagramColors" Target="diagrams/colors7.xml"/><Relationship Id="rId130" Type="http://schemas.openxmlformats.org/officeDocument/2006/relationships/diagramColors" Target="diagrams/colors15.xml"/><Relationship Id="rId135" Type="http://schemas.openxmlformats.org/officeDocument/2006/relationships/diagramColors" Target="diagrams/colors16.xml"/><Relationship Id="rId151" Type="http://schemas.microsoft.com/office/2007/relationships/diagramDrawing" Target="diagrams/drawing19.xml"/><Relationship Id="rId156" Type="http://schemas.microsoft.com/office/2007/relationships/diagramDrawing" Target="diagrams/drawing20.xml"/><Relationship Id="rId177" Type="http://schemas.openxmlformats.org/officeDocument/2006/relationships/diagramData" Target="diagrams/data25.xml"/><Relationship Id="rId198" Type="http://schemas.openxmlformats.org/officeDocument/2006/relationships/diagramData" Target="diagrams/data29.xml"/><Relationship Id="rId172" Type="http://schemas.openxmlformats.org/officeDocument/2006/relationships/diagramData" Target="diagrams/data24.xml"/><Relationship Id="rId193" Type="http://schemas.openxmlformats.org/officeDocument/2006/relationships/diagramData" Target="diagrams/data28.xml"/><Relationship Id="rId202" Type="http://schemas.microsoft.com/office/2007/relationships/diagramDrawing" Target="diagrams/drawing29.xml"/><Relationship Id="rId207" Type="http://schemas.openxmlformats.org/officeDocument/2006/relationships/hyperlink" Target="mailto:zakazkycko@vlada.gov.sk" TargetMode="External"/><Relationship Id="rId223" Type="http://schemas.openxmlformats.org/officeDocument/2006/relationships/hyperlink" Target="http://www.partnerskadohoda.gov.sk" TargetMode="External"/><Relationship Id="rId228" Type="http://schemas.openxmlformats.org/officeDocument/2006/relationships/hyperlink" Target="http://www.partnerskadohoda.gov.sk" TargetMode="External"/><Relationship Id="rId13" Type="http://schemas.openxmlformats.org/officeDocument/2006/relationships/hyperlink" Target="mailto:manualy@mfsr.sk" TargetMode="External"/><Relationship Id="rId18" Type="http://schemas.openxmlformats.org/officeDocument/2006/relationships/hyperlink" Target="mailto:manualy@mfsr.sk" TargetMode="External"/><Relationship Id="rId39" Type="http://schemas.openxmlformats.org/officeDocument/2006/relationships/hyperlink" Target="mailto:organauditu@mfsr.sk" TargetMode="External"/><Relationship Id="rId109" Type="http://schemas.microsoft.com/office/2007/relationships/diagramDrawing" Target="diagrams/drawing11.xml"/><Relationship Id="rId34" Type="http://schemas.openxmlformats.org/officeDocument/2006/relationships/hyperlink" Target="mailto:monitorovanie.cko@vicepremier.gov.sk" TargetMode="External"/><Relationship Id="rId50" Type="http://schemas.openxmlformats.org/officeDocument/2006/relationships/diagramLayout" Target="diagrams/layout1.xml"/><Relationship Id="rId55" Type="http://schemas.openxmlformats.org/officeDocument/2006/relationships/diagramLayout" Target="diagrams/layout2.xml"/><Relationship Id="rId76" Type="http://schemas.openxmlformats.org/officeDocument/2006/relationships/hyperlink" Target="mailto:metodika.cko@vicepremier.gov.sk" TargetMode="External"/><Relationship Id="rId97" Type="http://schemas.openxmlformats.org/officeDocument/2006/relationships/diagramQuickStyle" Target="diagrams/quickStyle9.xml"/><Relationship Id="rId104" Type="http://schemas.microsoft.com/office/2007/relationships/diagramDrawing" Target="diagrams/drawing10.xml"/><Relationship Id="rId120" Type="http://schemas.openxmlformats.org/officeDocument/2006/relationships/hyperlink" Target="http://www.partnerskadohoda.gov.sk" TargetMode="External"/><Relationship Id="rId125" Type="http://schemas.openxmlformats.org/officeDocument/2006/relationships/diagramColors" Target="diagrams/colors14.xml"/><Relationship Id="rId141" Type="http://schemas.microsoft.com/office/2007/relationships/diagramDrawing" Target="diagrams/drawing17.xml"/><Relationship Id="rId146" Type="http://schemas.microsoft.com/office/2007/relationships/diagramDrawing" Target="diagrams/drawing18.xml"/><Relationship Id="rId167" Type="http://schemas.openxmlformats.org/officeDocument/2006/relationships/diagramData" Target="diagrams/data23.xml"/><Relationship Id="rId188" Type="http://schemas.openxmlformats.org/officeDocument/2006/relationships/diagramData" Target="diagrams/data27.xml"/><Relationship Id="rId7" Type="http://schemas.openxmlformats.org/officeDocument/2006/relationships/footnotes" Target="footnotes.xml"/><Relationship Id="rId71" Type="http://schemas.openxmlformats.org/officeDocument/2006/relationships/diagramQuickStyle" Target="diagrams/quickStyle5.xml"/><Relationship Id="rId92" Type="http://schemas.microsoft.com/office/2007/relationships/diagramDrawing" Target="diagrams/drawing8.xml"/><Relationship Id="rId162" Type="http://schemas.openxmlformats.org/officeDocument/2006/relationships/diagramData" Target="diagrams/data22.xml"/><Relationship Id="rId183" Type="http://schemas.openxmlformats.org/officeDocument/2006/relationships/diagramLayout" Target="diagrams/layout26.xml"/><Relationship Id="rId213" Type="http://schemas.openxmlformats.org/officeDocument/2006/relationships/hyperlink" Target="mailto:co@mfsr.sk" TargetMode="External"/><Relationship Id="rId218" Type="http://schemas.openxmlformats.org/officeDocument/2006/relationships/hyperlink" Target="mailto:hodnotenie.cko@vicepremier.gov.sk" TargetMode="External"/><Relationship Id="rId2" Type="http://schemas.openxmlformats.org/officeDocument/2006/relationships/numbering" Target="numbering.xml"/><Relationship Id="rId29" Type="http://schemas.openxmlformats.org/officeDocument/2006/relationships/hyperlink" Target="mailto:manualy@mfsr.sk" TargetMode="External"/><Relationship Id="rId24" Type="http://schemas.openxmlformats.org/officeDocument/2006/relationships/hyperlink" Target="mailto:monitorovanie.cko@vicepremier.gov.sk" TargetMode="External"/><Relationship Id="rId40" Type="http://schemas.openxmlformats.org/officeDocument/2006/relationships/header" Target="header1.xml"/><Relationship Id="rId45" Type="http://schemas.openxmlformats.org/officeDocument/2006/relationships/hyperlink" Target="http://www.socpoist.sk/zoznam-dlznikov-emw/487s" TargetMode="External"/><Relationship Id="rId66" Type="http://schemas.openxmlformats.org/officeDocument/2006/relationships/diagramQuickStyle" Target="diagrams/quickStyle4.xml"/><Relationship Id="rId87" Type="http://schemas.microsoft.com/office/2007/relationships/diagramDrawing" Target="diagrams/drawing7.xml"/><Relationship Id="rId110" Type="http://schemas.openxmlformats.org/officeDocument/2006/relationships/diagramData" Target="diagrams/data12.xml"/><Relationship Id="rId115" Type="http://schemas.openxmlformats.org/officeDocument/2006/relationships/diagramData" Target="diagrams/data13.xml"/><Relationship Id="rId131" Type="http://schemas.microsoft.com/office/2007/relationships/diagramDrawing" Target="diagrams/drawing15.xml"/><Relationship Id="rId136" Type="http://schemas.microsoft.com/office/2007/relationships/diagramDrawing" Target="diagrams/drawing16.xml"/><Relationship Id="rId157" Type="http://schemas.openxmlformats.org/officeDocument/2006/relationships/diagramData" Target="diagrams/data21.xml"/><Relationship Id="rId178" Type="http://schemas.openxmlformats.org/officeDocument/2006/relationships/diagramLayout" Target="diagrams/layout25.xml"/><Relationship Id="rId61" Type="http://schemas.openxmlformats.org/officeDocument/2006/relationships/diagramQuickStyle" Target="diagrams/quickStyle3.xml"/><Relationship Id="rId82" Type="http://schemas.microsoft.com/office/2007/relationships/diagramDrawing" Target="diagrams/drawing6.xml"/><Relationship Id="rId152" Type="http://schemas.openxmlformats.org/officeDocument/2006/relationships/diagramData" Target="diagrams/data20.xml"/><Relationship Id="rId173" Type="http://schemas.openxmlformats.org/officeDocument/2006/relationships/diagramLayout" Target="diagrams/layout24.xml"/><Relationship Id="rId194" Type="http://schemas.openxmlformats.org/officeDocument/2006/relationships/diagramLayout" Target="diagrams/layout28.xml"/><Relationship Id="rId199" Type="http://schemas.openxmlformats.org/officeDocument/2006/relationships/diagramLayout" Target="diagrams/layout29.xml"/><Relationship Id="rId203" Type="http://schemas.openxmlformats.org/officeDocument/2006/relationships/image" Target="media/image5.png"/><Relationship Id="rId208" Type="http://schemas.openxmlformats.org/officeDocument/2006/relationships/hyperlink" Target="http://www.partnerskadohoda.gov.sk/data/files/1305_mp-cko-c-18-verzia-4.zip" TargetMode="External"/><Relationship Id="rId229" Type="http://schemas.openxmlformats.org/officeDocument/2006/relationships/hyperlink" Target="http://www.partnerskadohoda.gov.sk" TargetMode="External"/><Relationship Id="rId19" Type="http://schemas.openxmlformats.org/officeDocument/2006/relationships/hyperlink" Target="mailto:monitorovanie.cko@vicepremier.gov.sk" TargetMode="External"/><Relationship Id="rId224" Type="http://schemas.openxmlformats.org/officeDocument/2006/relationships/hyperlink" Target="http://www.partnerskadohoda.gov.sk" TargetMode="External"/><Relationship Id="rId14" Type="http://schemas.openxmlformats.org/officeDocument/2006/relationships/hyperlink" Target="mailto:monitorovanie.cko@vicepremier.gov.sk" TargetMode="External"/><Relationship Id="rId30" Type="http://schemas.openxmlformats.org/officeDocument/2006/relationships/hyperlink" Target="mailto:monitorovanie.cko@vicepremier.gov.sk" TargetMode="External"/><Relationship Id="rId35" Type="http://schemas.openxmlformats.org/officeDocument/2006/relationships/hyperlink" Target="mailto:nms@vicepremier.gov.sk" TargetMode="External"/><Relationship Id="rId56" Type="http://schemas.openxmlformats.org/officeDocument/2006/relationships/diagramQuickStyle" Target="diagrams/quickStyle2.xml"/><Relationship Id="rId77" Type="http://schemas.openxmlformats.org/officeDocument/2006/relationships/hyperlink" Target="http://www.partnerskadohoda.gov.sk" TargetMode="External"/><Relationship Id="rId100" Type="http://schemas.openxmlformats.org/officeDocument/2006/relationships/diagramData" Target="diagrams/data10.xml"/><Relationship Id="rId105" Type="http://schemas.openxmlformats.org/officeDocument/2006/relationships/diagramData" Target="diagrams/data11.xml"/><Relationship Id="rId126" Type="http://schemas.microsoft.com/office/2007/relationships/diagramDrawing" Target="diagrams/drawing14.xml"/><Relationship Id="rId147" Type="http://schemas.openxmlformats.org/officeDocument/2006/relationships/diagramData" Target="diagrams/data19.xml"/><Relationship Id="rId168" Type="http://schemas.openxmlformats.org/officeDocument/2006/relationships/diagramLayout" Target="diagrams/layout23.xml"/><Relationship Id="rId8" Type="http://schemas.openxmlformats.org/officeDocument/2006/relationships/endnotes" Target="endnotes.xml"/><Relationship Id="rId51" Type="http://schemas.openxmlformats.org/officeDocument/2006/relationships/diagramQuickStyle" Target="diagrams/quickStyle1.xml"/><Relationship Id="rId72" Type="http://schemas.openxmlformats.org/officeDocument/2006/relationships/diagramColors" Target="diagrams/colors5.xml"/><Relationship Id="rId93" Type="http://schemas.openxmlformats.org/officeDocument/2006/relationships/hyperlink" Target="mailto:splnomocnenec_ros@minv.sk" TargetMode="External"/><Relationship Id="rId98" Type="http://schemas.openxmlformats.org/officeDocument/2006/relationships/diagramColors" Target="diagrams/colors9.xml"/><Relationship Id="rId121" Type="http://schemas.openxmlformats.org/officeDocument/2006/relationships/hyperlink" Target="http://www.itms2014.sk" TargetMode="External"/><Relationship Id="rId142" Type="http://schemas.openxmlformats.org/officeDocument/2006/relationships/diagramData" Target="diagrams/data18.xml"/><Relationship Id="rId163" Type="http://schemas.openxmlformats.org/officeDocument/2006/relationships/diagramLayout" Target="diagrams/layout22.xml"/><Relationship Id="rId184" Type="http://schemas.openxmlformats.org/officeDocument/2006/relationships/diagramQuickStyle" Target="diagrams/quickStyle26.xml"/><Relationship Id="rId189" Type="http://schemas.openxmlformats.org/officeDocument/2006/relationships/diagramLayout" Target="diagrams/layout27.xml"/><Relationship Id="rId219" Type="http://schemas.openxmlformats.org/officeDocument/2006/relationships/hyperlink" Target="mailto:hodnotenie.cko@vicepremier.gov.sk" TargetMode="External"/><Relationship Id="rId3" Type="http://schemas.openxmlformats.org/officeDocument/2006/relationships/styles" Target="styles.xml"/><Relationship Id="rId214" Type="http://schemas.openxmlformats.org/officeDocument/2006/relationships/hyperlink" Target="http://www.partnerskadohoda.gov.sk" TargetMode="External"/><Relationship Id="rId230" Type="http://schemas.openxmlformats.org/officeDocument/2006/relationships/hyperlink" Target="http://www.partnerskadohoda.gov.sk" TargetMode="External"/><Relationship Id="rId25" Type="http://schemas.openxmlformats.org/officeDocument/2006/relationships/hyperlink" Target="mailto:CO_manual@mfsr.sk" TargetMode="External"/><Relationship Id="rId46" Type="http://schemas.openxmlformats.org/officeDocument/2006/relationships/hyperlink" Target="http://www.registeruz.sk/cruz-public/domain/accountingentity/simplesearch" TargetMode="External"/><Relationship Id="rId67" Type="http://schemas.openxmlformats.org/officeDocument/2006/relationships/diagramColors" Target="diagrams/colors4.xml"/><Relationship Id="rId116" Type="http://schemas.openxmlformats.org/officeDocument/2006/relationships/diagramLayout" Target="diagrams/layout13.xml"/><Relationship Id="rId137" Type="http://schemas.openxmlformats.org/officeDocument/2006/relationships/diagramData" Target="diagrams/data17.xml"/><Relationship Id="rId158" Type="http://schemas.openxmlformats.org/officeDocument/2006/relationships/diagramLayout" Target="diagrams/layout21.xml"/><Relationship Id="rId20" Type="http://schemas.openxmlformats.org/officeDocument/2006/relationships/hyperlink" Target="http://www.partnerskadohoda.gov.sk" TargetMode="External"/><Relationship Id="rId41" Type="http://schemas.openxmlformats.org/officeDocument/2006/relationships/footer" Target="footer1.xml"/><Relationship Id="rId62" Type="http://schemas.openxmlformats.org/officeDocument/2006/relationships/diagramColors" Target="diagrams/colors3.xml"/><Relationship Id="rId83" Type="http://schemas.openxmlformats.org/officeDocument/2006/relationships/diagramData" Target="diagrams/data7.xml"/><Relationship Id="rId88" Type="http://schemas.openxmlformats.org/officeDocument/2006/relationships/diagramData" Target="diagrams/data8.xml"/><Relationship Id="rId111" Type="http://schemas.openxmlformats.org/officeDocument/2006/relationships/diagramLayout" Target="diagrams/layout12.xml"/><Relationship Id="rId132" Type="http://schemas.openxmlformats.org/officeDocument/2006/relationships/diagramData" Target="diagrams/data16.xml"/><Relationship Id="rId153" Type="http://schemas.openxmlformats.org/officeDocument/2006/relationships/diagramLayout" Target="diagrams/layout20.xml"/><Relationship Id="rId174" Type="http://schemas.openxmlformats.org/officeDocument/2006/relationships/diagramQuickStyle" Target="diagrams/quickStyle24.xml"/><Relationship Id="rId179" Type="http://schemas.openxmlformats.org/officeDocument/2006/relationships/diagramQuickStyle" Target="diagrams/quickStyle25.xml"/><Relationship Id="rId195" Type="http://schemas.openxmlformats.org/officeDocument/2006/relationships/diagramQuickStyle" Target="diagrams/quickStyle28.xml"/><Relationship Id="rId209" Type="http://schemas.openxmlformats.org/officeDocument/2006/relationships/hyperlink" Target="mailto:zamerynp@vicepremier.gov.sk" TargetMode="External"/><Relationship Id="rId190" Type="http://schemas.openxmlformats.org/officeDocument/2006/relationships/diagramQuickStyle" Target="diagrams/quickStyle27.xml"/><Relationship Id="rId204" Type="http://schemas.openxmlformats.org/officeDocument/2006/relationships/image" Target="media/image6.png"/><Relationship Id="rId220" Type="http://schemas.openxmlformats.org/officeDocument/2006/relationships/hyperlink" Target="http://www.partnerskadohoda.gov.sk/hodnotenie-esif/" TargetMode="External"/><Relationship Id="rId225" Type="http://schemas.openxmlformats.org/officeDocument/2006/relationships/hyperlink" Target="http://www.partnerskadohoda.gov.sk" TargetMode="External"/><Relationship Id="rId15" Type="http://schemas.openxmlformats.org/officeDocument/2006/relationships/hyperlink" Target="mailto:CO_manual@mfsr.sk" TargetMode="External"/><Relationship Id="rId36" Type="http://schemas.openxmlformats.org/officeDocument/2006/relationships/hyperlink" Target="mailto:medializovanekauzy@mfsr.sk" TargetMode="External"/><Relationship Id="rId57" Type="http://schemas.openxmlformats.org/officeDocument/2006/relationships/diagramColors" Target="diagrams/colors2.xml"/><Relationship Id="rId106" Type="http://schemas.openxmlformats.org/officeDocument/2006/relationships/diagramLayout" Target="diagrams/layout11.xml"/><Relationship Id="rId127" Type="http://schemas.openxmlformats.org/officeDocument/2006/relationships/diagramData" Target="diagrams/data15.xml"/><Relationship Id="rId10" Type="http://schemas.openxmlformats.org/officeDocument/2006/relationships/image" Target="media/image2.emf"/><Relationship Id="rId31" Type="http://schemas.openxmlformats.org/officeDocument/2006/relationships/hyperlink" Target="mailto:organauditu@mfsr.sk" TargetMode="External"/><Relationship Id="rId52" Type="http://schemas.openxmlformats.org/officeDocument/2006/relationships/diagramColors" Target="diagrams/colors1.xml"/><Relationship Id="rId73" Type="http://schemas.microsoft.com/office/2007/relationships/diagramDrawing" Target="diagrams/drawing5.xml"/><Relationship Id="rId78" Type="http://schemas.openxmlformats.org/officeDocument/2006/relationships/diagramData" Target="diagrams/data6.xml"/><Relationship Id="rId94" Type="http://schemas.openxmlformats.org/officeDocument/2006/relationships/hyperlink" Target="mailto:splnomocnenec_ros@minv.sk" TargetMode="External"/><Relationship Id="rId99" Type="http://schemas.microsoft.com/office/2007/relationships/diagramDrawing" Target="diagrams/drawing9.xml"/><Relationship Id="rId101" Type="http://schemas.openxmlformats.org/officeDocument/2006/relationships/diagramLayout" Target="diagrams/layout10.xml"/><Relationship Id="rId122" Type="http://schemas.openxmlformats.org/officeDocument/2006/relationships/diagramData" Target="diagrams/data14.xml"/><Relationship Id="rId143" Type="http://schemas.openxmlformats.org/officeDocument/2006/relationships/diagramLayout" Target="diagrams/layout18.xml"/><Relationship Id="rId148" Type="http://schemas.openxmlformats.org/officeDocument/2006/relationships/diagramLayout" Target="diagrams/layout19.xml"/><Relationship Id="rId164" Type="http://schemas.openxmlformats.org/officeDocument/2006/relationships/diagramQuickStyle" Target="diagrams/quickStyle22.xml"/><Relationship Id="rId169" Type="http://schemas.openxmlformats.org/officeDocument/2006/relationships/diagramQuickStyle" Target="diagrams/quickStyle23.xml"/><Relationship Id="rId185" Type="http://schemas.openxmlformats.org/officeDocument/2006/relationships/diagramColors" Target="diagrams/colors26.xml"/><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diagramColors" Target="diagrams/colors25.xml"/><Relationship Id="rId210" Type="http://schemas.openxmlformats.org/officeDocument/2006/relationships/hyperlink" Target="http://www.partnerskadohoda.gov.sk" TargetMode="External"/><Relationship Id="rId215" Type="http://schemas.openxmlformats.org/officeDocument/2006/relationships/image" Target="media/image7.jpeg"/><Relationship Id="rId26" Type="http://schemas.openxmlformats.org/officeDocument/2006/relationships/hyperlink" Target="mailto:vzdelavanieakesif@vlada.gov.sk" TargetMode="External"/><Relationship Id="rId231" Type="http://schemas.openxmlformats.org/officeDocument/2006/relationships/fontTable" Target="fontTable.xml"/><Relationship Id="rId47" Type="http://schemas.openxmlformats.org/officeDocument/2006/relationships/hyperlink" Target="https://esluzby.genpro.gov.sk/zoznam-odsudenych-pravnickych-osob" TargetMode="External"/><Relationship Id="rId68" Type="http://schemas.microsoft.com/office/2007/relationships/diagramDrawing" Target="diagrams/drawing4.xml"/><Relationship Id="rId89" Type="http://schemas.openxmlformats.org/officeDocument/2006/relationships/diagramLayout" Target="diagrams/layout8.xml"/><Relationship Id="rId112" Type="http://schemas.openxmlformats.org/officeDocument/2006/relationships/diagramQuickStyle" Target="diagrams/quickStyle12.xml"/><Relationship Id="rId133" Type="http://schemas.openxmlformats.org/officeDocument/2006/relationships/diagramLayout" Target="diagrams/layout16.xml"/><Relationship Id="rId154" Type="http://schemas.openxmlformats.org/officeDocument/2006/relationships/diagramQuickStyle" Target="diagrams/quickStyle20.xml"/><Relationship Id="rId175" Type="http://schemas.openxmlformats.org/officeDocument/2006/relationships/diagramColors" Target="diagrams/colors24.xml"/><Relationship Id="rId196" Type="http://schemas.openxmlformats.org/officeDocument/2006/relationships/diagramColors" Target="diagrams/colors28.xml"/><Relationship Id="rId200" Type="http://schemas.openxmlformats.org/officeDocument/2006/relationships/diagramQuickStyle" Target="diagrams/quickStyle29.xml"/><Relationship Id="rId16" Type="http://schemas.openxmlformats.org/officeDocument/2006/relationships/hyperlink" Target="mailto:manualy@mfsr.sk" TargetMode="External"/><Relationship Id="rId221" Type="http://schemas.openxmlformats.org/officeDocument/2006/relationships/hyperlink" Target="http://www.partnerskadohoda.gov.sk" TargetMode="External"/><Relationship Id="rId37" Type="http://schemas.openxmlformats.org/officeDocument/2006/relationships/hyperlink" Target="mailto:nezrovnalosti@vlada.gov.sk" TargetMode="External"/><Relationship Id="rId58" Type="http://schemas.microsoft.com/office/2007/relationships/diagramDrawing" Target="diagrams/drawing2.xml"/><Relationship Id="rId79" Type="http://schemas.openxmlformats.org/officeDocument/2006/relationships/diagramLayout" Target="diagrams/layout6.xml"/><Relationship Id="rId102" Type="http://schemas.openxmlformats.org/officeDocument/2006/relationships/diagramQuickStyle" Target="diagrams/quickStyle10.xml"/><Relationship Id="rId123" Type="http://schemas.openxmlformats.org/officeDocument/2006/relationships/diagramLayout" Target="diagrams/layout14.xml"/><Relationship Id="rId144" Type="http://schemas.openxmlformats.org/officeDocument/2006/relationships/diagramQuickStyle" Target="diagrams/quickStyle18.xml"/><Relationship Id="rId90" Type="http://schemas.openxmlformats.org/officeDocument/2006/relationships/diagramQuickStyle" Target="diagrams/quickStyle8.xml"/><Relationship Id="rId165" Type="http://schemas.openxmlformats.org/officeDocument/2006/relationships/diagramColors" Target="diagrams/colors22.xml"/><Relationship Id="rId186" Type="http://schemas.microsoft.com/office/2007/relationships/diagramDrawing" Target="diagrams/drawing26.xml"/><Relationship Id="rId211" Type="http://schemas.openxmlformats.org/officeDocument/2006/relationships/hyperlink" Target="mailto:co@mfsr.sk" TargetMode="External"/><Relationship Id="rId23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2" Type="http://schemas.openxmlformats.org/officeDocument/2006/relationships/hyperlink" Target="http://www.issai.org/intosai-guidance-for-good-governance-(intosai-gov)/)" TargetMode="External"/><Relationship Id="rId1" Type="http://schemas.openxmlformats.org/officeDocument/2006/relationships/hyperlink" Target="mailto:metodika.cko@vicepremier.gov.sk" TargetMode="External"/></Relationships>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1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1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1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1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1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1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1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1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1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1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2#20">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2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23">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24">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5.xml><?xml version="1.0" encoding="utf-8"?>
<dgm:colorsDef xmlns:dgm="http://schemas.openxmlformats.org/drawingml/2006/diagram" xmlns:a="http://schemas.openxmlformats.org/drawingml/2006/main" uniqueId="urn:microsoft.com/office/officeart/2005/8/colors/accent1_2#25">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6.xml><?xml version="1.0" encoding="utf-8"?>
<dgm:colorsDef xmlns:dgm="http://schemas.openxmlformats.org/drawingml/2006/diagram" xmlns:a="http://schemas.openxmlformats.org/drawingml/2006/main" uniqueId="urn:microsoft.com/office/officeart/2005/8/colors/accent1_2#26">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7.xml><?xml version="1.0" encoding="utf-8"?>
<dgm:colorsDef xmlns:dgm="http://schemas.openxmlformats.org/drawingml/2006/diagram" xmlns:a="http://schemas.openxmlformats.org/drawingml/2006/main" uniqueId="urn:microsoft.com/office/officeart/2005/8/colors/accent1_2#27">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8.xml><?xml version="1.0" encoding="utf-8"?>
<dgm:colorsDef xmlns:dgm="http://schemas.openxmlformats.org/drawingml/2006/diagram" xmlns:a="http://schemas.openxmlformats.org/drawingml/2006/main" uniqueId="urn:microsoft.com/office/officeart/2005/8/colors/accent1_2#28">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9.xml><?xml version="1.0" encoding="utf-8"?>
<dgm:colorsDef xmlns:dgm="http://schemas.openxmlformats.org/drawingml/2006/diagram" xmlns:a="http://schemas.openxmlformats.org/drawingml/2006/main" uniqueId="urn:microsoft.com/office/officeart/2005/8/colors/accent1_2#29">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1"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315D2C94-618B-4210-B648-F8A6CE17534C}" type="presOf" srcId="{BBB45C6A-8EC1-4E09-A0C7-8BA64B0958F8}" destId="{92B9F478-A273-44B2-95C3-B871E0AA16E3}" srcOrd="0" destOrd="0" presId="urn:microsoft.com/office/officeart/2009/3/layout/HorizontalOrganizationChart"/>
    <dgm:cxn modelId="{1B692457-3DAC-4AF4-B79D-F4D0538EE033}" srcId="{BBB45C6A-8EC1-4E09-A0C7-8BA64B0958F8}" destId="{4C421DAB-F378-4E84-A076-6719CD3F090C}" srcOrd="0" destOrd="0" parTransId="{B24A35B9-F7DF-4D95-872E-C088587111D7}" sibTransId="{5D11D4F5-BB56-462A-AA27-B49935B48561}"/>
    <dgm:cxn modelId="{3F19BC1C-1D91-4038-9B48-687DFAF361ED}" type="presOf" srcId="{BBB45C6A-8EC1-4E09-A0C7-8BA64B0958F8}" destId="{3F40B936-6DD5-467B-8576-138A7AB3E434}" srcOrd="1" destOrd="0" presId="urn:microsoft.com/office/officeart/2009/3/layout/HorizontalOrganizationChart"/>
    <dgm:cxn modelId="{10CB5DA1-939C-45D1-B516-FBC595A12C7B}" type="presOf" srcId="{A0D405CF-0C28-49DC-A2A5-4A10A46E8A99}" destId="{61E2F740-6DC3-49BE-989F-9D3FA3A39854}" srcOrd="0"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1C7FBC86-A204-4B07-8AC4-192E3D28AD74}" srcId="{07106E46-CF10-4373-84DE-A080831F1C97}" destId="{76C277F0-9FFB-4B45-9074-0F323CAA5D3F}" srcOrd="1" destOrd="0" parTransId="{10881493-DFA3-4B4B-A16B-40270F323202}" sibTransId="{7F90EDCC-5AE0-483A-8CF5-B57ECE10B27A}"/>
    <dgm:cxn modelId="{A0497938-AC3A-4017-BDC3-63A4FCB50DED}" srcId="{76C277F0-9FFB-4B45-9074-0F323CAA5D3F}" destId="{58753318-5D69-4869-9C50-776DDC017A52}" srcOrd="0" destOrd="0" parTransId="{03803EBE-E249-4798-A667-50B79324A1EE}" sibTransId="{29C950B2-1123-4B5B-B8FE-C873769717E6}"/>
    <dgm:cxn modelId="{3702FAAA-4E28-4F62-BDEF-DC21142D0DF2}" type="presOf" srcId="{07106E46-CF10-4373-84DE-A080831F1C97}" destId="{861E9A1B-B583-4000-AC89-A0FC7900D647}" srcOrd="0" destOrd="0" presId="urn:microsoft.com/office/officeart/2009/3/layout/HorizontalOrganizationChart"/>
    <dgm:cxn modelId="{7078E7F7-8082-4E8F-B1D4-66BF23F401F0}" type="presOf" srcId="{7F824BFE-F7AB-444E-AE61-4814248D9C4C}" destId="{EB7370D6-F505-475E-BF85-916BA7A221FC}" srcOrd="0" destOrd="0" presId="urn:microsoft.com/office/officeart/2009/3/layout/HorizontalOrganizationChart"/>
    <dgm:cxn modelId="{EF48471D-FC25-4ACB-9B48-1CAF9F77466E}" type="presOf" srcId="{F56800B9-6548-4225-8BE9-72CEF90D3020}" destId="{96D5BFB3-3227-4B81-BDA8-167C9538E091}" srcOrd="0" destOrd="0" presId="urn:microsoft.com/office/officeart/2009/3/layout/HorizontalOrganizationChart"/>
    <dgm:cxn modelId="{1C84CB08-1F56-4B0E-95A8-95468E4E6E24}" type="presOf" srcId="{CBEBA214-EC9D-4ED0-8B0E-4B3A82CB434C}" destId="{A03EF697-6B68-4587-B7F0-C9F50D5A4E46}" srcOrd="0" destOrd="0" presId="urn:microsoft.com/office/officeart/2009/3/layout/HorizontalOrganizationChart"/>
    <dgm:cxn modelId="{3B1BE0EE-4D03-4E4F-9727-780F9A087ADC}" type="presOf" srcId="{4C421DAB-F378-4E84-A076-6719CD3F090C}" destId="{E3A6A88A-FB48-48F2-9C16-B099F9B497E8}" srcOrd="1" destOrd="0" presId="urn:microsoft.com/office/officeart/2009/3/layout/HorizontalOrganizationChart"/>
    <dgm:cxn modelId="{F0A3BE72-3C77-4127-8D59-0D0453D1051F}" type="presOf" srcId="{44D41CEF-2B74-4AAC-B3D5-1A851ABAB93C}" destId="{782B4C27-3B83-40C7-9673-529FF38A42BC}" srcOrd="1" destOrd="0" presId="urn:microsoft.com/office/officeart/2009/3/layout/HorizontalOrganizationChart"/>
    <dgm:cxn modelId="{8DE7CB44-1B45-4170-819C-B0EBF4A3268F}" type="presOf" srcId="{76C277F0-9FFB-4B45-9074-0F323CAA5D3F}" destId="{2C291429-B4A2-48CB-B4CE-C7AA9CC450E2}" srcOrd="0" destOrd="0" presId="urn:microsoft.com/office/officeart/2009/3/layout/HorizontalOrganizationChart"/>
    <dgm:cxn modelId="{2D3D4160-2071-4410-A1B1-6B5ACB8C008B}" type="presOf" srcId="{52730742-B27D-4064-9995-450D13D8A1F1}" destId="{1B219043-7F54-4BD6-ABA2-CB85048D7527}" srcOrd="0" destOrd="0" presId="urn:microsoft.com/office/officeart/2009/3/layout/HorizontalOrganizationChart"/>
    <dgm:cxn modelId="{793B34BA-A07A-4E6A-AF6A-56112F829DE6}" type="presOf" srcId="{4C421DAB-F378-4E84-A076-6719CD3F090C}" destId="{E15DD13E-4644-4575-8E0E-83BAFE252B05}" srcOrd="0" destOrd="0" presId="urn:microsoft.com/office/officeart/2009/3/layout/HorizontalOrganizationChart"/>
    <dgm:cxn modelId="{E4886A11-1E83-4E88-AEF9-B2D065922A58}" type="presOf" srcId="{52730742-B27D-4064-9995-450D13D8A1F1}" destId="{9138A551-D724-49E0-822F-AB139F10F391}" srcOrd="1" destOrd="0" presId="urn:microsoft.com/office/officeart/2009/3/layout/HorizontalOrganizationChart"/>
    <dgm:cxn modelId="{C1336846-B8AB-460D-81EA-507DF2F510E5}" type="presOf" srcId="{44D41CEF-2B74-4AAC-B3D5-1A851ABAB93C}" destId="{47E79CE5-8FD2-4FA9-816E-8BE3C3CB8C1F}" srcOrd="0" destOrd="0" presId="urn:microsoft.com/office/officeart/2009/3/layout/HorizontalOrganizationChart"/>
    <dgm:cxn modelId="{B4BCC7EB-03AB-4971-B44D-A49CA10E75A3}" type="presOf" srcId="{B24A35B9-F7DF-4D95-872E-C088587111D7}" destId="{F1775511-82A1-436A-8D11-F223D96BCF7E}" srcOrd="0" destOrd="0" presId="urn:microsoft.com/office/officeart/2009/3/layout/HorizontalOrganizationChart"/>
    <dgm:cxn modelId="{FC836554-4E79-4FA2-8F79-D07B725EFC86}" type="presOf" srcId="{07106E46-CF10-4373-84DE-A080831F1C97}" destId="{89173A0E-C908-4987-ACB4-A6362387DD03}" srcOrd="1"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7432523D-0AA8-42A8-B1A7-C617DFD01F1A}" type="presOf" srcId="{8C14836A-B23E-485B-8E02-C79757A9BCD5}" destId="{8FCB4014-7528-4015-9E3F-3D7D81EF8992}" srcOrd="0" destOrd="0" presId="urn:microsoft.com/office/officeart/2009/3/layout/HorizontalOrganizationChart"/>
    <dgm:cxn modelId="{FBF8BB44-D2C3-4C4E-8199-1E4B0AEF4D17}" srcId="{07106E46-CF10-4373-84DE-A080831F1C97}" destId="{BBB45C6A-8EC1-4E09-A0C7-8BA64B0958F8}" srcOrd="2" destOrd="0" parTransId="{A0D405CF-0C28-49DC-A2A5-4A10A46E8A99}" sibTransId="{8B1DE66D-5EE0-4102-8C11-B59A8E9D8E9B}"/>
    <dgm:cxn modelId="{665D6C86-A1BC-408C-9387-7A5FD2470819}" type="presOf" srcId="{58753318-5D69-4869-9C50-776DDC017A52}" destId="{E8D16A6E-EF19-41A7-91CA-B17A8164C79C}" srcOrd="1" destOrd="0" presId="urn:microsoft.com/office/officeart/2009/3/layout/HorizontalOrganizationChart"/>
    <dgm:cxn modelId="{98A5E870-97A2-438A-B153-4E6BAC20C962}" type="presOf" srcId="{76C277F0-9FFB-4B45-9074-0F323CAA5D3F}" destId="{572C67A3-4BA5-4255-8333-6341B9DA8DF5}" srcOrd="1" destOrd="0" presId="urn:microsoft.com/office/officeart/2009/3/layout/HorizontalOrganizationChart"/>
    <dgm:cxn modelId="{F40BF428-1E54-4B04-B8A6-E7A808EDC91F}" type="presOf" srcId="{3317D760-98A1-4400-A73C-D1825E236597}" destId="{2AB52EE8-E7F5-4BCA-A0C7-3AC7084008AA}" srcOrd="0"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EB1D072B-155C-4FD0-B2E5-F10EE1F6237E}" type="presOf" srcId="{58753318-5D69-4869-9C50-776DDC017A52}" destId="{518E6223-63A9-47A0-B1D7-ADA4E46FABCE}" srcOrd="0" destOrd="0" presId="urn:microsoft.com/office/officeart/2009/3/layout/HorizontalOrganizationChart"/>
    <dgm:cxn modelId="{F36F51F1-185A-4DF1-B732-483FD58C4DF2}" type="presOf" srcId="{7F824BFE-F7AB-444E-AE61-4814248D9C4C}" destId="{8A3BC063-3891-40C5-A74A-8252DC9B96D6}" srcOrd="1" destOrd="0" presId="urn:microsoft.com/office/officeart/2009/3/layout/HorizontalOrganizationChart"/>
    <dgm:cxn modelId="{E964E1EB-C764-480C-BB3C-6EB25D1B30CB}" type="presOf" srcId="{03803EBE-E249-4798-A667-50B79324A1EE}" destId="{C48ED990-2A7E-495A-B5CA-18D7E533B122}" srcOrd="0" destOrd="0" presId="urn:microsoft.com/office/officeart/2009/3/layout/HorizontalOrganizationChart"/>
    <dgm:cxn modelId="{7829ABA5-973E-4C87-9AD8-F5052C63AE15}" type="presOf" srcId="{10881493-DFA3-4B4B-A16B-40270F323202}" destId="{368B2D5E-FEF2-437A-8A3A-2F30118FDEB0}" srcOrd="0"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366E8CCC-7191-4688-8008-EEF8D3EBF400}" type="presParOf" srcId="{96D5BFB3-3227-4B81-BDA8-167C9538E091}" destId="{9F3836F3-24E3-4F04-BBC1-920D6EAAFCE5}" srcOrd="0" destOrd="0" presId="urn:microsoft.com/office/officeart/2009/3/layout/HorizontalOrganizationChart"/>
    <dgm:cxn modelId="{44B597DC-7F33-4F7E-BA3E-855C3802DE89}" type="presParOf" srcId="{9F3836F3-24E3-4F04-BBC1-920D6EAAFCE5}" destId="{61743F89-CA42-4B6F-B3DE-340F5E1A524B}" srcOrd="0" destOrd="0" presId="urn:microsoft.com/office/officeart/2009/3/layout/HorizontalOrganizationChart"/>
    <dgm:cxn modelId="{B00B143F-9667-4EAC-980D-037553C8AFA2}" type="presParOf" srcId="{61743F89-CA42-4B6F-B3DE-340F5E1A524B}" destId="{861E9A1B-B583-4000-AC89-A0FC7900D647}" srcOrd="0" destOrd="0" presId="urn:microsoft.com/office/officeart/2009/3/layout/HorizontalOrganizationChart"/>
    <dgm:cxn modelId="{C9C47C66-46D0-4726-A014-C22A69D9BD84}" type="presParOf" srcId="{61743F89-CA42-4B6F-B3DE-340F5E1A524B}" destId="{89173A0E-C908-4987-ACB4-A6362387DD03}" srcOrd="1" destOrd="0" presId="urn:microsoft.com/office/officeart/2009/3/layout/HorizontalOrganizationChart"/>
    <dgm:cxn modelId="{C9FBA461-482E-4E84-8B95-5C658EBD8E13}" type="presParOf" srcId="{9F3836F3-24E3-4F04-BBC1-920D6EAAFCE5}" destId="{B9016346-7D65-4D72-AEDE-154CB5E57985}" srcOrd="1" destOrd="0" presId="urn:microsoft.com/office/officeart/2009/3/layout/HorizontalOrganizationChart"/>
    <dgm:cxn modelId="{EED9D85C-B398-4F47-AB84-06785BF5FB05}" type="presParOf" srcId="{B9016346-7D65-4D72-AEDE-154CB5E57985}" destId="{368B2D5E-FEF2-437A-8A3A-2F30118FDEB0}" srcOrd="0" destOrd="0" presId="urn:microsoft.com/office/officeart/2009/3/layout/HorizontalOrganizationChart"/>
    <dgm:cxn modelId="{2624F990-CC37-4F94-A4FF-4C1DC30BDCDB}" type="presParOf" srcId="{B9016346-7D65-4D72-AEDE-154CB5E57985}" destId="{A4E87D52-F7A1-4074-99AD-04A1E1D0EFF0}" srcOrd="1" destOrd="0" presId="urn:microsoft.com/office/officeart/2009/3/layout/HorizontalOrganizationChart"/>
    <dgm:cxn modelId="{355961D5-99F2-4F1B-A3A3-5DB930EF7DA6}" type="presParOf" srcId="{A4E87D52-F7A1-4074-99AD-04A1E1D0EFF0}" destId="{F928EB51-D1F5-401F-A6A6-AF452F36FEC7}" srcOrd="0" destOrd="0" presId="urn:microsoft.com/office/officeart/2009/3/layout/HorizontalOrganizationChart"/>
    <dgm:cxn modelId="{13C61A27-EDA1-4E22-B724-E9EDF2817B58}" type="presParOf" srcId="{F928EB51-D1F5-401F-A6A6-AF452F36FEC7}" destId="{2C291429-B4A2-48CB-B4CE-C7AA9CC450E2}" srcOrd="0" destOrd="0" presId="urn:microsoft.com/office/officeart/2009/3/layout/HorizontalOrganizationChart"/>
    <dgm:cxn modelId="{3788F17D-43D7-44E8-8A0B-2D6D79136292}" type="presParOf" srcId="{F928EB51-D1F5-401F-A6A6-AF452F36FEC7}" destId="{572C67A3-4BA5-4255-8333-6341B9DA8DF5}" srcOrd="1" destOrd="0" presId="urn:microsoft.com/office/officeart/2009/3/layout/HorizontalOrganizationChart"/>
    <dgm:cxn modelId="{64E942E5-6E13-4C01-94AC-17450045B3A6}" type="presParOf" srcId="{A4E87D52-F7A1-4074-99AD-04A1E1D0EFF0}" destId="{43D60AB4-061F-4ABE-B055-FCEDE4FA33A1}" srcOrd="1" destOrd="0" presId="urn:microsoft.com/office/officeart/2009/3/layout/HorizontalOrganizationChart"/>
    <dgm:cxn modelId="{5CFF256C-CA41-4810-ADA6-483CA4F00443}" type="presParOf" srcId="{A4E87D52-F7A1-4074-99AD-04A1E1D0EFF0}" destId="{5EA4B4F8-6F77-4E0E-9CD1-FF2A76E1FBF4}" srcOrd="2" destOrd="0" presId="urn:microsoft.com/office/officeart/2009/3/layout/HorizontalOrganizationChart"/>
    <dgm:cxn modelId="{8624F29C-A330-4712-A2B9-E8E68ABF8018}" type="presParOf" srcId="{5EA4B4F8-6F77-4E0E-9CD1-FF2A76E1FBF4}" destId="{C48ED990-2A7E-495A-B5CA-18D7E533B122}" srcOrd="0" destOrd="0" presId="urn:microsoft.com/office/officeart/2009/3/layout/HorizontalOrganizationChart"/>
    <dgm:cxn modelId="{7A77979F-CA79-4AEB-A41B-0DB61E995DF0}" type="presParOf" srcId="{5EA4B4F8-6F77-4E0E-9CD1-FF2A76E1FBF4}" destId="{0BF1B152-CF7A-48CD-876B-314E8664DDD8}" srcOrd="1" destOrd="0" presId="urn:microsoft.com/office/officeart/2009/3/layout/HorizontalOrganizationChart"/>
    <dgm:cxn modelId="{01D06D6A-84FD-4056-AE4A-4246010E259B}" type="presParOf" srcId="{0BF1B152-CF7A-48CD-876B-314E8664DDD8}" destId="{40813B67-13B9-43C5-83C2-F72386A26860}" srcOrd="0" destOrd="0" presId="urn:microsoft.com/office/officeart/2009/3/layout/HorizontalOrganizationChart"/>
    <dgm:cxn modelId="{F4C83898-D32F-4A88-BC1A-70E7355F171C}" type="presParOf" srcId="{40813B67-13B9-43C5-83C2-F72386A26860}" destId="{518E6223-63A9-47A0-B1D7-ADA4E46FABCE}" srcOrd="0" destOrd="0" presId="urn:microsoft.com/office/officeart/2009/3/layout/HorizontalOrganizationChart"/>
    <dgm:cxn modelId="{A261697F-D4BB-48AD-A4F5-D728BC58EC76}" type="presParOf" srcId="{40813B67-13B9-43C5-83C2-F72386A26860}" destId="{E8D16A6E-EF19-41A7-91CA-B17A8164C79C}" srcOrd="1" destOrd="0" presId="urn:microsoft.com/office/officeart/2009/3/layout/HorizontalOrganizationChart"/>
    <dgm:cxn modelId="{8A62C6C5-DE63-4953-BA2C-8666241693CD}" type="presParOf" srcId="{0BF1B152-CF7A-48CD-876B-314E8664DDD8}" destId="{0AE474D5-CF09-4493-9ABD-3A4AA874A2AC}" srcOrd="1" destOrd="0" presId="urn:microsoft.com/office/officeart/2009/3/layout/HorizontalOrganizationChart"/>
    <dgm:cxn modelId="{905074D1-A432-40A0-AE66-45ABACC315FB}" type="presParOf" srcId="{0BF1B152-CF7A-48CD-876B-314E8664DDD8}" destId="{B42BA6A2-6FF3-4262-8C7B-285FBE5C7248}" srcOrd="2" destOrd="0" presId="urn:microsoft.com/office/officeart/2009/3/layout/HorizontalOrganizationChart"/>
    <dgm:cxn modelId="{68513210-4B64-482F-9AA0-2D9CD0AA0014}" type="presParOf" srcId="{B9016346-7D65-4D72-AEDE-154CB5E57985}" destId="{61E2F740-6DC3-49BE-989F-9D3FA3A39854}" srcOrd="2" destOrd="0" presId="urn:microsoft.com/office/officeart/2009/3/layout/HorizontalOrganizationChart"/>
    <dgm:cxn modelId="{4D649361-1FE8-46C6-9EFB-1CE1F7EE977A}" type="presParOf" srcId="{B9016346-7D65-4D72-AEDE-154CB5E57985}" destId="{F31114F1-5CEC-4FB7-BA67-2BE01781753F}" srcOrd="3" destOrd="0" presId="urn:microsoft.com/office/officeart/2009/3/layout/HorizontalOrganizationChart"/>
    <dgm:cxn modelId="{BEA2F2F3-4BB8-4176-8717-1A78301E96CA}" type="presParOf" srcId="{F31114F1-5CEC-4FB7-BA67-2BE01781753F}" destId="{6E0BB13F-7693-46D1-ABA0-29D9287E2527}" srcOrd="0" destOrd="0" presId="urn:microsoft.com/office/officeart/2009/3/layout/HorizontalOrganizationChart"/>
    <dgm:cxn modelId="{8CB43F92-5D24-4B26-ADF6-F3F834030E70}" type="presParOf" srcId="{6E0BB13F-7693-46D1-ABA0-29D9287E2527}" destId="{92B9F478-A273-44B2-95C3-B871E0AA16E3}" srcOrd="0" destOrd="0" presId="urn:microsoft.com/office/officeart/2009/3/layout/HorizontalOrganizationChart"/>
    <dgm:cxn modelId="{484AF206-C807-45B2-879B-61BD11567489}" type="presParOf" srcId="{6E0BB13F-7693-46D1-ABA0-29D9287E2527}" destId="{3F40B936-6DD5-467B-8576-138A7AB3E434}" srcOrd="1" destOrd="0" presId="urn:microsoft.com/office/officeart/2009/3/layout/HorizontalOrganizationChart"/>
    <dgm:cxn modelId="{EBE04424-4B32-4F88-80F9-6B3F7A590B8C}" type="presParOf" srcId="{F31114F1-5CEC-4FB7-BA67-2BE01781753F}" destId="{84E21AAA-54A2-4C2C-A9C2-516DD802FF3D}" srcOrd="1" destOrd="0" presId="urn:microsoft.com/office/officeart/2009/3/layout/HorizontalOrganizationChart"/>
    <dgm:cxn modelId="{BBDCC9C7-5180-4894-B147-8ED500F06E71}" type="presParOf" srcId="{F31114F1-5CEC-4FB7-BA67-2BE01781753F}" destId="{2A3B1471-2477-4968-B14C-A57CF236EDB3}" srcOrd="2" destOrd="0" presId="urn:microsoft.com/office/officeart/2009/3/layout/HorizontalOrganizationChart"/>
    <dgm:cxn modelId="{5189836B-0750-4A0E-BF78-AAB802120B15}" type="presParOf" srcId="{2A3B1471-2477-4968-B14C-A57CF236EDB3}" destId="{F1775511-82A1-436A-8D11-F223D96BCF7E}" srcOrd="0" destOrd="0" presId="urn:microsoft.com/office/officeart/2009/3/layout/HorizontalOrganizationChart"/>
    <dgm:cxn modelId="{20A603E1-85D0-4A2D-A30F-D041ACC7A9E7}" type="presParOf" srcId="{2A3B1471-2477-4968-B14C-A57CF236EDB3}" destId="{C2CC4E8A-A86F-4816-9998-740E4C2B5DC4}" srcOrd="1" destOrd="0" presId="urn:microsoft.com/office/officeart/2009/3/layout/HorizontalOrganizationChart"/>
    <dgm:cxn modelId="{6EB64F8A-6461-4BA0-93C6-D4196C364345}" type="presParOf" srcId="{C2CC4E8A-A86F-4816-9998-740E4C2B5DC4}" destId="{C1CD301C-B4BE-4D65-9CC6-F44AF165235C}" srcOrd="0" destOrd="0" presId="urn:microsoft.com/office/officeart/2009/3/layout/HorizontalOrganizationChart"/>
    <dgm:cxn modelId="{EC9277BF-0D71-43CC-A0A0-6696DE558181}" type="presParOf" srcId="{C1CD301C-B4BE-4D65-9CC6-F44AF165235C}" destId="{E15DD13E-4644-4575-8E0E-83BAFE252B05}" srcOrd="0" destOrd="0" presId="urn:microsoft.com/office/officeart/2009/3/layout/HorizontalOrganizationChart"/>
    <dgm:cxn modelId="{EBA70605-2D9A-455E-8475-C2B14A8C59AE}" type="presParOf" srcId="{C1CD301C-B4BE-4D65-9CC6-F44AF165235C}" destId="{E3A6A88A-FB48-48F2-9C16-B099F9B497E8}" srcOrd="1" destOrd="0" presId="urn:microsoft.com/office/officeart/2009/3/layout/HorizontalOrganizationChart"/>
    <dgm:cxn modelId="{A6DD02C9-EBCA-4649-9B51-FF489CDDBF3D}" type="presParOf" srcId="{C2CC4E8A-A86F-4816-9998-740E4C2B5DC4}" destId="{823EB332-6EB8-4DD6-AF7D-678DC040B1ED}" srcOrd="1" destOrd="0" presId="urn:microsoft.com/office/officeart/2009/3/layout/HorizontalOrganizationChart"/>
    <dgm:cxn modelId="{CCA00F0D-B8BA-4D7B-972E-0C1A78506D54}" type="presParOf" srcId="{C2CC4E8A-A86F-4816-9998-740E4C2B5DC4}" destId="{C8A3A8D0-D004-49D3-B0E2-4CF897B92989}" srcOrd="2" destOrd="0" presId="urn:microsoft.com/office/officeart/2009/3/layout/HorizontalOrganizationChart"/>
    <dgm:cxn modelId="{18CD8E5A-990F-4289-AA53-BDAB9FBA2326}" type="presParOf" srcId="{B9016346-7D65-4D72-AEDE-154CB5E57985}" destId="{A03EF697-6B68-4587-B7F0-C9F50D5A4E46}" srcOrd="4" destOrd="0" presId="urn:microsoft.com/office/officeart/2009/3/layout/HorizontalOrganizationChart"/>
    <dgm:cxn modelId="{B65C1376-CDA0-4E6B-A395-EACCCD7594C4}" type="presParOf" srcId="{B9016346-7D65-4D72-AEDE-154CB5E57985}" destId="{574317F6-A793-49B3-8A72-FC4CCCE087A4}" srcOrd="5" destOrd="0" presId="urn:microsoft.com/office/officeart/2009/3/layout/HorizontalOrganizationChart"/>
    <dgm:cxn modelId="{8CDF9AD9-6E2D-4A91-BD29-907F48C19F86}" type="presParOf" srcId="{574317F6-A793-49B3-8A72-FC4CCCE087A4}" destId="{B6F0084A-5816-4B5F-9091-5DF1BB242A2D}" srcOrd="0" destOrd="0" presId="urn:microsoft.com/office/officeart/2009/3/layout/HorizontalOrganizationChart"/>
    <dgm:cxn modelId="{6B9258AC-1AA3-4997-8912-F9B686771472}" type="presParOf" srcId="{B6F0084A-5816-4B5F-9091-5DF1BB242A2D}" destId="{EB7370D6-F505-475E-BF85-916BA7A221FC}" srcOrd="0" destOrd="0" presId="urn:microsoft.com/office/officeart/2009/3/layout/HorizontalOrganizationChart"/>
    <dgm:cxn modelId="{202B8C08-E837-49BE-AA12-59C8B7D85856}" type="presParOf" srcId="{B6F0084A-5816-4B5F-9091-5DF1BB242A2D}" destId="{8A3BC063-3891-40C5-A74A-8252DC9B96D6}" srcOrd="1" destOrd="0" presId="urn:microsoft.com/office/officeart/2009/3/layout/HorizontalOrganizationChart"/>
    <dgm:cxn modelId="{9517A884-37CD-4529-B58E-C47ECB91CC6B}" type="presParOf" srcId="{574317F6-A793-49B3-8A72-FC4CCCE087A4}" destId="{814F2E7F-5C37-4EBB-ACD0-0C1E0789DB80}" srcOrd="1" destOrd="0" presId="urn:microsoft.com/office/officeart/2009/3/layout/HorizontalOrganizationChart"/>
    <dgm:cxn modelId="{E81BEF43-CDF3-43AF-94F6-EAB322D07F8B}" type="presParOf" srcId="{574317F6-A793-49B3-8A72-FC4CCCE087A4}" destId="{4F327694-395D-4990-9275-547BC5CEAFDF}" srcOrd="2" destOrd="0" presId="urn:microsoft.com/office/officeart/2009/3/layout/HorizontalOrganizationChart"/>
    <dgm:cxn modelId="{FAAD99B4-13C0-4F97-AF31-D2810D254D04}" type="presParOf" srcId="{4F327694-395D-4990-9275-547BC5CEAFDF}" destId="{8FCB4014-7528-4015-9E3F-3D7D81EF8992}" srcOrd="0" destOrd="0" presId="urn:microsoft.com/office/officeart/2009/3/layout/HorizontalOrganizationChart"/>
    <dgm:cxn modelId="{C5267700-2715-4CF4-9B9F-A973A008E218}" type="presParOf" srcId="{4F327694-395D-4990-9275-547BC5CEAFDF}" destId="{427F4C63-85D0-4FA5-963C-7A2039A4D5F5}" srcOrd="1" destOrd="0" presId="urn:microsoft.com/office/officeart/2009/3/layout/HorizontalOrganizationChart"/>
    <dgm:cxn modelId="{3888290E-08EE-46E9-A052-A10548684263}" type="presParOf" srcId="{427F4C63-85D0-4FA5-963C-7A2039A4D5F5}" destId="{10BF0147-18AD-4E77-9C48-0F1AAE179761}" srcOrd="0" destOrd="0" presId="urn:microsoft.com/office/officeart/2009/3/layout/HorizontalOrganizationChart"/>
    <dgm:cxn modelId="{95D928CA-6785-4F45-B954-EAF48FFEED66}" type="presParOf" srcId="{10BF0147-18AD-4E77-9C48-0F1AAE179761}" destId="{47E79CE5-8FD2-4FA9-816E-8BE3C3CB8C1F}" srcOrd="0" destOrd="0" presId="urn:microsoft.com/office/officeart/2009/3/layout/HorizontalOrganizationChart"/>
    <dgm:cxn modelId="{1CDC673C-2745-4F41-92FE-7608A02709A4}" type="presParOf" srcId="{10BF0147-18AD-4E77-9C48-0F1AAE179761}" destId="{782B4C27-3B83-40C7-9673-529FF38A42BC}" srcOrd="1" destOrd="0" presId="urn:microsoft.com/office/officeart/2009/3/layout/HorizontalOrganizationChart"/>
    <dgm:cxn modelId="{F40BA8FF-1423-47B4-A304-AA2E4D4343D6}" type="presParOf" srcId="{427F4C63-85D0-4FA5-963C-7A2039A4D5F5}" destId="{5F8B0BB3-7BEC-4B78-863B-7B815626F4B6}" srcOrd="1" destOrd="0" presId="urn:microsoft.com/office/officeart/2009/3/layout/HorizontalOrganizationChart"/>
    <dgm:cxn modelId="{B903B708-740B-4B72-91E8-E94DD3B9E22E}" type="presParOf" srcId="{427F4C63-85D0-4FA5-963C-7A2039A4D5F5}" destId="{E83E5EEF-C56F-4B8D-8461-49B4770741D4}" srcOrd="2" destOrd="0" presId="urn:microsoft.com/office/officeart/2009/3/layout/HorizontalOrganizationChart"/>
    <dgm:cxn modelId="{AB59E244-B962-46E7-BA8F-82FB1F0223CC}" type="presParOf" srcId="{9F3836F3-24E3-4F04-BBC1-920D6EAAFCE5}" destId="{3C6C28F0-7D04-43A8-BC4C-AAD01DF58E2D}" srcOrd="2" destOrd="0" presId="urn:microsoft.com/office/officeart/2009/3/layout/HorizontalOrganizationChart"/>
    <dgm:cxn modelId="{61166833-5DBA-44F7-B414-3241DE800A9A}" type="presParOf" srcId="{3C6C28F0-7D04-43A8-BC4C-AAD01DF58E2D}" destId="{2AB52EE8-E7F5-4BCA-A0C7-3AC7084008AA}" srcOrd="0" destOrd="0" presId="urn:microsoft.com/office/officeart/2009/3/layout/HorizontalOrganizationChart"/>
    <dgm:cxn modelId="{9F7FB34A-093D-4054-8A78-DAFA95CCE2A6}" type="presParOf" srcId="{3C6C28F0-7D04-43A8-BC4C-AAD01DF58E2D}" destId="{4AB5E972-125E-4E29-A6FF-C44BCB761875}" srcOrd="1" destOrd="0" presId="urn:microsoft.com/office/officeart/2009/3/layout/HorizontalOrganizationChart"/>
    <dgm:cxn modelId="{59E0BCB8-A42F-4608-8603-4C5A068E453F}" type="presParOf" srcId="{4AB5E972-125E-4E29-A6FF-C44BCB761875}" destId="{C8B0A8E4-8E27-4F22-B594-C3200E781C00}" srcOrd="0" destOrd="0" presId="urn:microsoft.com/office/officeart/2009/3/layout/HorizontalOrganizationChart"/>
    <dgm:cxn modelId="{F47B622C-4322-4A99-A9DE-4631C71A8977}" type="presParOf" srcId="{C8B0A8E4-8E27-4F22-B594-C3200E781C00}" destId="{1B219043-7F54-4BD6-ABA2-CB85048D7527}" srcOrd="0" destOrd="0" presId="urn:microsoft.com/office/officeart/2009/3/layout/HorizontalOrganizationChart"/>
    <dgm:cxn modelId="{30595BF7-7834-4693-B610-C9C7D1597BEB}" type="presParOf" srcId="{C8B0A8E4-8E27-4F22-B594-C3200E781C00}" destId="{9138A551-D724-49E0-822F-AB139F10F391}" srcOrd="1" destOrd="0" presId="urn:microsoft.com/office/officeart/2009/3/layout/HorizontalOrganizationChart"/>
    <dgm:cxn modelId="{EE454968-C44D-48CA-AA40-FCD7578A7345}" type="presParOf" srcId="{4AB5E972-125E-4E29-A6FF-C44BCB761875}" destId="{F6CCBAB7-720F-4918-967E-E9A45EDE2F7D}" srcOrd="1" destOrd="0" presId="urn:microsoft.com/office/officeart/2009/3/layout/HorizontalOrganizationChart"/>
    <dgm:cxn modelId="{6067B2FC-448C-4BE6-BD39-D80A00952735}"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53"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4CDC2BEC-ACCC-4566-8375-A068EE4D213A}" type="presOf" srcId="{C3D1F7DF-4736-4450-8337-C9045E34D776}" destId="{ABB312BA-252B-4E73-AB6E-0AD0CDF209CF}" srcOrd="0" destOrd="0" presId="urn:microsoft.com/office/officeart/2005/8/layout/hierarchy3"/>
    <dgm:cxn modelId="{C8E6548E-54E0-4F08-9602-0D0F81A8DA99}" srcId="{61FBD959-CAD2-4A73-AD5D-3CAA4CDABF82}" destId="{B80926DC-B062-46B1-93B3-4E855FF3CE05}" srcOrd="0" destOrd="0" parTransId="{E879125A-7A3F-4677-8F0C-68076362C0F7}" sibTransId="{B47948B1-EC90-4775-9CB4-26A9C9C7F8DF}"/>
    <dgm:cxn modelId="{16E8271C-5DC1-4C9F-A010-BF53D001D30F}" type="presOf" srcId="{7BDB8F31-6C7F-4493-BBB4-478C8A125762}" destId="{C706CA6A-6667-41F6-A8B1-D37E58DB24A2}" srcOrd="1" destOrd="0" presId="urn:microsoft.com/office/officeart/2005/8/layout/hierarchy3"/>
    <dgm:cxn modelId="{7F6E8302-F2E5-4531-9C52-2614DF08EFBC}" type="presOf" srcId="{582157BE-668A-43AA-906C-E8A6CB0AD300}" destId="{086A8BE0-365B-4D55-8C59-80AC4A1A9303}" srcOrd="0" destOrd="0" presId="urn:microsoft.com/office/officeart/2005/8/layout/hierarchy3"/>
    <dgm:cxn modelId="{27ACA554-14AA-40AA-BAF1-D07F17E87934}" type="presOf" srcId="{8DD36C0E-4E16-42C3-8054-4E24B0906126}" destId="{534C199A-9BD0-41D2-A21A-01D939A132C7}" srcOrd="0" destOrd="0" presId="urn:microsoft.com/office/officeart/2005/8/layout/hierarchy3"/>
    <dgm:cxn modelId="{DC42F967-1BE3-4737-87C9-2E2B703AACBE}" type="presOf" srcId="{7BDB8F31-6C7F-4493-BBB4-478C8A125762}" destId="{EFC86F11-4236-4CC8-9521-3CD024E443A0}" srcOrd="0" destOrd="0" presId="urn:microsoft.com/office/officeart/2005/8/layout/hierarchy3"/>
    <dgm:cxn modelId="{193F681A-FE9A-443D-BE42-5DA184DD6B76}" type="presOf" srcId="{E879125A-7A3F-4677-8F0C-68076362C0F7}" destId="{07E12C06-DF4C-4847-A365-0DA62AF9B97B}" srcOrd="0" destOrd="0" presId="urn:microsoft.com/office/officeart/2005/8/layout/hierarchy3"/>
    <dgm:cxn modelId="{EC8E7943-A801-47B5-8D34-D478DBC0B940}" type="presOf" srcId="{4F111263-FD73-435E-AE59-5D402187AB5D}" destId="{9C5243F3-3BD2-448D-9FEC-175D5DE5FB95}" srcOrd="0" destOrd="0" presId="urn:microsoft.com/office/officeart/2005/8/layout/hierarchy3"/>
    <dgm:cxn modelId="{677E8CC9-B1F9-4E8B-9602-2B556BD8900B}" type="presOf" srcId="{CEB97AF8-66E8-4BE9-8715-EEB0A187A476}" destId="{0F43FBEE-DF29-447C-B990-CDA7C4C2CE5C}" srcOrd="0"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4BFF225A-F99C-479C-89D4-15A58774AE64}" srcId="{61FBD959-CAD2-4A73-AD5D-3CAA4CDABF82}" destId="{6CEABCE2-66C3-4EC3-87D6-F24EBC7C1007}" srcOrd="2" destOrd="0" parTransId="{65B50D11-5178-4AE6-A1FA-AD2FFC2340AF}" sibTransId="{8A81EAE5-C69E-4913-A72B-868171905D17}"/>
    <dgm:cxn modelId="{DD3AA7B6-0769-4A68-B290-ACE502C51F23}" type="presOf" srcId="{2DE50B64-9F2C-4280-8801-D0CCEA02D2EE}" destId="{F3B29933-49F7-429E-93CC-A20D864E0016}" srcOrd="0" destOrd="0" presId="urn:microsoft.com/office/officeart/2005/8/layout/hierarchy3"/>
    <dgm:cxn modelId="{0F332744-52A1-4439-B78D-B1D55002BFB9}" type="presOf" srcId="{9F2371EA-FF0C-4146-A4F0-1A1776295E6B}" destId="{20853827-3E97-4848-A643-5850B4B5AC8E}" srcOrd="0" destOrd="0" presId="urn:microsoft.com/office/officeart/2005/8/layout/hierarchy3"/>
    <dgm:cxn modelId="{B282198B-9FFD-4EF7-8BDE-AF0070EC8198}" type="presOf" srcId="{B6237906-3FD9-4A13-BBEC-44997128ED83}" destId="{9EC2E1A0-16D1-4F52-918C-99C35BC8F566}" srcOrd="0" destOrd="0" presId="urn:microsoft.com/office/officeart/2005/8/layout/hierarchy3"/>
    <dgm:cxn modelId="{E9F07A5E-8CA7-4169-B807-77D25D1631CC}" type="presOf" srcId="{88BD5544-9EF1-4775-BCD3-0141C363A02B}" destId="{73A58F98-06D7-4D0A-8A39-E6F92FBE09DF}" srcOrd="0" destOrd="0" presId="urn:microsoft.com/office/officeart/2005/8/layout/hierarchy3"/>
    <dgm:cxn modelId="{94B989C0-9204-4928-9DBC-BF9331385329}" srcId="{7FE7FC7A-89ED-4D20-BDED-B2FB496A6326}" destId="{7BDB8F31-6C7F-4493-BBB4-478C8A125762}" srcOrd="0" destOrd="0" parTransId="{50F6F717-F319-4630-B615-4D498FFC008E}" sibTransId="{53D5FA09-11D6-47B6-9C7B-D7A2A6D69A31}"/>
    <dgm:cxn modelId="{BCE3E917-73B6-4950-8469-279C626F5A9F}" srcId="{CEB97AF8-66E8-4BE9-8715-EEB0A187A476}" destId="{9D6801FA-8EB4-4669-ABAA-E8BA31EF577C}" srcOrd="1" destOrd="0" parTransId="{F0FE5F01-9E88-4AE4-A77B-4A85F6C5EB60}" sibTransId="{53D58E7D-6A62-401D-B384-0F1B59F9DAD8}"/>
    <dgm:cxn modelId="{A2592E2A-BD54-4A74-9C96-AB11C763AD97}" type="presOf" srcId="{5C8680CA-E82A-4B08-8C65-7207A27666D9}" destId="{248FEE5A-6D9E-4A45-816E-DBA573970611}" srcOrd="0" destOrd="0" presId="urn:microsoft.com/office/officeart/2005/8/layout/hierarchy3"/>
    <dgm:cxn modelId="{05CF976D-E9AD-472A-9B3B-8E6704924958}" type="presOf" srcId="{B80926DC-B062-46B1-93B3-4E855FF3CE05}" destId="{5EFE6065-3099-4831-BD2D-2976C4FFB49D}" srcOrd="0" destOrd="0" presId="urn:microsoft.com/office/officeart/2005/8/layout/hierarchy3"/>
    <dgm:cxn modelId="{85AA5114-D5EB-4772-B3E9-7A71A7066BB4}" srcId="{84C95532-69D6-4A2D-8855-54F24F3525F3}" destId="{C3D1F7DF-4736-4450-8337-C9045E34D776}" srcOrd="3" destOrd="0" parTransId="{C74CE005-05EB-46D3-921E-E90F8A2942AB}" sibTransId="{EBF3D570-C1E2-4443-A7B9-74FAC17FCB68}"/>
    <dgm:cxn modelId="{E9747FFE-F36A-4F96-A600-79C85ECBC03F}" srcId="{61FBD959-CAD2-4A73-AD5D-3CAA4CDABF82}" destId="{B8801D38-5646-4247-B061-45E0F33A7A21}" srcOrd="1" destOrd="0" parTransId="{9F2371EA-FF0C-4146-A4F0-1A1776295E6B}" sibTransId="{134E4385-4288-475A-9717-6E10E5983584}"/>
    <dgm:cxn modelId="{E37AC852-572B-4EB7-ADBF-0C907499B183}" type="presOf" srcId="{CEB97AF8-66E8-4BE9-8715-EEB0A187A476}" destId="{B9F4341E-C377-47F4-9028-4C9EFAE29280}" srcOrd="1"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74FC7379-9BB2-4584-A2EC-10B999DDB40C}" type="presOf" srcId="{9D6801FA-8EB4-4669-ABAA-E8BA31EF577C}" destId="{4AD6A3DE-1EBE-4ACC-8682-2AF4BA21AA66}" srcOrd="0" destOrd="0" presId="urn:microsoft.com/office/officeart/2005/8/layout/hierarchy3"/>
    <dgm:cxn modelId="{33489862-B266-4675-AED3-F452216A0145}" srcId="{7BDB8F31-6C7F-4493-BBB4-478C8A125762}" destId="{582157BE-668A-43AA-906C-E8A6CB0AD300}" srcOrd="1" destOrd="0" parTransId="{88BD5544-9EF1-4775-BCD3-0141C363A02B}" sibTransId="{E0BD6F96-6B51-4FCC-B4B9-D00718FF20BF}"/>
    <dgm:cxn modelId="{6BC67ACA-9C7D-4E2E-A3B7-8682E0ACEC5A}" srcId="{7BDB8F31-6C7F-4493-BBB4-478C8A125762}" destId="{802A51D4-12D7-4316-ACF2-B14C90BE226E}" srcOrd="0" destOrd="0" parTransId="{4F111263-FD73-435E-AE59-5D402187AB5D}" sibTransId="{75D6792A-C525-4F02-A49F-7B5D7308DB37}"/>
    <dgm:cxn modelId="{D9923C1B-2655-44B2-821E-BD4A160C321A}" type="presOf" srcId="{6CEABCE2-66C3-4EC3-87D6-F24EBC7C1007}" destId="{8F61EBD2-8666-4FC4-AE18-91E80494F1DB}" srcOrd="0" destOrd="0" presId="urn:microsoft.com/office/officeart/2005/8/layout/hierarchy3"/>
    <dgm:cxn modelId="{C24BF0AC-1E4A-4938-8EEC-0F168ABD8183}" type="presOf" srcId="{3C3AA8D2-3FB7-4716-8633-1392E92001CE}" destId="{C5AFFBBF-0CB9-41D0-ABA1-84FF0A573FE6}" srcOrd="0" destOrd="0" presId="urn:microsoft.com/office/officeart/2005/8/layout/hierarchy3"/>
    <dgm:cxn modelId="{967BD2AD-C5CE-4645-AC9A-A23821CE29D5}" srcId="{84C95532-69D6-4A2D-8855-54F24F3525F3}" destId="{93F07968-519C-4B51-8FEC-88C3B49937AB}" srcOrd="2" destOrd="0" parTransId="{97EFB66F-2315-44D1-A0A3-6D5E2D44539B}" sibTransId="{C573027D-5F99-4F38-B420-29C24C61F5C8}"/>
    <dgm:cxn modelId="{0A94858C-9E39-4A0C-A7C9-B5AB887F150E}" type="presOf" srcId="{C74CE005-05EB-46D3-921E-E90F8A2942AB}" destId="{3E1472E8-62E9-496E-B5AC-C0C1D452FA1A}" srcOrd="0" destOrd="0" presId="urn:microsoft.com/office/officeart/2005/8/layout/hierarchy3"/>
    <dgm:cxn modelId="{9912A501-E6DC-4983-BE97-E01DDCE59293}" type="presOf" srcId="{D84BFDD4-1CBA-4E20-AC79-B5662FC036D1}" destId="{1FB6BB08-6487-4CF7-B3E8-A75B98E7697C}" srcOrd="0" destOrd="0" presId="urn:microsoft.com/office/officeart/2005/8/layout/hierarchy3"/>
    <dgm:cxn modelId="{362530BA-9B8E-4BC7-8C45-D15C599CC435}" type="presOf" srcId="{61FBD959-CAD2-4A73-AD5D-3CAA4CDABF82}" destId="{F67979DE-6972-4E37-8932-A844CF7F3C55}" srcOrd="1" destOrd="0" presId="urn:microsoft.com/office/officeart/2005/8/layout/hierarchy3"/>
    <dgm:cxn modelId="{63E7EC30-C204-4AB0-87D5-C7E8EA91F5FF}" type="presOf" srcId="{93F07968-519C-4B51-8FEC-88C3B49937AB}" destId="{012E967A-B44C-451A-B08E-577AD1FC2056}" srcOrd="0" destOrd="0" presId="urn:microsoft.com/office/officeart/2005/8/layout/hierarchy3"/>
    <dgm:cxn modelId="{C750B24E-1F0D-4A13-99E5-47A2EB77FFB9}" type="presOf" srcId="{F0FE5F01-9E88-4AE4-A77B-4A85F6C5EB60}" destId="{1AF3619D-B9CC-44DB-AD4A-1AF22F1C9DBA}" srcOrd="0" destOrd="0" presId="urn:microsoft.com/office/officeart/2005/8/layout/hierarchy3"/>
    <dgm:cxn modelId="{FA0B30DB-4B8B-4E2D-A30C-E82FE40F705B}" type="presOf" srcId="{7FE7FC7A-89ED-4D20-BDED-B2FB496A6326}" destId="{1F1F9640-C288-46AD-9AB7-84A8E4A8E01C}" srcOrd="0" destOrd="0" presId="urn:microsoft.com/office/officeart/2005/8/layout/hierarchy3"/>
    <dgm:cxn modelId="{F3436615-9D78-4260-9761-E8D5DD1399F6}" type="presOf" srcId="{B8801D38-5646-4247-B061-45E0F33A7A21}" destId="{13293D94-2C5F-4870-89BA-6D439479D129}" srcOrd="0"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A1303B66-8A61-4140-9F42-A58A7D95A602}" type="presOf" srcId="{84C95532-69D6-4A2D-8855-54F24F3525F3}" destId="{9A0F5FF0-47F4-44B5-B6BB-F946BA61FD23}" srcOrd="1" destOrd="0" presId="urn:microsoft.com/office/officeart/2005/8/layout/hierarchy3"/>
    <dgm:cxn modelId="{41A100B8-060F-45E2-920E-C5C66536EF18}" type="presOf" srcId="{802A51D4-12D7-4316-ACF2-B14C90BE226E}" destId="{73BEBEE1-3007-426B-A81F-3E1BB697C744}"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F35BCE3A-F559-4D80-8EC4-1098FC1A6647}" type="presOf" srcId="{97EFB66F-2315-44D1-A0A3-6D5E2D44539B}" destId="{013C1FE1-5D2F-4766-9B4D-003DB15D668D}" srcOrd="0" destOrd="0" presId="urn:microsoft.com/office/officeart/2005/8/layout/hierarchy3"/>
    <dgm:cxn modelId="{F8B705A3-C51E-4A07-A0A5-54E1F3E0F912}" type="presOf" srcId="{65B50D11-5178-4AE6-A1FA-AD2FFC2340AF}" destId="{EDCDB10A-4565-462C-9838-2CED1D6D0FB7}" srcOrd="0" destOrd="0" presId="urn:microsoft.com/office/officeart/2005/8/layout/hierarchy3"/>
    <dgm:cxn modelId="{9245B0C0-3517-4942-90AF-B44850372D6B}" type="presOf" srcId="{61FBD959-CAD2-4A73-AD5D-3CAA4CDABF82}" destId="{D63AEAA9-2D7C-47C1-8810-CBACF93C645A}" srcOrd="0" destOrd="0" presId="urn:microsoft.com/office/officeart/2005/8/layout/hierarchy3"/>
    <dgm:cxn modelId="{06A197DC-E0B3-403D-8C1A-86D27903383E}" type="presOf" srcId="{84C95532-69D6-4A2D-8855-54F24F3525F3}" destId="{82587C02-6832-4C41-8E13-1B5F26233958}" srcOrd="0" destOrd="0" presId="urn:microsoft.com/office/officeart/2005/8/layout/hierarchy3"/>
    <dgm:cxn modelId="{D5FF70A4-810A-4BF7-8AEF-822CD87528CB}" srcId="{7FE7FC7A-89ED-4D20-BDED-B2FB496A6326}" destId="{61FBD959-CAD2-4A73-AD5D-3CAA4CDABF82}" srcOrd="2" destOrd="0" parTransId="{E47FBC83-AE89-4EA6-8353-9DD6A3D1AA12}" sibTransId="{3BEDC14D-F925-4FFF-BEEE-E581B4DAB8C6}"/>
    <dgm:cxn modelId="{750359C0-7DCD-43FC-824B-BBEC3F3A27FB}" srcId="{7FE7FC7A-89ED-4D20-BDED-B2FB496A6326}" destId="{CEB97AF8-66E8-4BE9-8715-EEB0A187A476}" srcOrd="1" destOrd="0" parTransId="{4DD621C1-FC4F-47D9-9187-18B951A29705}" sibTransId="{CCBD3ACB-4BC9-41E8-8202-B5CA3324CF4C}"/>
    <dgm:cxn modelId="{0C6DDC02-6AB5-485B-B0B2-15171E8CED6E}" type="presParOf" srcId="{1F1F9640-C288-46AD-9AB7-84A8E4A8E01C}" destId="{434F5CFD-E1ED-40D0-99C9-46FA6A27793B}" srcOrd="0" destOrd="0" presId="urn:microsoft.com/office/officeart/2005/8/layout/hierarchy3"/>
    <dgm:cxn modelId="{87D91068-E777-4530-BCC2-0DE5A91E507E}" type="presParOf" srcId="{434F5CFD-E1ED-40D0-99C9-46FA6A27793B}" destId="{0CDFBBBD-A206-48C1-B392-A4DA0AA8E00B}" srcOrd="0" destOrd="0" presId="urn:microsoft.com/office/officeart/2005/8/layout/hierarchy3"/>
    <dgm:cxn modelId="{4849F8D5-93D8-4294-98A1-34FA7FF75DC9}" type="presParOf" srcId="{0CDFBBBD-A206-48C1-B392-A4DA0AA8E00B}" destId="{EFC86F11-4236-4CC8-9521-3CD024E443A0}" srcOrd="0" destOrd="0" presId="urn:microsoft.com/office/officeart/2005/8/layout/hierarchy3"/>
    <dgm:cxn modelId="{E4AA31DA-B171-40A8-AF9B-58EE8E2CC711}" type="presParOf" srcId="{0CDFBBBD-A206-48C1-B392-A4DA0AA8E00B}" destId="{C706CA6A-6667-41F6-A8B1-D37E58DB24A2}" srcOrd="1" destOrd="0" presId="urn:microsoft.com/office/officeart/2005/8/layout/hierarchy3"/>
    <dgm:cxn modelId="{8C0E114F-A584-43DA-A7D4-F68CDD2AE495}" type="presParOf" srcId="{434F5CFD-E1ED-40D0-99C9-46FA6A27793B}" destId="{783B0924-51AA-42EC-B317-0710F8AE6B5E}" srcOrd="1" destOrd="0" presId="urn:microsoft.com/office/officeart/2005/8/layout/hierarchy3"/>
    <dgm:cxn modelId="{F216803E-27AD-4BE2-A632-F0781FE684B8}" type="presParOf" srcId="{783B0924-51AA-42EC-B317-0710F8AE6B5E}" destId="{9C5243F3-3BD2-448D-9FEC-175D5DE5FB95}" srcOrd="0" destOrd="0" presId="urn:microsoft.com/office/officeart/2005/8/layout/hierarchy3"/>
    <dgm:cxn modelId="{D670EC0C-F67A-4BEB-A368-0AC54BC4E02C}" type="presParOf" srcId="{783B0924-51AA-42EC-B317-0710F8AE6B5E}" destId="{73BEBEE1-3007-426B-A81F-3E1BB697C744}" srcOrd="1" destOrd="0" presId="urn:microsoft.com/office/officeart/2005/8/layout/hierarchy3"/>
    <dgm:cxn modelId="{DAB3F60C-9D11-4191-8BB1-6B87808D6B0D}" type="presParOf" srcId="{783B0924-51AA-42EC-B317-0710F8AE6B5E}" destId="{73A58F98-06D7-4D0A-8A39-E6F92FBE09DF}" srcOrd="2" destOrd="0" presId="urn:microsoft.com/office/officeart/2005/8/layout/hierarchy3"/>
    <dgm:cxn modelId="{CAE1976F-B2E3-4191-B5BC-75FF72EAFB8D}" type="presParOf" srcId="{783B0924-51AA-42EC-B317-0710F8AE6B5E}" destId="{086A8BE0-365B-4D55-8C59-80AC4A1A9303}" srcOrd="3" destOrd="0" presId="urn:microsoft.com/office/officeart/2005/8/layout/hierarchy3"/>
    <dgm:cxn modelId="{A6330217-A1A3-4FDA-A5FA-E32223F64005}" type="presParOf" srcId="{1F1F9640-C288-46AD-9AB7-84A8E4A8E01C}" destId="{257C2CC6-73C8-46CC-96CE-255A3AB79225}" srcOrd="1" destOrd="0" presId="urn:microsoft.com/office/officeart/2005/8/layout/hierarchy3"/>
    <dgm:cxn modelId="{96C876EC-CA4F-4082-9D5B-2AFBCBBFA777}" type="presParOf" srcId="{257C2CC6-73C8-46CC-96CE-255A3AB79225}" destId="{B2593030-59CD-422A-ABFF-AAC05B038F64}" srcOrd="0" destOrd="0" presId="urn:microsoft.com/office/officeart/2005/8/layout/hierarchy3"/>
    <dgm:cxn modelId="{C29D7A4C-BF54-405C-BF2D-96BB940BB323}" type="presParOf" srcId="{B2593030-59CD-422A-ABFF-AAC05B038F64}" destId="{0F43FBEE-DF29-447C-B990-CDA7C4C2CE5C}" srcOrd="0" destOrd="0" presId="urn:microsoft.com/office/officeart/2005/8/layout/hierarchy3"/>
    <dgm:cxn modelId="{6E28C1FC-C59F-433E-9D6E-63C6FCC7E1B9}" type="presParOf" srcId="{B2593030-59CD-422A-ABFF-AAC05B038F64}" destId="{B9F4341E-C377-47F4-9028-4C9EFAE29280}" srcOrd="1" destOrd="0" presId="urn:microsoft.com/office/officeart/2005/8/layout/hierarchy3"/>
    <dgm:cxn modelId="{901A8D61-3B55-434C-92ED-D3C114A50BE7}" type="presParOf" srcId="{257C2CC6-73C8-46CC-96CE-255A3AB79225}" destId="{6BE5DE6B-0747-43A1-9A7B-E2BF96E9AA38}" srcOrd="1" destOrd="0" presId="urn:microsoft.com/office/officeart/2005/8/layout/hierarchy3"/>
    <dgm:cxn modelId="{88679536-19AB-4FFE-A68D-099A78642386}" type="presParOf" srcId="{6BE5DE6B-0747-43A1-9A7B-E2BF96E9AA38}" destId="{9EC2E1A0-16D1-4F52-918C-99C35BC8F566}" srcOrd="0" destOrd="0" presId="urn:microsoft.com/office/officeart/2005/8/layout/hierarchy3"/>
    <dgm:cxn modelId="{B2A13F49-BB00-4245-A4ED-D03CE3F5ABD5}" type="presParOf" srcId="{6BE5DE6B-0747-43A1-9A7B-E2BF96E9AA38}" destId="{C5AFFBBF-0CB9-41D0-ABA1-84FF0A573FE6}" srcOrd="1" destOrd="0" presId="urn:microsoft.com/office/officeart/2005/8/layout/hierarchy3"/>
    <dgm:cxn modelId="{8EDB94C9-6E33-4A4A-A60E-4CEB0CA392BE}" type="presParOf" srcId="{6BE5DE6B-0747-43A1-9A7B-E2BF96E9AA38}" destId="{1AF3619D-B9CC-44DB-AD4A-1AF22F1C9DBA}" srcOrd="2" destOrd="0" presId="urn:microsoft.com/office/officeart/2005/8/layout/hierarchy3"/>
    <dgm:cxn modelId="{E3AF9000-C5F2-4542-88D7-639430F88108}" type="presParOf" srcId="{6BE5DE6B-0747-43A1-9A7B-E2BF96E9AA38}" destId="{4AD6A3DE-1EBE-4ACC-8682-2AF4BA21AA66}" srcOrd="3" destOrd="0" presId="urn:microsoft.com/office/officeart/2005/8/layout/hierarchy3"/>
    <dgm:cxn modelId="{5834F0FA-F379-4ECA-ABE8-EEE042709408}" type="presParOf" srcId="{1F1F9640-C288-46AD-9AB7-84A8E4A8E01C}" destId="{E78E1CE7-FB50-46FA-9BC4-B344BE370A69}" srcOrd="2" destOrd="0" presId="urn:microsoft.com/office/officeart/2005/8/layout/hierarchy3"/>
    <dgm:cxn modelId="{1CD3A3B5-4CBD-4646-8566-0B4C3A13DC5B}" type="presParOf" srcId="{E78E1CE7-FB50-46FA-9BC4-B344BE370A69}" destId="{0DC9B99A-2326-4933-B023-82BCF158B079}" srcOrd="0" destOrd="0" presId="urn:microsoft.com/office/officeart/2005/8/layout/hierarchy3"/>
    <dgm:cxn modelId="{FE9B8510-0FB6-4E30-9368-69C2BEA37D00}" type="presParOf" srcId="{0DC9B99A-2326-4933-B023-82BCF158B079}" destId="{D63AEAA9-2D7C-47C1-8810-CBACF93C645A}" srcOrd="0" destOrd="0" presId="urn:microsoft.com/office/officeart/2005/8/layout/hierarchy3"/>
    <dgm:cxn modelId="{50D7AE0C-9000-42D9-9B16-B856908E6E58}" type="presParOf" srcId="{0DC9B99A-2326-4933-B023-82BCF158B079}" destId="{F67979DE-6972-4E37-8932-A844CF7F3C55}" srcOrd="1" destOrd="0" presId="urn:microsoft.com/office/officeart/2005/8/layout/hierarchy3"/>
    <dgm:cxn modelId="{48DE44FB-6C28-47D1-A745-0C3551C4A54D}" type="presParOf" srcId="{E78E1CE7-FB50-46FA-9BC4-B344BE370A69}" destId="{66E3EF2C-69E4-48E9-BCC2-BBC3822F559B}" srcOrd="1" destOrd="0" presId="urn:microsoft.com/office/officeart/2005/8/layout/hierarchy3"/>
    <dgm:cxn modelId="{12D796B6-EB8A-4768-B706-17E67DCC96F6}" type="presParOf" srcId="{66E3EF2C-69E4-48E9-BCC2-BBC3822F559B}" destId="{07E12C06-DF4C-4847-A365-0DA62AF9B97B}" srcOrd="0" destOrd="0" presId="urn:microsoft.com/office/officeart/2005/8/layout/hierarchy3"/>
    <dgm:cxn modelId="{4436EF44-3328-42F8-A1DC-3514CBCA4776}" type="presParOf" srcId="{66E3EF2C-69E4-48E9-BCC2-BBC3822F559B}" destId="{5EFE6065-3099-4831-BD2D-2976C4FFB49D}" srcOrd="1" destOrd="0" presId="urn:microsoft.com/office/officeart/2005/8/layout/hierarchy3"/>
    <dgm:cxn modelId="{DE6A63C0-916D-4A42-B89C-51C099926357}" type="presParOf" srcId="{66E3EF2C-69E4-48E9-BCC2-BBC3822F559B}" destId="{20853827-3E97-4848-A643-5850B4B5AC8E}" srcOrd="2" destOrd="0" presId="urn:microsoft.com/office/officeart/2005/8/layout/hierarchy3"/>
    <dgm:cxn modelId="{5FA2B061-D277-4B24-8983-48F35DDD67D7}" type="presParOf" srcId="{66E3EF2C-69E4-48E9-BCC2-BBC3822F559B}" destId="{13293D94-2C5F-4870-89BA-6D439479D129}" srcOrd="3" destOrd="0" presId="urn:microsoft.com/office/officeart/2005/8/layout/hierarchy3"/>
    <dgm:cxn modelId="{3ABA5D24-075F-4186-A42E-D746DF94C176}" type="presParOf" srcId="{66E3EF2C-69E4-48E9-BCC2-BBC3822F559B}" destId="{EDCDB10A-4565-462C-9838-2CED1D6D0FB7}" srcOrd="4" destOrd="0" presId="urn:microsoft.com/office/officeart/2005/8/layout/hierarchy3"/>
    <dgm:cxn modelId="{1D4E3268-900E-442D-9EED-1D64D1118E48}" type="presParOf" srcId="{66E3EF2C-69E4-48E9-BCC2-BBC3822F559B}" destId="{8F61EBD2-8666-4FC4-AE18-91E80494F1DB}" srcOrd="5" destOrd="0" presId="urn:microsoft.com/office/officeart/2005/8/layout/hierarchy3"/>
    <dgm:cxn modelId="{D167DBFC-3709-4AED-BF05-26122D4892A8}" type="presParOf" srcId="{1F1F9640-C288-46AD-9AB7-84A8E4A8E01C}" destId="{57807743-2E0C-42FB-8983-C782CD354118}" srcOrd="3" destOrd="0" presId="urn:microsoft.com/office/officeart/2005/8/layout/hierarchy3"/>
    <dgm:cxn modelId="{713EDCA7-03FE-474F-9D19-A82AE34F575C}" type="presParOf" srcId="{57807743-2E0C-42FB-8983-C782CD354118}" destId="{97C25846-8D84-4276-A835-C93DB438A06D}" srcOrd="0" destOrd="0" presId="urn:microsoft.com/office/officeart/2005/8/layout/hierarchy3"/>
    <dgm:cxn modelId="{9EEE154C-8BDB-48A0-B123-CB69E8316AC1}" type="presParOf" srcId="{97C25846-8D84-4276-A835-C93DB438A06D}" destId="{82587C02-6832-4C41-8E13-1B5F26233958}" srcOrd="0" destOrd="0" presId="urn:microsoft.com/office/officeart/2005/8/layout/hierarchy3"/>
    <dgm:cxn modelId="{E036A107-1F0A-4A32-BE73-CE2E16388991}" type="presParOf" srcId="{97C25846-8D84-4276-A835-C93DB438A06D}" destId="{9A0F5FF0-47F4-44B5-B6BB-F946BA61FD23}" srcOrd="1" destOrd="0" presId="urn:microsoft.com/office/officeart/2005/8/layout/hierarchy3"/>
    <dgm:cxn modelId="{76C71159-7797-482B-8BE9-6196A03A79B6}" type="presParOf" srcId="{57807743-2E0C-42FB-8983-C782CD354118}" destId="{0A496140-CF1B-410C-856E-B41A8F42924B}" srcOrd="1" destOrd="0" presId="urn:microsoft.com/office/officeart/2005/8/layout/hierarchy3"/>
    <dgm:cxn modelId="{C2F62122-F89A-4DA5-A7E0-3A943181AA27}" type="presParOf" srcId="{0A496140-CF1B-410C-856E-B41A8F42924B}" destId="{F3B29933-49F7-429E-93CC-A20D864E0016}" srcOrd="0" destOrd="0" presId="urn:microsoft.com/office/officeart/2005/8/layout/hierarchy3"/>
    <dgm:cxn modelId="{2FD97B50-3185-4032-945D-D9C5E7E4F9A8}" type="presParOf" srcId="{0A496140-CF1B-410C-856E-B41A8F42924B}" destId="{1FB6BB08-6487-4CF7-B3E8-A75B98E7697C}" srcOrd="1" destOrd="0" presId="urn:microsoft.com/office/officeart/2005/8/layout/hierarchy3"/>
    <dgm:cxn modelId="{65EF8597-FA9D-4B24-8457-CFC7C014AB08}" type="presParOf" srcId="{0A496140-CF1B-410C-856E-B41A8F42924B}" destId="{534C199A-9BD0-41D2-A21A-01D939A132C7}" srcOrd="2" destOrd="0" presId="urn:microsoft.com/office/officeart/2005/8/layout/hierarchy3"/>
    <dgm:cxn modelId="{FD329F66-8EF3-47A1-AFA8-0A868E4CD9D5}" type="presParOf" srcId="{0A496140-CF1B-410C-856E-B41A8F42924B}" destId="{248FEE5A-6D9E-4A45-816E-DBA573970611}" srcOrd="3" destOrd="0" presId="urn:microsoft.com/office/officeart/2005/8/layout/hierarchy3"/>
    <dgm:cxn modelId="{9BA72D30-6A6F-48B3-B3AF-B64EAE3524CD}" type="presParOf" srcId="{0A496140-CF1B-410C-856E-B41A8F42924B}" destId="{013C1FE1-5D2F-4766-9B4D-003DB15D668D}" srcOrd="4" destOrd="0" presId="urn:microsoft.com/office/officeart/2005/8/layout/hierarchy3"/>
    <dgm:cxn modelId="{40EF4951-396A-4ADA-BBAC-37C33834F1B4}" type="presParOf" srcId="{0A496140-CF1B-410C-856E-B41A8F42924B}" destId="{012E967A-B44C-451A-B08E-577AD1FC2056}" srcOrd="5" destOrd="0" presId="urn:microsoft.com/office/officeart/2005/8/layout/hierarchy3"/>
    <dgm:cxn modelId="{6CFB3338-6D18-43CB-88DD-BF17490E54BE}" type="presParOf" srcId="{0A496140-CF1B-410C-856E-B41A8F42924B}" destId="{3E1472E8-62E9-496E-B5AC-C0C1D452FA1A}" srcOrd="6" destOrd="0" presId="urn:microsoft.com/office/officeart/2005/8/layout/hierarchy3"/>
    <dgm:cxn modelId="{4E209EEA-F58E-404F-90D0-E0F4E82790B9}"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3"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E7AD1759-C3B1-4928-BCB7-2ED8FD56071A}" srcId="{9C477078-0138-42F6-BE21-EFD7C1B87A35}" destId="{B1AA30DA-B575-475B-9584-71F46A06E0D5}" srcOrd="1" destOrd="0" parTransId="{073ACCCC-3417-417F-A883-662ECF51E8FD}" sibTransId="{9C7FDB9A-1E28-448B-AD23-842638D51EE4}"/>
    <dgm:cxn modelId="{84F37ED6-C9E3-4019-B9B3-8F798D3CF6DF}" type="presOf" srcId="{9C7FDB9A-1E28-448B-AD23-842638D51EE4}" destId="{D91BD819-EF8E-4DDB-9993-0CF5FF377748}" srcOrd="0" destOrd="0" presId="urn:microsoft.com/office/officeart/2005/8/layout/process3"/>
    <dgm:cxn modelId="{4FD007FF-F44C-4FFE-9DB5-823EF04285CA}" type="presOf" srcId="{B1AA30DA-B575-475B-9584-71F46A06E0D5}" destId="{BE078540-DCD3-46BA-B94E-4A90B2F85583}" srcOrd="0" destOrd="0" presId="urn:microsoft.com/office/officeart/2005/8/layout/process3"/>
    <dgm:cxn modelId="{C87D8706-12A7-421C-BFF4-0A8C2353C99E}" type="presOf" srcId="{9C477078-0138-42F6-BE21-EFD7C1B87A35}" destId="{253417DA-3C7A-4D4F-9CF9-E37F3AB03025}" srcOrd="0" destOrd="0" presId="urn:microsoft.com/office/officeart/2005/8/layout/process3"/>
    <dgm:cxn modelId="{2CD8DBF1-D19C-49DC-854A-DCEBD2C6B9CF}" type="presOf" srcId="{9C7FDB9A-1E28-448B-AD23-842638D51EE4}" destId="{9E6325A9-7FB6-4466-AD48-288AA80CA171}" srcOrd="1" destOrd="0" presId="urn:microsoft.com/office/officeart/2005/8/layout/process3"/>
    <dgm:cxn modelId="{A02C66A1-49FB-4541-B23E-42F28FEB9217}" type="presOf" srcId="{08917DD6-E6D8-4F93-96F9-9AE413661FD7}" destId="{DB1879AD-4DF1-46FD-8EF2-4BE33E3B2E9B}" srcOrd="1" destOrd="0" presId="urn:microsoft.com/office/officeart/2005/8/layout/process3"/>
    <dgm:cxn modelId="{600F6D2B-0028-4343-8C0A-855C9F2A72F6}" type="presOf" srcId="{184F09D6-0496-4068-8E0A-1A22834C1860}" destId="{CA65D3F0-64F5-4795-A8B1-9D585B795797}" srcOrd="1" destOrd="0" presId="urn:microsoft.com/office/officeart/2005/8/layout/process3"/>
    <dgm:cxn modelId="{46CC9163-0FC2-419B-BAEA-310C195BAD18}" type="presOf" srcId="{3A882F0C-8D42-4404-BBD8-F43011F54072}" destId="{8AAA3FFE-6A3E-4DD0-9B15-91C4590BB3FD}" srcOrd="0" destOrd="0" presId="urn:microsoft.com/office/officeart/2005/8/layout/process3"/>
    <dgm:cxn modelId="{7927DECE-EF38-4E1D-AE37-89CC867CDC65}" type="presOf" srcId="{23A55E8E-81BD-4339-881B-CC2AD2DF884B}" destId="{A5BEFED6-71A8-4926-9601-615BAC8BE6C0}" srcOrd="1" destOrd="0" presId="urn:microsoft.com/office/officeart/2005/8/layout/process3"/>
    <dgm:cxn modelId="{F4FA2393-D1E1-4F95-8CA9-959049826D62}" type="presOf" srcId="{B1AA30DA-B575-475B-9584-71F46A06E0D5}" destId="{DA1D2D95-4152-4B68-896F-CF810C074CEB}" srcOrd="1"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E9EE96D5-3B87-400C-861E-9D0FFE2BA991}" type="presOf" srcId="{08917DD6-E6D8-4F93-96F9-9AE413661FD7}" destId="{7CB6EEEF-072D-4BCD-8E3A-2EB6E6D4691F}" srcOrd="0" destOrd="0" presId="urn:microsoft.com/office/officeart/2005/8/layout/process3"/>
    <dgm:cxn modelId="{7C6AAE59-C45B-4812-BF96-02488DE920CE}" type="presOf" srcId="{36FA7172-B048-498F-A7A0-D3056176B173}" destId="{50DB9389-E207-420B-9DAF-30877430ED6F}" srcOrd="0" destOrd="0" presId="urn:microsoft.com/office/officeart/2005/8/layout/process3"/>
    <dgm:cxn modelId="{43F3F9B6-4062-45ED-9F0C-97B4B4B16A1B}" srcId="{184F09D6-0496-4068-8E0A-1A22834C1860}" destId="{3A882F0C-8D42-4404-BBD8-F43011F54072}" srcOrd="0" destOrd="0" parTransId="{17CF2FFF-056B-4F77-9979-2029ECD76DB5}" sibTransId="{10E0B7AF-5192-41A8-8090-2E2B4C68EC84}"/>
    <dgm:cxn modelId="{2CD0AC72-8A22-4AB6-9A96-DC0FFE057AB4}" type="presOf" srcId="{23A55E8E-81BD-4339-881B-CC2AD2DF884B}" destId="{8319DD56-F110-48CA-AB8C-5EE2E73B3CF2}" srcOrd="0" destOrd="0" presId="urn:microsoft.com/office/officeart/2005/8/layout/process3"/>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DCDF6DDF-36BE-49C3-95FE-095FC3CDEB40}" type="presOf" srcId="{184F09D6-0496-4068-8E0A-1A22834C1860}" destId="{0077D386-3F91-492F-8B92-E690E55F931F}" srcOrd="0" destOrd="0" presId="urn:microsoft.com/office/officeart/2005/8/layout/process3"/>
    <dgm:cxn modelId="{72372EE0-5874-4A45-B80E-DDDB743425D1}" type="presOf" srcId="{7900E81C-B946-47AE-A29A-EAA5DA786190}" destId="{828CEDD8-7329-480E-ADB5-18EA15ED4738}" srcOrd="0" destOrd="0" presId="urn:microsoft.com/office/officeart/2005/8/layout/process3"/>
    <dgm:cxn modelId="{AB6098BD-E6DD-44D2-8D67-23CEEBA1600E}" type="presParOf" srcId="{253417DA-3C7A-4D4F-9CF9-E37F3AB03025}" destId="{FED73002-9A2E-4467-9464-CAA238FD0868}" srcOrd="0" destOrd="0" presId="urn:microsoft.com/office/officeart/2005/8/layout/process3"/>
    <dgm:cxn modelId="{CA528E74-BEC4-425C-BBF9-F513AE0E321A}" type="presParOf" srcId="{FED73002-9A2E-4467-9464-CAA238FD0868}" destId="{0077D386-3F91-492F-8B92-E690E55F931F}" srcOrd="0" destOrd="0" presId="urn:microsoft.com/office/officeart/2005/8/layout/process3"/>
    <dgm:cxn modelId="{919BBCA2-1195-4E19-B847-71072CF08DDF}" type="presParOf" srcId="{FED73002-9A2E-4467-9464-CAA238FD0868}" destId="{CA65D3F0-64F5-4795-A8B1-9D585B795797}" srcOrd="1" destOrd="0" presId="urn:microsoft.com/office/officeart/2005/8/layout/process3"/>
    <dgm:cxn modelId="{A795DBC8-81C6-475D-8632-AE5A4B030CFE}" type="presParOf" srcId="{FED73002-9A2E-4467-9464-CAA238FD0868}" destId="{8AAA3FFE-6A3E-4DD0-9B15-91C4590BB3FD}" srcOrd="2" destOrd="0" presId="urn:microsoft.com/office/officeart/2005/8/layout/process3"/>
    <dgm:cxn modelId="{49210878-C16B-4938-B14C-2D73C7C84745}" type="presParOf" srcId="{253417DA-3C7A-4D4F-9CF9-E37F3AB03025}" destId="{8319DD56-F110-48CA-AB8C-5EE2E73B3CF2}" srcOrd="1" destOrd="0" presId="urn:microsoft.com/office/officeart/2005/8/layout/process3"/>
    <dgm:cxn modelId="{166F73AE-B756-418E-B5B2-54713DDA65AB}" type="presParOf" srcId="{8319DD56-F110-48CA-AB8C-5EE2E73B3CF2}" destId="{A5BEFED6-71A8-4926-9601-615BAC8BE6C0}" srcOrd="0" destOrd="0" presId="urn:microsoft.com/office/officeart/2005/8/layout/process3"/>
    <dgm:cxn modelId="{C0067DCE-8659-472A-AD63-D5047789DB03}" type="presParOf" srcId="{253417DA-3C7A-4D4F-9CF9-E37F3AB03025}" destId="{9676B65C-D24F-4B18-8BEF-CC71E24C3908}" srcOrd="2" destOrd="0" presId="urn:microsoft.com/office/officeart/2005/8/layout/process3"/>
    <dgm:cxn modelId="{D50C677E-960B-4C26-927B-A5019913B86D}" type="presParOf" srcId="{9676B65C-D24F-4B18-8BEF-CC71E24C3908}" destId="{BE078540-DCD3-46BA-B94E-4A90B2F85583}" srcOrd="0" destOrd="0" presId="urn:microsoft.com/office/officeart/2005/8/layout/process3"/>
    <dgm:cxn modelId="{8F49BF1B-2099-410B-A1FA-E96E34ED8BA2}" type="presParOf" srcId="{9676B65C-D24F-4B18-8BEF-CC71E24C3908}" destId="{DA1D2D95-4152-4B68-896F-CF810C074CEB}" srcOrd="1" destOrd="0" presId="urn:microsoft.com/office/officeart/2005/8/layout/process3"/>
    <dgm:cxn modelId="{80CB291C-A382-4CD2-A894-474A12193580}" type="presParOf" srcId="{9676B65C-D24F-4B18-8BEF-CC71E24C3908}" destId="{828CEDD8-7329-480E-ADB5-18EA15ED4738}" srcOrd="2" destOrd="0" presId="urn:microsoft.com/office/officeart/2005/8/layout/process3"/>
    <dgm:cxn modelId="{1024A9D6-7041-48CA-B494-2576B94264B7}" type="presParOf" srcId="{253417DA-3C7A-4D4F-9CF9-E37F3AB03025}" destId="{D91BD819-EF8E-4DDB-9993-0CF5FF377748}" srcOrd="3" destOrd="0" presId="urn:microsoft.com/office/officeart/2005/8/layout/process3"/>
    <dgm:cxn modelId="{0C60A5C0-0E0F-4B31-BAF6-BC38B7EA3DC3}" type="presParOf" srcId="{D91BD819-EF8E-4DDB-9993-0CF5FF377748}" destId="{9E6325A9-7FB6-4466-AD48-288AA80CA171}" srcOrd="0" destOrd="0" presId="urn:microsoft.com/office/officeart/2005/8/layout/process3"/>
    <dgm:cxn modelId="{7207BCDD-C806-48DC-9C78-CCEABF0A1308}" type="presParOf" srcId="{253417DA-3C7A-4D4F-9CF9-E37F3AB03025}" destId="{95690EB1-E01A-42F9-8C82-0F2AD4A630B0}" srcOrd="4" destOrd="0" presId="urn:microsoft.com/office/officeart/2005/8/layout/process3"/>
    <dgm:cxn modelId="{702CADB4-1498-4D5D-887D-58FB42A026D0}" type="presParOf" srcId="{95690EB1-E01A-42F9-8C82-0F2AD4A630B0}" destId="{7CB6EEEF-072D-4BCD-8E3A-2EB6E6D4691F}" srcOrd="0" destOrd="0" presId="urn:microsoft.com/office/officeart/2005/8/layout/process3"/>
    <dgm:cxn modelId="{92AEDD56-0ACE-4A7A-86EC-1953C3A1860E}" type="presParOf" srcId="{95690EB1-E01A-42F9-8C82-0F2AD4A630B0}" destId="{DB1879AD-4DF1-46FD-8EF2-4BE33E3B2E9B}" srcOrd="1" destOrd="0" presId="urn:microsoft.com/office/officeart/2005/8/layout/process3"/>
    <dgm:cxn modelId="{156A37DC-EF64-4CB2-B661-A27194DFA9B6}"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63"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4"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819D2B49-2B70-4D4E-85A9-70AC9166E8A7}" type="presOf" srcId="{CF7688FF-755F-436B-AAEE-8F6EA1A38009}" destId="{EB67461C-16A3-460D-B8D2-B2498DA118E9}" srcOrd="0" destOrd="0" presId="urn:microsoft.com/office/officeart/2005/8/layout/hierarchy5"/>
    <dgm:cxn modelId="{C212096C-C911-45F7-B03B-B15D2BAED41D}" type="presOf" srcId="{E7A3F93D-4582-4ACB-9A57-37BDD2E7174D}" destId="{5A43C87B-5509-4BD7-B5D7-1045E3FAA765}" srcOrd="1" destOrd="0" presId="urn:microsoft.com/office/officeart/2005/8/layout/hierarchy5"/>
    <dgm:cxn modelId="{83DB6963-1988-4EBA-BC7D-79E95400B76C}" type="presOf" srcId="{D6ACDCA1-4497-48F5-B031-F9CB8613EA0E}" destId="{320F455B-F22B-4E48-8DAB-9262AFE75F55}" srcOrd="0" destOrd="0" presId="urn:microsoft.com/office/officeart/2005/8/layout/hierarchy5"/>
    <dgm:cxn modelId="{83C1A437-285F-44C3-8BAF-0A4810757BE5}" type="presOf" srcId="{24AB0021-31A2-4340-97B8-6A7A3DDFAAB0}" destId="{3B771773-CCED-471A-9B23-0FC6B9C88217}" srcOrd="1" destOrd="0" presId="urn:microsoft.com/office/officeart/2005/8/layout/hierarchy5"/>
    <dgm:cxn modelId="{1445C8D4-8949-469D-866C-75025BFE01CD}" type="presOf" srcId="{B687F9D2-60C4-4FDD-BFAB-DE3D4CF4B288}" destId="{CC611393-C414-41EF-BBB4-2815096F4DC5}" srcOrd="0"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B0F9C158-05B0-477E-8ADB-BAE1D4407E84}" type="presOf" srcId="{E7A3F93D-4582-4ACB-9A57-37BDD2E7174D}" destId="{0FAF4E42-4691-4A18-A119-5FA71AE2A68F}" srcOrd="0" destOrd="0" presId="urn:microsoft.com/office/officeart/2005/8/layout/hierarchy5"/>
    <dgm:cxn modelId="{B4491FFC-E336-466A-B05F-8E6ECB0157F9}" srcId="{D6ACDCA1-4497-48F5-B031-F9CB8613EA0E}" destId="{B687F9D2-60C4-4FDD-BFAB-DE3D4CF4B288}" srcOrd="1" destOrd="0" parTransId="{CF7688FF-755F-436B-AAEE-8F6EA1A38009}" sibTransId="{30619E51-7189-43A1-9003-0964EF24AB2F}"/>
    <dgm:cxn modelId="{66488529-D2A5-47F1-8039-BAD410840536}" srcId="{737056D5-12B2-4C9C-ACD0-9B5451957F82}" destId="{90895CC1-B185-4193-835C-776717C9F9AE}" srcOrd="3" destOrd="0" parTransId="{35BBCEE6-E5BA-4E38-BA35-45483F17571B}" sibTransId="{1AA15834-7095-46CC-A25E-D4BD780ED1D7}"/>
    <dgm:cxn modelId="{2FA9C26E-9E79-4EDB-AB12-71EF3F216D06}" type="presOf" srcId="{90895CC1-B185-4193-835C-776717C9F9AE}" destId="{10C8763F-686A-4F00-920E-938AC0500574}" srcOrd="1" destOrd="0" presId="urn:microsoft.com/office/officeart/2005/8/layout/hierarchy5"/>
    <dgm:cxn modelId="{641BA9AC-85BC-45E7-A5CE-D19796C772DF}" type="presOf" srcId="{807D3367-48AA-4245-8A4C-FDEB6E0E0273}" destId="{4038A261-4552-438D-80AB-045F8AC73A15}" srcOrd="0" destOrd="0" presId="urn:microsoft.com/office/officeart/2005/8/layout/hierarchy5"/>
    <dgm:cxn modelId="{B2914AA3-13C7-4142-BF7D-13042DAC1F05}" type="presOf" srcId="{CF7688FF-755F-436B-AAEE-8F6EA1A38009}" destId="{4751C373-5312-4309-B226-DF3863D0C7EB}" srcOrd="1" destOrd="0" presId="urn:microsoft.com/office/officeart/2005/8/layout/hierarchy5"/>
    <dgm:cxn modelId="{F74A25A6-91F5-4C52-A9D6-BEE0AC58EAF7}" type="presOf" srcId="{90895CC1-B185-4193-835C-776717C9F9AE}" destId="{38B31B77-6D4C-40D8-8A23-B7AFF19537D3}" srcOrd="0"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955912E9-7253-405B-8CFE-0019AD3C6150}" type="presOf" srcId="{DEB7761E-ADED-471D-AF1C-099A3FFC1A15}" destId="{844C18A6-F391-4BF3-BAD3-BBC6F4906C6E}" srcOrd="1" destOrd="0" presId="urn:microsoft.com/office/officeart/2005/8/layout/hierarchy5"/>
    <dgm:cxn modelId="{D41C77A4-60C5-4027-954D-29085C40473D}" type="presOf" srcId="{DEB7761E-ADED-471D-AF1C-099A3FFC1A15}" destId="{6FCECECF-2349-4B8A-BBC6-20648F9AD1FD}" srcOrd="0" destOrd="0" presId="urn:microsoft.com/office/officeart/2005/8/layout/hierarchy5"/>
    <dgm:cxn modelId="{509D00C7-1904-4C1A-AD9E-EBECB7DCA75F}" type="presOf" srcId="{24AB0021-31A2-4340-97B8-6A7A3DDFAAB0}" destId="{4CAEADFC-44EB-4657-B2E2-8FAA4345DBC6}" srcOrd="0" destOrd="0" presId="urn:microsoft.com/office/officeart/2005/8/layout/hierarchy5"/>
    <dgm:cxn modelId="{76CC2946-68FD-433E-A3DA-6957BF1A101F}" type="presOf" srcId="{DA8F9260-771F-482C-AB4C-D9E10BED41DD}" destId="{1E2F6ECE-D6E0-43C5-99E8-8B883DA64F12}" srcOrd="0" destOrd="0" presId="urn:microsoft.com/office/officeart/2005/8/layout/hierarchy5"/>
    <dgm:cxn modelId="{7000AAAA-93AA-4E9C-9618-B8628E7562A2}" srcId="{D6ACDCA1-4497-48F5-B031-F9CB8613EA0E}" destId="{6F00C8B3-053B-475A-9149-FC2CE33EEAD9}" srcOrd="0" destOrd="0" parTransId="{24AB0021-31A2-4340-97B8-6A7A3DDFAAB0}" sibTransId="{C9042D41-AD84-4DD0-A1DB-03F792648844}"/>
    <dgm:cxn modelId="{83FBE718-9296-4E21-A357-6196598DD73C}" type="presOf" srcId="{807D3367-48AA-4245-8A4C-FDEB6E0E0273}" destId="{26E4C35B-98AC-4722-86BB-18B5B7911F81}" srcOrd="1" destOrd="0" presId="urn:microsoft.com/office/officeart/2005/8/layout/hierarchy5"/>
    <dgm:cxn modelId="{A053500F-D5EA-44EF-B704-09EF24D09202}" srcId="{737056D5-12B2-4C9C-ACD0-9B5451957F82}" destId="{807D3367-48AA-4245-8A4C-FDEB6E0E0273}" srcOrd="1" destOrd="0" parTransId="{F9432177-FD1D-4204-B066-65C34672A6E1}" sibTransId="{45A5AD75-F52D-4561-84F1-8631F3414C0A}"/>
    <dgm:cxn modelId="{86F5A597-1F5D-491C-992F-701898A5E8BF}" srcId="{737056D5-12B2-4C9C-ACD0-9B5451957F82}" destId="{DA8F9260-771F-482C-AB4C-D9E10BED41DD}" srcOrd="0" destOrd="0" parTransId="{D0EA3CFB-D204-416D-88DF-B51C38A80EB4}" sibTransId="{182E229A-50C8-44DA-84C1-D08FF9EC3C51}"/>
    <dgm:cxn modelId="{28BBE7F7-97DB-415F-A190-BD9AC1BF2BE8}" type="presOf" srcId="{737056D5-12B2-4C9C-ACD0-9B5451957F82}" destId="{E87576AB-3BCB-442B-9841-BB3D7257150A}" srcOrd="0" destOrd="0" presId="urn:microsoft.com/office/officeart/2005/8/layout/hierarchy5"/>
    <dgm:cxn modelId="{AD78FD18-85F6-4C5F-9BDF-88C10BF74197}" type="presOf" srcId="{6F00C8B3-053B-475A-9149-FC2CE33EEAD9}" destId="{7291108B-17AD-4842-956F-151D0BB3BB1A}" srcOrd="0" destOrd="0" presId="urn:microsoft.com/office/officeart/2005/8/layout/hierarchy5"/>
    <dgm:cxn modelId="{82D4AEF5-4553-4104-A1F5-A956D4DCCE2E}" type="presParOf" srcId="{E87576AB-3BCB-442B-9841-BB3D7257150A}" destId="{4AA82B94-2C66-4011-A81B-35EB7B577BFE}" srcOrd="0" destOrd="0" presId="urn:microsoft.com/office/officeart/2005/8/layout/hierarchy5"/>
    <dgm:cxn modelId="{C8EFA4FD-708A-4362-9724-15C5C60B7F1D}" type="presParOf" srcId="{4AA82B94-2C66-4011-A81B-35EB7B577BFE}" destId="{75022553-FCF5-4907-BA7B-79356311313C}" srcOrd="0" destOrd="0" presId="urn:microsoft.com/office/officeart/2005/8/layout/hierarchy5"/>
    <dgm:cxn modelId="{F3EE0CE0-6F34-4D60-B4EF-14347CA39AB8}" type="presParOf" srcId="{4AA82B94-2C66-4011-A81B-35EB7B577BFE}" destId="{5DE87D43-2CA8-4397-B4BC-8336EAED8779}" srcOrd="1" destOrd="0" presId="urn:microsoft.com/office/officeart/2005/8/layout/hierarchy5"/>
    <dgm:cxn modelId="{6ADA04F1-CC21-411B-ACEF-AF51F3A429B0}" type="presParOf" srcId="{5DE87D43-2CA8-4397-B4BC-8336EAED8779}" destId="{966EBD11-182E-47B9-B683-475DADB7D264}" srcOrd="0" destOrd="0" presId="urn:microsoft.com/office/officeart/2005/8/layout/hierarchy5"/>
    <dgm:cxn modelId="{311B8E65-1BDA-4A43-93C7-A01F3F82729E}" type="presParOf" srcId="{966EBD11-182E-47B9-B683-475DADB7D264}" destId="{1E2F6ECE-D6E0-43C5-99E8-8B883DA64F12}" srcOrd="0" destOrd="0" presId="urn:microsoft.com/office/officeart/2005/8/layout/hierarchy5"/>
    <dgm:cxn modelId="{F6EA69CE-408C-449B-B5A3-07B323703EC5}" type="presParOf" srcId="{966EBD11-182E-47B9-B683-475DADB7D264}" destId="{0F9FCA66-0A27-49BF-9ABF-D6F795CD5669}" srcOrd="1" destOrd="0" presId="urn:microsoft.com/office/officeart/2005/8/layout/hierarchy5"/>
    <dgm:cxn modelId="{FFCA694F-BE37-46B4-A85D-4BA524C913B7}" type="presParOf" srcId="{0F9FCA66-0A27-49BF-9ABF-D6F795CD5669}" destId="{6FCECECF-2349-4B8A-BBC6-20648F9AD1FD}" srcOrd="0" destOrd="0" presId="urn:microsoft.com/office/officeart/2005/8/layout/hierarchy5"/>
    <dgm:cxn modelId="{3D37BE79-6F8E-411B-9F0F-9B91766779C9}" type="presParOf" srcId="{6FCECECF-2349-4B8A-BBC6-20648F9AD1FD}" destId="{844C18A6-F391-4BF3-BAD3-BBC6F4906C6E}" srcOrd="0" destOrd="0" presId="urn:microsoft.com/office/officeart/2005/8/layout/hierarchy5"/>
    <dgm:cxn modelId="{C906D9E0-35A2-48F8-9198-B83820B78840}" type="presParOf" srcId="{0F9FCA66-0A27-49BF-9ABF-D6F795CD5669}" destId="{9A4C3116-5915-4A3F-A068-38C88AE12402}" srcOrd="1" destOrd="0" presId="urn:microsoft.com/office/officeart/2005/8/layout/hierarchy5"/>
    <dgm:cxn modelId="{F99212E8-FAA6-4121-9F60-757E82C4D52F}" type="presParOf" srcId="{9A4C3116-5915-4A3F-A068-38C88AE12402}" destId="{320F455B-F22B-4E48-8DAB-9262AFE75F55}" srcOrd="0" destOrd="0" presId="urn:microsoft.com/office/officeart/2005/8/layout/hierarchy5"/>
    <dgm:cxn modelId="{AFE45227-7A4F-4EF1-8CFB-C5046EA50DFF}" type="presParOf" srcId="{9A4C3116-5915-4A3F-A068-38C88AE12402}" destId="{435B1597-6C00-47B2-A98D-E11DBD095715}" srcOrd="1" destOrd="0" presId="urn:microsoft.com/office/officeart/2005/8/layout/hierarchy5"/>
    <dgm:cxn modelId="{CB6D5342-D6BC-453F-83C2-DFC61616E140}" type="presParOf" srcId="{435B1597-6C00-47B2-A98D-E11DBD095715}" destId="{4CAEADFC-44EB-4657-B2E2-8FAA4345DBC6}" srcOrd="0" destOrd="0" presId="urn:microsoft.com/office/officeart/2005/8/layout/hierarchy5"/>
    <dgm:cxn modelId="{2B2388F2-0C0D-4365-A629-39199E994D39}" type="presParOf" srcId="{4CAEADFC-44EB-4657-B2E2-8FAA4345DBC6}" destId="{3B771773-CCED-471A-9B23-0FC6B9C88217}" srcOrd="0" destOrd="0" presId="urn:microsoft.com/office/officeart/2005/8/layout/hierarchy5"/>
    <dgm:cxn modelId="{A4F401D7-8CC7-4C33-AF92-F6A2DE080736}" type="presParOf" srcId="{435B1597-6C00-47B2-A98D-E11DBD095715}" destId="{9A492DAE-9C44-4C23-B1F3-552330803BE7}" srcOrd="1" destOrd="0" presId="urn:microsoft.com/office/officeart/2005/8/layout/hierarchy5"/>
    <dgm:cxn modelId="{7DDA55E0-29D7-4C7D-90D0-F19E2B97968F}" type="presParOf" srcId="{9A492DAE-9C44-4C23-B1F3-552330803BE7}" destId="{7291108B-17AD-4842-956F-151D0BB3BB1A}" srcOrd="0" destOrd="0" presId="urn:microsoft.com/office/officeart/2005/8/layout/hierarchy5"/>
    <dgm:cxn modelId="{6E9D4682-2CE7-4802-911D-DC884DDBB478}" type="presParOf" srcId="{9A492DAE-9C44-4C23-B1F3-552330803BE7}" destId="{B59CA529-B665-42F7-ACF4-50A3567A2E01}" srcOrd="1" destOrd="0" presId="urn:microsoft.com/office/officeart/2005/8/layout/hierarchy5"/>
    <dgm:cxn modelId="{E3D41605-F1F2-4037-A91E-77F122DFDE98}" type="presParOf" srcId="{435B1597-6C00-47B2-A98D-E11DBD095715}" destId="{EB67461C-16A3-460D-B8D2-B2498DA118E9}" srcOrd="2" destOrd="0" presId="urn:microsoft.com/office/officeart/2005/8/layout/hierarchy5"/>
    <dgm:cxn modelId="{061043D8-A684-47A3-964B-C8CB184C3C5C}" type="presParOf" srcId="{EB67461C-16A3-460D-B8D2-B2498DA118E9}" destId="{4751C373-5312-4309-B226-DF3863D0C7EB}" srcOrd="0" destOrd="0" presId="urn:microsoft.com/office/officeart/2005/8/layout/hierarchy5"/>
    <dgm:cxn modelId="{9A9CD111-AED0-4A49-A0AD-BA20F1A07245}" type="presParOf" srcId="{435B1597-6C00-47B2-A98D-E11DBD095715}" destId="{CDEFA32C-F6CD-433C-B5B1-567452EA0E6F}" srcOrd="3" destOrd="0" presId="urn:microsoft.com/office/officeart/2005/8/layout/hierarchy5"/>
    <dgm:cxn modelId="{08967640-246A-44FE-B266-AC858A54C80A}" type="presParOf" srcId="{CDEFA32C-F6CD-433C-B5B1-567452EA0E6F}" destId="{CC611393-C414-41EF-BBB4-2815096F4DC5}" srcOrd="0" destOrd="0" presId="urn:microsoft.com/office/officeart/2005/8/layout/hierarchy5"/>
    <dgm:cxn modelId="{6A6D471A-F969-45AB-83E1-2BEB8ED7A0B4}" type="presParOf" srcId="{CDEFA32C-F6CD-433C-B5B1-567452EA0E6F}" destId="{33616961-73B9-48ED-99C7-46E482278553}" srcOrd="1" destOrd="0" presId="urn:microsoft.com/office/officeart/2005/8/layout/hierarchy5"/>
    <dgm:cxn modelId="{729DCA7B-53BE-4113-8B5D-A3B23ADD2590}" type="presParOf" srcId="{E87576AB-3BCB-442B-9841-BB3D7257150A}" destId="{0CADABC5-A522-47AE-815F-C15C5DAAC8F0}" srcOrd="1" destOrd="0" presId="urn:microsoft.com/office/officeart/2005/8/layout/hierarchy5"/>
    <dgm:cxn modelId="{1E177E8E-71FF-45C6-84BF-F8B51DB14415}" type="presParOf" srcId="{0CADABC5-A522-47AE-815F-C15C5DAAC8F0}" destId="{192D684F-3731-48F3-872E-AD9DF40EF75E}" srcOrd="0" destOrd="0" presId="urn:microsoft.com/office/officeart/2005/8/layout/hierarchy5"/>
    <dgm:cxn modelId="{E199269E-BDDF-4A8D-B377-34779B1080D1}" type="presParOf" srcId="{192D684F-3731-48F3-872E-AD9DF40EF75E}" destId="{4038A261-4552-438D-80AB-045F8AC73A15}" srcOrd="0" destOrd="0" presId="urn:microsoft.com/office/officeart/2005/8/layout/hierarchy5"/>
    <dgm:cxn modelId="{49925CE5-2216-4A80-AB6B-9608D0A5310D}" type="presParOf" srcId="{192D684F-3731-48F3-872E-AD9DF40EF75E}" destId="{26E4C35B-98AC-4722-86BB-18B5B7911F81}" srcOrd="1" destOrd="0" presId="urn:microsoft.com/office/officeart/2005/8/layout/hierarchy5"/>
    <dgm:cxn modelId="{D1EEBE48-118C-497C-A8C1-D33A2D674B8B}" type="presParOf" srcId="{0CADABC5-A522-47AE-815F-C15C5DAAC8F0}" destId="{8D6D22F3-BB5C-4FCB-8AFC-37C32A814FEF}" srcOrd="1" destOrd="0" presId="urn:microsoft.com/office/officeart/2005/8/layout/hierarchy5"/>
    <dgm:cxn modelId="{FAF47D6C-3971-4565-84C7-7160D6611928}" type="presParOf" srcId="{8D6D22F3-BB5C-4FCB-8AFC-37C32A814FEF}" destId="{AB6D2CF8-30A0-4631-A021-2E1B5DC7D34C}" srcOrd="0" destOrd="0" presId="urn:microsoft.com/office/officeart/2005/8/layout/hierarchy5"/>
    <dgm:cxn modelId="{D22B00CB-4335-4995-B63C-6C3406F477A9}" type="presParOf" srcId="{0CADABC5-A522-47AE-815F-C15C5DAAC8F0}" destId="{E5557B1E-8C47-47FF-BDC7-EFAF4C355872}" srcOrd="2" destOrd="0" presId="urn:microsoft.com/office/officeart/2005/8/layout/hierarchy5"/>
    <dgm:cxn modelId="{1EEC81A8-A08A-4CF6-8E02-D66DA8CFFDE0}" type="presParOf" srcId="{E5557B1E-8C47-47FF-BDC7-EFAF4C355872}" destId="{0FAF4E42-4691-4A18-A119-5FA71AE2A68F}" srcOrd="0" destOrd="0" presId="urn:microsoft.com/office/officeart/2005/8/layout/hierarchy5"/>
    <dgm:cxn modelId="{730F6E0E-53C1-4878-938B-FE168BED1B96}" type="presParOf" srcId="{E5557B1E-8C47-47FF-BDC7-EFAF4C355872}" destId="{5A43C87B-5509-4BD7-B5D7-1045E3FAA765}" srcOrd="1" destOrd="0" presId="urn:microsoft.com/office/officeart/2005/8/layout/hierarchy5"/>
    <dgm:cxn modelId="{1617C22B-BCA0-45EA-8DC5-A5C098134EC9}" type="presParOf" srcId="{0CADABC5-A522-47AE-815F-C15C5DAAC8F0}" destId="{DC594982-8336-433E-821E-8D50DD45AF90}" srcOrd="3" destOrd="0" presId="urn:microsoft.com/office/officeart/2005/8/layout/hierarchy5"/>
    <dgm:cxn modelId="{97B729C7-FBE8-4D82-954B-CE8C2899E361}" type="presParOf" srcId="{DC594982-8336-433E-821E-8D50DD45AF90}" destId="{E28F4F56-663F-49A9-9407-854D2D4310E2}" srcOrd="0" destOrd="0" presId="urn:microsoft.com/office/officeart/2005/8/layout/hierarchy5"/>
    <dgm:cxn modelId="{04468793-283E-49C8-93D7-28D975E816E5}" type="presParOf" srcId="{0CADABC5-A522-47AE-815F-C15C5DAAC8F0}" destId="{0823E4F5-83FF-49F4-8806-C2BBB69175BC}" srcOrd="4" destOrd="0" presId="urn:microsoft.com/office/officeart/2005/8/layout/hierarchy5"/>
    <dgm:cxn modelId="{8EA2C75E-7F1F-48B2-A4D8-027FA8B7DA57}" type="presParOf" srcId="{0823E4F5-83FF-49F4-8806-C2BBB69175BC}" destId="{38B31B77-6D4C-40D8-8A23-B7AFF19537D3}" srcOrd="0" destOrd="0" presId="urn:microsoft.com/office/officeart/2005/8/layout/hierarchy5"/>
    <dgm:cxn modelId="{E37CC128-81A9-4021-917E-627E279775CE}"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68"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5"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E9A25358-1915-4BC5-8C6F-23B8B1887D19}" type="presOf" srcId="{1B216959-69EA-4C9C-A374-87115743EDAD}" destId="{57F073C6-DDAB-47AF-AFB5-5A85C8EFF66A}" srcOrd="0" destOrd="0" presId="urn:microsoft.com/office/officeart/2005/8/layout/funnel1"/>
    <dgm:cxn modelId="{877BE803-B7A2-4A37-AECE-94318ED61204}" srcId="{336FA3FA-03E1-44A0-8D6B-6EC4478580AE}" destId="{2ED7A402-C3B0-4A08-8E2D-3FE366596360}" srcOrd="2" destOrd="0" parTransId="{87D300A9-F32A-4750-82D8-FBE0632A26E1}" sibTransId="{4EBE54AC-776C-4308-874C-04BB120E07F6}"/>
    <dgm:cxn modelId="{7662E724-8BC5-43E5-88F9-4AA110F3B79B}" type="presOf" srcId="{0AE6A0CA-F45F-43EB-B1F8-E353D316A847}" destId="{41E4966F-8BEA-4D32-849B-27885D5CFF05}" srcOrd="0" destOrd="0" presId="urn:microsoft.com/office/officeart/2005/8/layout/funnel1"/>
    <dgm:cxn modelId="{0A448F47-D692-48F2-8A5A-359A47263BF0}" type="presOf" srcId="{336FA3FA-03E1-44A0-8D6B-6EC4478580AE}" destId="{23B94970-2C73-42A6-9323-FB6936B11E72}" srcOrd="0" destOrd="0" presId="urn:microsoft.com/office/officeart/2005/8/layout/funnel1"/>
    <dgm:cxn modelId="{FBD5EFE3-F214-4E3B-B683-7651F61A3F57}" srcId="{336FA3FA-03E1-44A0-8D6B-6EC4478580AE}" destId="{0AE6A0CA-F45F-43EB-B1F8-E353D316A847}" srcOrd="1" destOrd="0" parTransId="{786DDBA4-B253-46DC-BAAF-82E5B5E09CD7}" sibTransId="{AB32432A-2864-4A74-A534-04E73885E90C}"/>
    <dgm:cxn modelId="{E3586173-24CB-41F6-B1A1-10CC3C460DA1}" type="presOf" srcId="{2ED7A402-C3B0-4A08-8E2D-3FE366596360}" destId="{CBAB4B21-DEEB-4483-9CD0-2ABC75742AB2}"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1E0915E6-00A7-442C-AD3E-36C62CC4E7E2}" type="presParOf" srcId="{23B94970-2C73-42A6-9323-FB6936B11E72}" destId="{0B3C16AE-EF35-4E2F-84CA-09F99FBE34C4}" srcOrd="0" destOrd="0" presId="urn:microsoft.com/office/officeart/2005/8/layout/funnel1"/>
    <dgm:cxn modelId="{4A1C0731-1EEA-4208-ABC2-B1B6332338B4}" type="presParOf" srcId="{23B94970-2C73-42A6-9323-FB6936B11E72}" destId="{3A35614E-BF55-4EFE-81E9-9BFAE23A59F6}" srcOrd="1" destOrd="0" presId="urn:microsoft.com/office/officeart/2005/8/layout/funnel1"/>
    <dgm:cxn modelId="{7512D8F6-E340-444D-943A-0738C3DE516F}" type="presParOf" srcId="{23B94970-2C73-42A6-9323-FB6936B11E72}" destId="{CBAB4B21-DEEB-4483-9CD0-2ABC75742AB2}" srcOrd="2" destOrd="0" presId="urn:microsoft.com/office/officeart/2005/8/layout/funnel1"/>
    <dgm:cxn modelId="{913D4579-F414-4B99-8558-C99C0CD4BAEA}" type="presParOf" srcId="{23B94970-2C73-42A6-9323-FB6936B11E72}" destId="{41E4966F-8BEA-4D32-849B-27885D5CFF05}" srcOrd="3" destOrd="0" presId="urn:microsoft.com/office/officeart/2005/8/layout/funnel1"/>
    <dgm:cxn modelId="{CE4114D0-4BA7-4804-ACFD-1178B94A2DBE}" type="presParOf" srcId="{23B94970-2C73-42A6-9323-FB6936B11E72}" destId="{57F073C6-DDAB-47AF-AFB5-5A85C8EFF66A}" srcOrd="4" destOrd="0" presId="urn:microsoft.com/office/officeart/2005/8/layout/funnel1"/>
    <dgm:cxn modelId="{A9BA4D74-658F-4F06-9286-975E7CC23766}"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73"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1" qsCatId="simple" csTypeId="urn:microsoft.com/office/officeart/2005/8/colors/accent1_2#6"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141FCD19-32BF-4444-BD55-0277F927F49F}" srcId="{D1C6AC21-5971-408D-AD5A-2B08FE855EE7}" destId="{94A38A07-FA8A-4E04-BA83-DEC6755D5A71}" srcOrd="2" destOrd="0" parTransId="{07E790B4-B545-4672-94A3-ECBDBB2F599B}" sibTransId="{9ADEA58A-2669-44B8-B31C-1894033DF6FB}"/>
    <dgm:cxn modelId="{2E579A58-1D54-4958-A89C-3804E18332B1}" type="presOf" srcId="{D1C6AC21-5971-408D-AD5A-2B08FE855EE7}" destId="{3793961A-9F15-4F30-8A9F-7F31DAE3CE1D}" srcOrd="0" destOrd="0" presId="urn:microsoft.com/office/officeart/2005/8/layout/hChevron3"/>
    <dgm:cxn modelId="{A742BA24-3530-482C-8CF2-D5B0F10BFA66}" srcId="{D1C6AC21-5971-408D-AD5A-2B08FE855EE7}" destId="{AA28C24F-6F62-4D62-A319-C07269758961}" srcOrd="1" destOrd="0" parTransId="{496B66A4-9CF2-4EF5-8509-23E85CC12505}" sibTransId="{9B7C0AF5-C132-465F-9D89-B91A299959FA}"/>
    <dgm:cxn modelId="{CF1C6044-5943-4913-83B7-3AAD1205FBEE}" srcId="{D1C6AC21-5971-408D-AD5A-2B08FE855EE7}" destId="{DCE39AB7-C496-48A8-8682-FC12035DFCCD}" srcOrd="0" destOrd="0" parTransId="{BB4D75C1-AE26-4668-B71E-D022417ABF64}" sibTransId="{55CC02F1-77D1-4BAE-BB58-1DCD06A99930}"/>
    <dgm:cxn modelId="{145AFEEC-FB91-440D-B4EB-517FEB395D2B}" type="presOf" srcId="{94A38A07-FA8A-4E04-BA83-DEC6755D5A71}" destId="{0402E29A-96C8-4E1F-90FC-726FFA2C37A7}" srcOrd="0" destOrd="0" presId="urn:microsoft.com/office/officeart/2005/8/layout/hChevron3"/>
    <dgm:cxn modelId="{791C0C42-177A-44E9-B91E-836CCEE08358}" type="presOf" srcId="{DCE39AB7-C496-48A8-8682-FC12035DFCCD}" destId="{B67E1932-F360-4B0D-81E2-B1EF6C3554B3}" srcOrd="0" destOrd="0" presId="urn:microsoft.com/office/officeart/2005/8/layout/hChevron3"/>
    <dgm:cxn modelId="{637173EB-5D1B-4DA1-8138-0DE72130A20B}" type="presOf" srcId="{AA28C24F-6F62-4D62-A319-C07269758961}" destId="{C02368D3-3D2F-4216-8700-A8A716D08BA9}" srcOrd="0" destOrd="0" presId="urn:microsoft.com/office/officeart/2005/8/layout/hChevron3"/>
    <dgm:cxn modelId="{CCEC86C8-BE69-4CAF-B398-6E55F86297B7}" type="presParOf" srcId="{3793961A-9F15-4F30-8A9F-7F31DAE3CE1D}" destId="{B67E1932-F360-4B0D-81E2-B1EF6C3554B3}" srcOrd="0" destOrd="0" presId="urn:microsoft.com/office/officeart/2005/8/layout/hChevron3"/>
    <dgm:cxn modelId="{7B9A721C-AA7E-40DC-B516-D517769EF2A1}" type="presParOf" srcId="{3793961A-9F15-4F30-8A9F-7F31DAE3CE1D}" destId="{91CF2F43-5EC9-430D-AC88-C2A133E95324}" srcOrd="1" destOrd="0" presId="urn:microsoft.com/office/officeart/2005/8/layout/hChevron3"/>
    <dgm:cxn modelId="{9E9F9AF2-1FD5-43F1-9C95-156E90848A87}" type="presParOf" srcId="{3793961A-9F15-4F30-8A9F-7F31DAE3CE1D}" destId="{C02368D3-3D2F-4216-8700-A8A716D08BA9}" srcOrd="2" destOrd="0" presId="urn:microsoft.com/office/officeart/2005/8/layout/hChevron3"/>
    <dgm:cxn modelId="{9F01EC90-46DB-459E-A3DC-9D30B36F1774}" type="presParOf" srcId="{3793961A-9F15-4F30-8A9F-7F31DAE3CE1D}" destId="{EE7BC35C-3C61-4A60-B814-5B686CF945F4}" srcOrd="3" destOrd="0" presId="urn:microsoft.com/office/officeart/2005/8/layout/hChevron3"/>
    <dgm:cxn modelId="{80FF461E-FF06-4707-BDB3-0DAE82592F5B}"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82"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3d2" qsCatId="3D" csTypeId="urn:microsoft.com/office/officeart/2005/8/colors/accent1_2#7" csCatId="accent1" phldr="1"/>
      <dgm:spPr/>
      <dgm:t>
        <a:bodyPr/>
        <a:lstStyle/>
        <a:p>
          <a:endParaRPr lang="sk-SK"/>
        </a:p>
      </dgm:t>
    </dgm:pt>
    <dgm:pt modelId="{944F26D9-7F96-4DB4-B04A-78AEF668FBF1}">
      <dgm:prSet phldrT="[Text]"/>
      <dgm:spPr>
        <a:xfrm>
          <a:off x="2701" y="123960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Doručenie ŽoNFP na RO</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022016"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doručená riadne, včas a vo forme určenej RO</a:t>
          </a:r>
        </a:p>
      </dgm:t>
    </dgm:pt>
    <dgm:pt modelId="{E6F583D6-BFCD-4309-BC3D-AB025072092D}" type="parTrans" cxnId="{61C8D132-C156-4030-94FA-1377A80BD870}">
      <dgm:prSet/>
      <dgm:spPr>
        <a:xfrm rot="19457599">
          <a:off x="1378286" y="1372578"/>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4041330"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Registrácia doručenej ŽoNFP</a:t>
          </a:r>
        </a:p>
      </dgm:t>
    </dgm:pt>
    <dgm:pt modelId="{ED473CB6-6C03-4FC1-8247-2DF0DE310D2B}" type="parTrans" cxnId="{DE748A73-7419-439B-851B-FD04F9BB4270}">
      <dgm:prSet/>
      <dgm:spPr>
        <a:xfrm>
          <a:off x="3464383" y="1165238"/>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4041330"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Rozhodnutie o zastavení konania</a:t>
          </a:r>
        </a:p>
      </dgm:t>
    </dgm:pt>
    <dgm:pt modelId="{9145A07A-811F-45C6-B050-199CE61FC63A}" type="parTrans" cxnId="{3F2E756C-B7A2-4123-A5B8-B2A34DAB5360}">
      <dgm:prSet/>
      <dgm:spPr>
        <a:xfrm>
          <a:off x="3464383" y="1994599"/>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022016"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nie je doručená riadne a/alebo včas a /alebo vo forme určenej RO</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2142401">
          <a:off x="1378286" y="1787259"/>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2"/>
      <dgm:spPr>
        <a:custGeom>
          <a:avLst/>
          <a:gdLst/>
          <a:ahLst/>
          <a:cxnLst/>
          <a:rect l="0" t="0" r="0" b="0"/>
          <a:pathLst>
            <a:path>
              <a:moveTo>
                <a:pt x="0" y="20280"/>
              </a:moveTo>
              <a:lnTo>
                <a:pt x="710512" y="20280"/>
              </a:lnTo>
            </a:path>
          </a:pathLst>
        </a:custGeom>
      </dgm:spPr>
      <dgm:t>
        <a:bodyPr/>
        <a:lstStyle/>
        <a:p>
          <a:endParaRPr lang="sk-SK"/>
        </a:p>
      </dgm:t>
    </dgm:pt>
    <dgm:pt modelId="{12563E7A-00DB-4F31-AAF3-149D17702F39}" type="pres">
      <dgm:prSet presAssocID="{E6F583D6-BFCD-4309-BC3D-AB025072092D}" presName="connTx" presStyleLbl="parChTrans1D2" presStyleIdx="0" presStyleCnt="2"/>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2"/>
      <dgm:spPr>
        <a:custGeom>
          <a:avLst/>
          <a:gdLst/>
          <a:ahLst/>
          <a:cxnLst/>
          <a:rect l="0" t="0" r="0" b="0"/>
          <a:pathLst>
            <a:path>
              <a:moveTo>
                <a:pt x="0" y="20280"/>
              </a:moveTo>
              <a:lnTo>
                <a:pt x="576947" y="20280"/>
              </a:lnTo>
            </a:path>
          </a:pathLst>
        </a:custGeom>
      </dgm:spPr>
      <dgm:t>
        <a:bodyPr/>
        <a:lstStyle/>
        <a:p>
          <a:endParaRPr lang="sk-SK"/>
        </a:p>
      </dgm:t>
    </dgm:pt>
    <dgm:pt modelId="{59218CF9-3552-428F-8741-4650099ABC2A}" type="pres">
      <dgm:prSet presAssocID="{ED473CB6-6C03-4FC1-8247-2DF0DE310D2B}" presName="connTx" presStyleLbl="parChTrans1D3" presStyleIdx="0" presStyleCnt="2"/>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2">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2"/>
      <dgm:spPr>
        <a:custGeom>
          <a:avLst/>
          <a:gdLst/>
          <a:ahLst/>
          <a:cxnLst/>
          <a:rect l="0" t="0" r="0" b="0"/>
          <a:pathLst>
            <a:path>
              <a:moveTo>
                <a:pt x="0" y="20280"/>
              </a:moveTo>
              <a:lnTo>
                <a:pt x="710512" y="20280"/>
              </a:lnTo>
            </a:path>
          </a:pathLst>
        </a:custGeom>
      </dgm:spPr>
      <dgm:t>
        <a:bodyPr/>
        <a:lstStyle/>
        <a:p>
          <a:endParaRPr lang="sk-SK"/>
        </a:p>
      </dgm:t>
    </dgm:pt>
    <dgm:pt modelId="{83EEA1C7-16B8-4E1E-BAEC-63AF42807367}" type="pres">
      <dgm:prSet presAssocID="{A50926C5-B053-4609-8A13-791A81FEF030}" presName="connTx" presStyleLbl="parChTrans1D2" presStyleIdx="1" presStyleCnt="2"/>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2"/>
      <dgm:spPr>
        <a:custGeom>
          <a:avLst/>
          <a:gdLst/>
          <a:ahLst/>
          <a:cxnLst/>
          <a:rect l="0" t="0" r="0" b="0"/>
          <a:pathLst>
            <a:path>
              <a:moveTo>
                <a:pt x="0" y="20280"/>
              </a:moveTo>
              <a:lnTo>
                <a:pt x="576947" y="20280"/>
              </a:lnTo>
            </a:path>
          </a:pathLst>
        </a:custGeom>
      </dgm:spPr>
      <dgm:t>
        <a:bodyPr/>
        <a:lstStyle/>
        <a:p>
          <a:endParaRPr lang="sk-SK"/>
        </a:p>
      </dgm:t>
    </dgm:pt>
    <dgm:pt modelId="{C68D7FD7-A0C2-46F9-A596-669DD0E67FB8}" type="pres">
      <dgm:prSet presAssocID="{9145A07A-811F-45C6-B050-199CE61FC63A}" presName="connTx" presStyleLbl="parChTrans1D3" presStyleIdx="1" presStyleCnt="2"/>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2">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Lst>
  <dgm:cxnLst>
    <dgm:cxn modelId="{E41ECADA-46F2-4FB4-A7B9-C3E287C4E72F}" type="presOf" srcId="{A50926C5-B053-4609-8A13-791A81FEF030}" destId="{2D7347FF-F8E2-485E-B0C2-A750C56F748E}" srcOrd="0" destOrd="0" presId="urn:microsoft.com/office/officeart/2005/8/layout/hierarchy2"/>
    <dgm:cxn modelId="{03A7D15D-F200-4558-B989-A9E4D48732A5}" type="presOf" srcId="{9145A07A-811F-45C6-B050-199CE61FC63A}" destId="{4ED72815-A081-4CEB-9EDA-E9A661596D18}" srcOrd="0" destOrd="0" presId="urn:microsoft.com/office/officeart/2005/8/layout/hierarchy2"/>
    <dgm:cxn modelId="{89F66F7B-F24E-4516-8AE9-AFF1D2F1BCE8}" type="presOf" srcId="{E6B6B3F7-6451-4D7F-A364-10EF151E2758}" destId="{08CA2AB2-5D3C-47AF-AD71-274655C10F0B}" srcOrd="0"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A8043C15-9163-412E-83B1-47418096FA36}" type="presOf" srcId="{A50926C5-B053-4609-8A13-791A81FEF030}" destId="{83EEA1C7-16B8-4E1E-BAEC-63AF42807367}" srcOrd="1" destOrd="0" presId="urn:microsoft.com/office/officeart/2005/8/layout/hierarchy2"/>
    <dgm:cxn modelId="{3C7F1E1A-FE65-4CDB-8743-CC5486BBA4D2}" type="presOf" srcId="{ED473CB6-6C03-4FC1-8247-2DF0DE310D2B}" destId="{59218CF9-3552-428F-8741-4650099ABC2A}" srcOrd="1" destOrd="0" presId="urn:microsoft.com/office/officeart/2005/8/layout/hierarchy2"/>
    <dgm:cxn modelId="{7F684235-0716-4B6C-8AD7-7942911938C2}" type="presOf" srcId="{E6F583D6-BFCD-4309-BC3D-AB025072092D}" destId="{12563E7A-00DB-4F31-AAF3-149D17702F39}" srcOrd="1"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A51D7A8D-0350-4A48-A56D-D7D809FE5EFD}" type="presOf" srcId="{9145A07A-811F-45C6-B050-199CE61FC63A}" destId="{C68D7FD7-A0C2-46F9-A596-669DD0E67FB8}" srcOrd="1" destOrd="0" presId="urn:microsoft.com/office/officeart/2005/8/layout/hierarchy2"/>
    <dgm:cxn modelId="{1174FFAA-F210-4B20-9E09-B18444870EDB}" srcId="{944F26D9-7F96-4DB4-B04A-78AEF668FBF1}" destId="{FA1CC950-E7B5-4DDF-AB45-BAD15C0A3234}" srcOrd="1" destOrd="0" parTransId="{A50926C5-B053-4609-8A13-791A81FEF030}" sibTransId="{2AD902F7-731C-4E64-AD4C-55363E59C96E}"/>
    <dgm:cxn modelId="{3F2E756C-B7A2-4123-A5B8-B2A34DAB5360}" srcId="{FA1CC950-E7B5-4DDF-AB45-BAD15C0A3234}" destId="{7D154B1A-EE5B-4B32-BB4C-6E18C99E86F1}" srcOrd="0" destOrd="0" parTransId="{9145A07A-811F-45C6-B050-199CE61FC63A}" sibTransId="{533209A1-4660-4E5C-9FAC-39AFBFBC6CCC}"/>
    <dgm:cxn modelId="{69096855-896E-44FD-A03C-629FB7636935}" type="presOf" srcId="{FA1CC950-E7B5-4DDF-AB45-BAD15C0A3234}" destId="{6898A610-2F97-4B55-9A9B-3F73A1FD27CD}" srcOrd="0" destOrd="0" presId="urn:microsoft.com/office/officeart/2005/8/layout/hierarchy2"/>
    <dgm:cxn modelId="{61C8D132-C156-4030-94FA-1377A80BD870}" srcId="{944F26D9-7F96-4DB4-B04A-78AEF668FBF1}" destId="{E6B6B3F7-6451-4D7F-A364-10EF151E2758}" srcOrd="0" destOrd="0" parTransId="{E6F583D6-BFCD-4309-BC3D-AB025072092D}" sibTransId="{BE7661F7-95E7-4916-BB3D-FBED36E99B54}"/>
    <dgm:cxn modelId="{7B97A8A5-2D13-4888-A08B-9117F1D1B71D}" type="presOf" srcId="{E6F583D6-BFCD-4309-BC3D-AB025072092D}" destId="{58329EFC-43E5-4A70-A631-E56F9E671367}" srcOrd="0" destOrd="0" presId="urn:microsoft.com/office/officeart/2005/8/layout/hierarchy2"/>
    <dgm:cxn modelId="{E2AD0062-C933-484D-AB56-EFA7FF64B45C}" type="presOf" srcId="{B9797B78-C7BB-43F8-9DFB-E8FA153469F7}" destId="{BFEB0746-1559-4AB8-9186-D3C71FF6CD71}" srcOrd="0" destOrd="0" presId="urn:microsoft.com/office/officeart/2005/8/layout/hierarchy2"/>
    <dgm:cxn modelId="{32A12326-E151-4043-A442-7A6652404605}" type="presOf" srcId="{944F26D9-7F96-4DB4-B04A-78AEF668FBF1}" destId="{34C8C88C-7B05-494C-8715-A318FBC9A223}" srcOrd="0" destOrd="0" presId="urn:microsoft.com/office/officeart/2005/8/layout/hierarchy2"/>
    <dgm:cxn modelId="{F9CD0E3A-3C37-44AE-918F-30393643D6E9}" type="presOf" srcId="{7D154B1A-EE5B-4B32-BB4C-6E18C99E86F1}" destId="{E5C3F144-3AB1-4041-A4FB-8B06B9600829}" srcOrd="0" destOrd="0" presId="urn:microsoft.com/office/officeart/2005/8/layout/hierarchy2"/>
    <dgm:cxn modelId="{B30317B0-3A4B-49AB-BFC1-456D7B3C20A7}" type="presOf" srcId="{C9D81C3F-2C66-4278-8C48-7DFA19012DC8}" destId="{158FBC8E-B874-4663-9094-01DA4CF1E41D}" srcOrd="0" destOrd="0" presId="urn:microsoft.com/office/officeart/2005/8/layout/hierarchy2"/>
    <dgm:cxn modelId="{0DC92139-04C7-40CC-B97F-A89AEE5291CD}" type="presOf" srcId="{ED473CB6-6C03-4FC1-8247-2DF0DE310D2B}" destId="{CBA1ED5A-2759-433B-93A9-1BF9D50BA01A}" srcOrd="0" destOrd="0" presId="urn:microsoft.com/office/officeart/2005/8/layout/hierarchy2"/>
    <dgm:cxn modelId="{1E083BD5-F73C-4D85-91C6-FFE1B24B80C4}" type="presParOf" srcId="{BFEB0746-1559-4AB8-9186-D3C71FF6CD71}" destId="{24B839F0-2081-47A9-A7EF-D86295866233}" srcOrd="0" destOrd="0" presId="urn:microsoft.com/office/officeart/2005/8/layout/hierarchy2"/>
    <dgm:cxn modelId="{8518DECC-3E70-49A8-87B1-329AB84D16D1}" type="presParOf" srcId="{24B839F0-2081-47A9-A7EF-D86295866233}" destId="{34C8C88C-7B05-494C-8715-A318FBC9A223}" srcOrd="0" destOrd="0" presId="urn:microsoft.com/office/officeart/2005/8/layout/hierarchy2"/>
    <dgm:cxn modelId="{36A9C5FF-B33D-4753-8DEE-8586D10EC45B}" type="presParOf" srcId="{24B839F0-2081-47A9-A7EF-D86295866233}" destId="{E40CBC4D-C4A7-459F-A631-5463B4932592}" srcOrd="1" destOrd="0" presId="urn:microsoft.com/office/officeart/2005/8/layout/hierarchy2"/>
    <dgm:cxn modelId="{DEB0535B-B971-40B2-AD91-1A28109FC920}" type="presParOf" srcId="{E40CBC4D-C4A7-459F-A631-5463B4932592}" destId="{58329EFC-43E5-4A70-A631-E56F9E671367}" srcOrd="0" destOrd="0" presId="urn:microsoft.com/office/officeart/2005/8/layout/hierarchy2"/>
    <dgm:cxn modelId="{4FF583DA-3342-4F40-A761-999FC166FAB0}" type="presParOf" srcId="{58329EFC-43E5-4A70-A631-E56F9E671367}" destId="{12563E7A-00DB-4F31-AAF3-149D17702F39}" srcOrd="0" destOrd="0" presId="urn:microsoft.com/office/officeart/2005/8/layout/hierarchy2"/>
    <dgm:cxn modelId="{BE5B5860-C0E1-465E-991C-4C1009A38705}" type="presParOf" srcId="{E40CBC4D-C4A7-459F-A631-5463B4932592}" destId="{CC62871F-A219-4C33-BC01-57007904F49F}" srcOrd="1" destOrd="0" presId="urn:microsoft.com/office/officeart/2005/8/layout/hierarchy2"/>
    <dgm:cxn modelId="{E79465DD-8686-4053-90CB-457D6209D33A}" type="presParOf" srcId="{CC62871F-A219-4C33-BC01-57007904F49F}" destId="{08CA2AB2-5D3C-47AF-AD71-274655C10F0B}" srcOrd="0" destOrd="0" presId="urn:microsoft.com/office/officeart/2005/8/layout/hierarchy2"/>
    <dgm:cxn modelId="{30EDE127-EC14-43C9-BAEC-106EC028B345}" type="presParOf" srcId="{CC62871F-A219-4C33-BC01-57007904F49F}" destId="{7D0128D5-2D9A-488A-A7D6-84E9F9EA0B8C}" srcOrd="1" destOrd="0" presId="urn:microsoft.com/office/officeart/2005/8/layout/hierarchy2"/>
    <dgm:cxn modelId="{0E42F0C4-899C-43A4-8296-F29834F1E82D}" type="presParOf" srcId="{7D0128D5-2D9A-488A-A7D6-84E9F9EA0B8C}" destId="{CBA1ED5A-2759-433B-93A9-1BF9D50BA01A}" srcOrd="0" destOrd="0" presId="urn:microsoft.com/office/officeart/2005/8/layout/hierarchy2"/>
    <dgm:cxn modelId="{FC290FE0-CB16-479D-9667-AC34FC1519CF}" type="presParOf" srcId="{CBA1ED5A-2759-433B-93A9-1BF9D50BA01A}" destId="{59218CF9-3552-428F-8741-4650099ABC2A}" srcOrd="0" destOrd="0" presId="urn:microsoft.com/office/officeart/2005/8/layout/hierarchy2"/>
    <dgm:cxn modelId="{F534968B-C839-4B80-B6D3-FB455FF1384C}" type="presParOf" srcId="{7D0128D5-2D9A-488A-A7D6-84E9F9EA0B8C}" destId="{14A3D0CB-DF40-4C4E-99B8-8C0DCC6AF979}" srcOrd="1" destOrd="0" presId="urn:microsoft.com/office/officeart/2005/8/layout/hierarchy2"/>
    <dgm:cxn modelId="{FCB26936-01C2-432D-98D6-865FE79C6EBA}" type="presParOf" srcId="{14A3D0CB-DF40-4C4E-99B8-8C0DCC6AF979}" destId="{158FBC8E-B874-4663-9094-01DA4CF1E41D}" srcOrd="0" destOrd="0" presId="urn:microsoft.com/office/officeart/2005/8/layout/hierarchy2"/>
    <dgm:cxn modelId="{49580F26-79CE-4A85-9230-268AA710C88F}" type="presParOf" srcId="{14A3D0CB-DF40-4C4E-99B8-8C0DCC6AF979}" destId="{38193445-3EC9-483F-BFFF-0656AAD5BC06}" srcOrd="1" destOrd="0" presId="urn:microsoft.com/office/officeart/2005/8/layout/hierarchy2"/>
    <dgm:cxn modelId="{9ACD11D2-3356-4B5E-B29B-07218D4BA763}" type="presParOf" srcId="{E40CBC4D-C4A7-459F-A631-5463B4932592}" destId="{2D7347FF-F8E2-485E-B0C2-A750C56F748E}" srcOrd="2" destOrd="0" presId="urn:microsoft.com/office/officeart/2005/8/layout/hierarchy2"/>
    <dgm:cxn modelId="{D57502FC-3BCC-4CE5-91BA-818E20CCBBC7}" type="presParOf" srcId="{2D7347FF-F8E2-485E-B0C2-A750C56F748E}" destId="{83EEA1C7-16B8-4E1E-BAEC-63AF42807367}" srcOrd="0" destOrd="0" presId="urn:microsoft.com/office/officeart/2005/8/layout/hierarchy2"/>
    <dgm:cxn modelId="{795461C1-B735-4DF1-BFE9-D730932AF6E1}" type="presParOf" srcId="{E40CBC4D-C4A7-459F-A631-5463B4932592}" destId="{852B9484-AFC6-4B70-816C-4AB5C48F0014}" srcOrd="3" destOrd="0" presId="urn:microsoft.com/office/officeart/2005/8/layout/hierarchy2"/>
    <dgm:cxn modelId="{30A805F3-3A8C-47A3-BF19-01CAFD0A2BF9}" type="presParOf" srcId="{852B9484-AFC6-4B70-816C-4AB5C48F0014}" destId="{6898A610-2F97-4B55-9A9B-3F73A1FD27CD}" srcOrd="0" destOrd="0" presId="urn:microsoft.com/office/officeart/2005/8/layout/hierarchy2"/>
    <dgm:cxn modelId="{5B54FA9B-F2D9-4D8A-8E50-71661209C38B}" type="presParOf" srcId="{852B9484-AFC6-4B70-816C-4AB5C48F0014}" destId="{01A81BB0-3E19-4C72-9D4A-4ACDC93C3FC9}" srcOrd="1" destOrd="0" presId="urn:microsoft.com/office/officeart/2005/8/layout/hierarchy2"/>
    <dgm:cxn modelId="{62BB5725-9F62-4D47-A4DD-66B9977A34C6}" type="presParOf" srcId="{01A81BB0-3E19-4C72-9D4A-4ACDC93C3FC9}" destId="{4ED72815-A081-4CEB-9EDA-E9A661596D18}" srcOrd="0" destOrd="0" presId="urn:microsoft.com/office/officeart/2005/8/layout/hierarchy2"/>
    <dgm:cxn modelId="{5B363A23-FBE5-45C0-A7C0-BC763FC9F698}" type="presParOf" srcId="{4ED72815-A081-4CEB-9EDA-E9A661596D18}" destId="{C68D7FD7-A0C2-46F9-A596-669DD0E67FB8}" srcOrd="0" destOrd="0" presId="urn:microsoft.com/office/officeart/2005/8/layout/hierarchy2"/>
    <dgm:cxn modelId="{B958AE76-DD8F-4EFF-957C-4F8693FC9131}" type="presParOf" srcId="{01A81BB0-3E19-4C72-9D4A-4ACDC93C3FC9}" destId="{BD06DAAA-6BD6-470A-9E72-21D7243D3509}" srcOrd="1" destOrd="0" presId="urn:microsoft.com/office/officeart/2005/8/layout/hierarchy2"/>
    <dgm:cxn modelId="{51E9B01F-56F3-4361-95EF-8A3B722F4EFD}" type="presParOf" srcId="{BD06DAAA-6BD6-470A-9E72-21D7243D3509}" destId="{E5C3F144-3AB1-4041-A4FB-8B06B9600829}" srcOrd="0" destOrd="0" presId="urn:microsoft.com/office/officeart/2005/8/layout/hierarchy2"/>
    <dgm:cxn modelId="{3607335E-84DD-4847-8416-4947734E2ACD}" type="presParOf" srcId="{BD06DAAA-6BD6-470A-9E72-21D7243D3509}" destId="{2A292003-FA94-4CC0-9426-6E6A74D4A18A}" srcOrd="1" destOrd="0" presId="urn:microsoft.com/office/officeart/2005/8/layout/hierarchy2"/>
  </dgm:cxnLst>
  <dgm:bg/>
  <dgm:whole/>
  <dgm:extLst>
    <a:ext uri="http://schemas.microsoft.com/office/drawing/2008/diagram">
      <dsp:dataModelExt xmlns:dsp="http://schemas.microsoft.com/office/drawing/2008/diagram" relId="rId87"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8"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196A7F28-E189-49D2-845F-372C5367E5CA}" srcId="{ECA2D14E-E2DE-4087-9C5D-8046ADCA7E57}" destId="{DB7129B6-2D08-4FC8-A646-CE4FE2518898}" srcOrd="1" destOrd="0" parTransId="{4361B38E-C5B1-4165-A7C1-D86294193BFB}" sibTransId="{934177E2-2057-4498-AF13-53C992354198}"/>
    <dgm:cxn modelId="{3CA0D3BE-DE6A-460B-893D-813F8847E87E}" srcId="{944F26D9-7F96-4DB4-B04A-78AEF668FBF1}" destId="{ECA2D14E-E2DE-4087-9C5D-8046ADCA7E57}" srcOrd="2" destOrd="0" parTransId="{5F01D628-F2ED-4511-8F5C-5EE028124AFF}" sibTransId="{F17A4CE5-B5EE-4ECC-BB1D-7B8D79EA77C8}"/>
    <dgm:cxn modelId="{1174FFAA-F210-4B20-9E09-B18444870EDB}" srcId="{944F26D9-7F96-4DB4-B04A-78AEF668FBF1}" destId="{FA1CC950-E7B5-4DDF-AB45-BAD15C0A3234}" srcOrd="1" destOrd="0" parTransId="{A50926C5-B053-4609-8A13-791A81FEF030}" sibTransId="{2AD902F7-731C-4E64-AD4C-55363E59C96E}"/>
    <dgm:cxn modelId="{88BD0AFC-BD30-46D2-9DE2-D9357D7BF6F2}" type="presOf" srcId="{A50926C5-B053-4609-8A13-791A81FEF030}" destId="{83EEA1C7-16B8-4E1E-BAEC-63AF42807367}" srcOrd="1" destOrd="0" presId="urn:microsoft.com/office/officeart/2005/8/layout/hierarchy2"/>
    <dgm:cxn modelId="{5A99E708-20EB-4B8C-AC90-70352A24B175}" type="presOf" srcId="{5BDC688A-2392-4FEA-A247-C3F560443780}" destId="{7101A089-C9D6-4889-B812-52A0BB21EF3F}" srcOrd="1" destOrd="0" presId="urn:microsoft.com/office/officeart/2005/8/layout/hierarchy2"/>
    <dgm:cxn modelId="{0450D0D0-1E64-43E7-B9B8-56101667CFAF}" type="presOf" srcId="{4361B38E-C5B1-4165-A7C1-D86294193BFB}" destId="{BD8DE141-6F33-41CA-A362-12945E62E9B5}" srcOrd="0" destOrd="0" presId="urn:microsoft.com/office/officeart/2005/8/layout/hierarchy2"/>
    <dgm:cxn modelId="{44E96AF7-2491-478A-B811-7EBD1FF7B68D}" type="presOf" srcId="{19C30D0F-140C-4FC9-A167-300BCC4B663B}" destId="{7569289F-F9A0-4BEB-937E-A66C6C7EFC35}" srcOrd="0" destOrd="0" presId="urn:microsoft.com/office/officeart/2005/8/layout/hierarchy2"/>
    <dgm:cxn modelId="{A512844F-5F15-4255-BFDD-8BC84B5019CE}" type="presOf" srcId="{944F26D9-7F96-4DB4-B04A-78AEF668FBF1}" destId="{34C8C88C-7B05-494C-8715-A318FBC9A223}"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4453B8B1-DD6E-47F7-AD6B-B9687811BE56}" type="presOf" srcId="{9145A07A-811F-45C6-B050-199CE61FC63A}" destId="{4ED72815-A081-4CEB-9EDA-E9A661596D18}" srcOrd="0" destOrd="0" presId="urn:microsoft.com/office/officeart/2005/8/layout/hierarchy2"/>
    <dgm:cxn modelId="{4887E573-AA00-4162-AE05-D2404972F3CB}" type="presOf" srcId="{E6F583D6-BFCD-4309-BC3D-AB025072092D}" destId="{58329EFC-43E5-4A70-A631-E56F9E671367}" srcOrd="0" destOrd="0" presId="urn:microsoft.com/office/officeart/2005/8/layout/hierarchy2"/>
    <dgm:cxn modelId="{3F2E756C-B7A2-4123-A5B8-B2A34DAB5360}" srcId="{FA1CC950-E7B5-4DDF-AB45-BAD15C0A3234}" destId="{7D154B1A-EE5B-4B32-BB4C-6E18C99E86F1}" srcOrd="0" destOrd="0" parTransId="{9145A07A-811F-45C6-B050-199CE61FC63A}" sibTransId="{533209A1-4660-4E5C-9FAC-39AFBFBC6CCC}"/>
    <dgm:cxn modelId="{8A9D53AF-AD97-4787-B617-A13A095563D3}" srcId="{ECA2D14E-E2DE-4087-9C5D-8046ADCA7E57}" destId="{19C30D0F-140C-4FC9-A167-300BCC4B663B}" srcOrd="0" destOrd="0" parTransId="{5BDC688A-2392-4FEA-A247-C3F560443780}" sibTransId="{243ECE40-4B61-451D-AD7A-5E01B3D82B29}"/>
    <dgm:cxn modelId="{3C0D0D16-5E9F-4D44-A780-A902D31140C0}" type="presOf" srcId="{ECA2D14E-E2DE-4087-9C5D-8046ADCA7E57}" destId="{8DDBB6C2-FDBD-4EC2-8B16-FB97A5BEC13C}" srcOrd="0" destOrd="0" presId="urn:microsoft.com/office/officeart/2005/8/layout/hierarchy2"/>
    <dgm:cxn modelId="{78CF7096-494E-4AA4-9820-EB9FD992E7D6}" type="presOf" srcId="{C9D81C3F-2C66-4278-8C48-7DFA19012DC8}" destId="{158FBC8E-B874-4663-9094-01DA4CF1E41D}" srcOrd="0" destOrd="0" presId="urn:microsoft.com/office/officeart/2005/8/layout/hierarchy2"/>
    <dgm:cxn modelId="{8BF16D89-F43C-4204-9C6F-0DEA723E70D0}" type="presOf" srcId="{E6F583D6-BFCD-4309-BC3D-AB025072092D}" destId="{12563E7A-00DB-4F31-AAF3-149D17702F39}" srcOrd="1" destOrd="0" presId="urn:microsoft.com/office/officeart/2005/8/layout/hierarchy2"/>
    <dgm:cxn modelId="{3C8CAC1B-3635-4628-B014-0897D4338381}" type="presOf" srcId="{ED8E9678-3C26-42D4-B253-912AB3FA2FAE}" destId="{50E4F072-7931-4998-B0BB-3D071C4FAC98}" srcOrd="1" destOrd="0" presId="urn:microsoft.com/office/officeart/2005/8/layout/hierarchy2"/>
    <dgm:cxn modelId="{DAC1F275-9219-4F38-8E92-97A13E88E50C}" type="presOf" srcId="{ED473CB6-6C03-4FC1-8247-2DF0DE310D2B}" destId="{59218CF9-3552-428F-8741-4650099ABC2A}" srcOrd="1" destOrd="0" presId="urn:microsoft.com/office/officeart/2005/8/layout/hierarchy2"/>
    <dgm:cxn modelId="{B66FBE13-354C-488D-90DF-14615CFDB841}" type="presOf" srcId="{5F01D628-F2ED-4511-8F5C-5EE028124AFF}" destId="{38EB2FAB-C7D0-4D8F-95C2-0EE881BF55E5}" srcOrd="0" destOrd="0" presId="urn:microsoft.com/office/officeart/2005/8/layout/hierarchy2"/>
    <dgm:cxn modelId="{B9A4BB27-6CE5-4506-A99C-12CFCC6C6203}" type="presOf" srcId="{4361B38E-C5B1-4165-A7C1-D86294193BFB}" destId="{F5811782-242A-4CDF-AC22-C0B702E520F0}" srcOrd="1"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61C8D132-C156-4030-94FA-1377A80BD870}" srcId="{944F26D9-7F96-4DB4-B04A-78AEF668FBF1}" destId="{E6B6B3F7-6451-4D7F-A364-10EF151E2758}" srcOrd="0" destOrd="0" parTransId="{E6F583D6-BFCD-4309-BC3D-AB025072092D}" sibTransId="{BE7661F7-95E7-4916-BB3D-FBED36E99B54}"/>
    <dgm:cxn modelId="{CE0EFB3E-C262-4D0F-9D07-43AAD7655417}" type="presOf" srcId="{3D9FCB0A-4AC9-40BE-B2AB-25A68E4EB363}" destId="{1240CE2A-12EF-4101-909B-DBE20E9DA603}" srcOrd="0" destOrd="0" presId="urn:microsoft.com/office/officeart/2005/8/layout/hierarchy2"/>
    <dgm:cxn modelId="{7A1B9C7B-58F3-4D21-8D01-79BB0F7D9CC4}" type="presOf" srcId="{7D154B1A-EE5B-4B32-BB4C-6E18C99E86F1}" destId="{E5C3F144-3AB1-4041-A4FB-8B06B9600829}" srcOrd="0" destOrd="0" presId="urn:microsoft.com/office/officeart/2005/8/layout/hierarchy2"/>
    <dgm:cxn modelId="{A79B8B77-508C-4FB4-B2D3-13F0FD9931BC}" type="presOf" srcId="{9145A07A-811F-45C6-B050-199CE61FC63A}" destId="{C68D7FD7-A0C2-46F9-A596-669DD0E67FB8}" srcOrd="1" destOrd="0" presId="urn:microsoft.com/office/officeart/2005/8/layout/hierarchy2"/>
    <dgm:cxn modelId="{4A2A65EB-C073-4DF6-81EC-5FF47DD12BE0}" type="presOf" srcId="{ED473CB6-6C03-4FC1-8247-2DF0DE310D2B}" destId="{CBA1ED5A-2759-433B-93A9-1BF9D50BA01A}" srcOrd="0" destOrd="0" presId="urn:microsoft.com/office/officeart/2005/8/layout/hierarchy2"/>
    <dgm:cxn modelId="{D90EB400-29A2-43CD-9FD8-F7EED0751E04}" type="presOf" srcId="{DB7129B6-2D08-4FC8-A646-CE4FE2518898}" destId="{71FC0E61-F591-486B-920A-552B564125B5}" srcOrd="0" destOrd="0" presId="urn:microsoft.com/office/officeart/2005/8/layout/hierarchy2"/>
    <dgm:cxn modelId="{B40CE27B-E9E3-49C3-A0F6-02FE56588CC6}" type="presOf" srcId="{5F01D628-F2ED-4511-8F5C-5EE028124AFF}" destId="{1891BE2D-2DE2-48D3-A0A0-8A5CBE00E2BC}" srcOrd="1" destOrd="0" presId="urn:microsoft.com/office/officeart/2005/8/layout/hierarchy2"/>
    <dgm:cxn modelId="{C67B4B0B-4F3E-4E6E-A937-1E94FD8FE638}" type="presOf" srcId="{E6B6B3F7-6451-4D7F-A364-10EF151E2758}" destId="{08CA2AB2-5D3C-47AF-AD71-274655C10F0B}" srcOrd="0" destOrd="0" presId="urn:microsoft.com/office/officeart/2005/8/layout/hierarchy2"/>
    <dgm:cxn modelId="{448009DE-E7B8-4531-A085-09AF8AA8D50A}" type="presOf" srcId="{FA1CC950-E7B5-4DDF-AB45-BAD15C0A3234}" destId="{6898A610-2F97-4B55-9A9B-3F73A1FD27CD}" srcOrd="0" destOrd="0" presId="urn:microsoft.com/office/officeart/2005/8/layout/hierarchy2"/>
    <dgm:cxn modelId="{25E02442-6189-45F2-B071-57418B55AEB2}" type="presOf" srcId="{A50926C5-B053-4609-8A13-791A81FEF030}" destId="{2D7347FF-F8E2-485E-B0C2-A750C56F748E}" srcOrd="0" destOrd="0" presId="urn:microsoft.com/office/officeart/2005/8/layout/hierarchy2"/>
    <dgm:cxn modelId="{C854E05E-2D4F-400C-B174-BD9844E3601B}" type="presOf" srcId="{ED8E9678-3C26-42D4-B253-912AB3FA2FAE}" destId="{B7B412FC-52A0-4445-B27F-521261890E22}"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80108F29-B15C-4C5C-840C-C3AFC682A829}" type="presOf" srcId="{5BDC688A-2392-4FEA-A247-C3F560443780}" destId="{49BFA34C-9A01-485D-80DB-164D95FDE7D7}" srcOrd="0" destOrd="0" presId="urn:microsoft.com/office/officeart/2005/8/layout/hierarchy2"/>
    <dgm:cxn modelId="{216828E3-FA8A-4962-B050-7B408FC24EFA}" type="presOf" srcId="{B9797B78-C7BB-43F8-9DFB-E8FA153469F7}" destId="{BFEB0746-1559-4AB8-9186-D3C71FF6CD71}" srcOrd="0" destOrd="0" presId="urn:microsoft.com/office/officeart/2005/8/layout/hierarchy2"/>
    <dgm:cxn modelId="{0EF1E3F8-F132-4EA2-93DB-3A3A8C06FB4E}" type="presParOf" srcId="{BFEB0746-1559-4AB8-9186-D3C71FF6CD71}" destId="{24B839F0-2081-47A9-A7EF-D86295866233}" srcOrd="0" destOrd="0" presId="urn:microsoft.com/office/officeart/2005/8/layout/hierarchy2"/>
    <dgm:cxn modelId="{96FC4CF9-CB7B-4654-BC8F-D6AF2D6D3586}" type="presParOf" srcId="{24B839F0-2081-47A9-A7EF-D86295866233}" destId="{34C8C88C-7B05-494C-8715-A318FBC9A223}" srcOrd="0" destOrd="0" presId="urn:microsoft.com/office/officeart/2005/8/layout/hierarchy2"/>
    <dgm:cxn modelId="{BEBCEC64-E3AC-43FB-A13E-615268A1EDA0}" type="presParOf" srcId="{24B839F0-2081-47A9-A7EF-D86295866233}" destId="{E40CBC4D-C4A7-459F-A631-5463B4932592}" srcOrd="1" destOrd="0" presId="urn:microsoft.com/office/officeart/2005/8/layout/hierarchy2"/>
    <dgm:cxn modelId="{9D7CA8BD-0D7E-45A5-8D9D-FE1DDD3B8C5F}" type="presParOf" srcId="{E40CBC4D-C4A7-459F-A631-5463B4932592}" destId="{58329EFC-43E5-4A70-A631-E56F9E671367}" srcOrd="0" destOrd="0" presId="urn:microsoft.com/office/officeart/2005/8/layout/hierarchy2"/>
    <dgm:cxn modelId="{2442A45F-4023-43F7-AC18-24FE6F1ABFE1}" type="presParOf" srcId="{58329EFC-43E5-4A70-A631-E56F9E671367}" destId="{12563E7A-00DB-4F31-AAF3-149D17702F39}" srcOrd="0" destOrd="0" presId="urn:microsoft.com/office/officeart/2005/8/layout/hierarchy2"/>
    <dgm:cxn modelId="{EC194441-3436-419C-892B-E31A1C24E901}" type="presParOf" srcId="{E40CBC4D-C4A7-459F-A631-5463B4932592}" destId="{CC62871F-A219-4C33-BC01-57007904F49F}" srcOrd="1" destOrd="0" presId="urn:microsoft.com/office/officeart/2005/8/layout/hierarchy2"/>
    <dgm:cxn modelId="{BF17A509-750D-43FD-BC5B-2993C3EB02F9}" type="presParOf" srcId="{CC62871F-A219-4C33-BC01-57007904F49F}" destId="{08CA2AB2-5D3C-47AF-AD71-274655C10F0B}" srcOrd="0" destOrd="0" presId="urn:microsoft.com/office/officeart/2005/8/layout/hierarchy2"/>
    <dgm:cxn modelId="{E33B8AD8-7B86-441B-A4B5-70390CECDCF3}" type="presParOf" srcId="{CC62871F-A219-4C33-BC01-57007904F49F}" destId="{7D0128D5-2D9A-488A-A7D6-84E9F9EA0B8C}" srcOrd="1" destOrd="0" presId="urn:microsoft.com/office/officeart/2005/8/layout/hierarchy2"/>
    <dgm:cxn modelId="{18BB15DD-6AD5-482F-9013-3D99D143EC46}" type="presParOf" srcId="{7D0128D5-2D9A-488A-A7D6-84E9F9EA0B8C}" destId="{CBA1ED5A-2759-433B-93A9-1BF9D50BA01A}" srcOrd="0" destOrd="0" presId="urn:microsoft.com/office/officeart/2005/8/layout/hierarchy2"/>
    <dgm:cxn modelId="{F2552B0B-9AD6-4303-9FC6-2D639FB8D8AA}" type="presParOf" srcId="{CBA1ED5A-2759-433B-93A9-1BF9D50BA01A}" destId="{59218CF9-3552-428F-8741-4650099ABC2A}" srcOrd="0" destOrd="0" presId="urn:microsoft.com/office/officeart/2005/8/layout/hierarchy2"/>
    <dgm:cxn modelId="{6F85B570-1D9E-4E89-A05A-1F11232FF32C}" type="presParOf" srcId="{7D0128D5-2D9A-488A-A7D6-84E9F9EA0B8C}" destId="{14A3D0CB-DF40-4C4E-99B8-8C0DCC6AF979}" srcOrd="1" destOrd="0" presId="urn:microsoft.com/office/officeart/2005/8/layout/hierarchy2"/>
    <dgm:cxn modelId="{68ED22CB-519D-40B1-AE49-92136CED0C58}" type="presParOf" srcId="{14A3D0CB-DF40-4C4E-99B8-8C0DCC6AF979}" destId="{158FBC8E-B874-4663-9094-01DA4CF1E41D}" srcOrd="0" destOrd="0" presId="urn:microsoft.com/office/officeart/2005/8/layout/hierarchy2"/>
    <dgm:cxn modelId="{381BC874-389E-43E4-A469-44F01E1D368E}" type="presParOf" srcId="{14A3D0CB-DF40-4C4E-99B8-8C0DCC6AF979}" destId="{38193445-3EC9-483F-BFFF-0656AAD5BC06}" srcOrd="1" destOrd="0" presId="urn:microsoft.com/office/officeart/2005/8/layout/hierarchy2"/>
    <dgm:cxn modelId="{3171DA86-D6CD-4A0D-81D9-CEBE8BC337AF}" type="presParOf" srcId="{E40CBC4D-C4A7-459F-A631-5463B4932592}" destId="{2D7347FF-F8E2-485E-B0C2-A750C56F748E}" srcOrd="2" destOrd="0" presId="urn:microsoft.com/office/officeart/2005/8/layout/hierarchy2"/>
    <dgm:cxn modelId="{76D8CF3E-D0D2-47FF-AEB5-B44011F5F094}" type="presParOf" srcId="{2D7347FF-F8E2-485E-B0C2-A750C56F748E}" destId="{83EEA1C7-16B8-4E1E-BAEC-63AF42807367}" srcOrd="0" destOrd="0" presId="urn:microsoft.com/office/officeart/2005/8/layout/hierarchy2"/>
    <dgm:cxn modelId="{2F3DD67D-4377-4E87-92F6-9C068835269D}" type="presParOf" srcId="{E40CBC4D-C4A7-459F-A631-5463B4932592}" destId="{852B9484-AFC6-4B70-816C-4AB5C48F0014}" srcOrd="3" destOrd="0" presId="urn:microsoft.com/office/officeart/2005/8/layout/hierarchy2"/>
    <dgm:cxn modelId="{D94812C7-2FBE-4E3A-96E7-EC516D488978}" type="presParOf" srcId="{852B9484-AFC6-4B70-816C-4AB5C48F0014}" destId="{6898A610-2F97-4B55-9A9B-3F73A1FD27CD}" srcOrd="0" destOrd="0" presId="urn:microsoft.com/office/officeart/2005/8/layout/hierarchy2"/>
    <dgm:cxn modelId="{E08C3444-FA27-4916-83CA-CB5C01129DA6}" type="presParOf" srcId="{852B9484-AFC6-4B70-816C-4AB5C48F0014}" destId="{01A81BB0-3E19-4C72-9D4A-4ACDC93C3FC9}" srcOrd="1" destOrd="0" presId="urn:microsoft.com/office/officeart/2005/8/layout/hierarchy2"/>
    <dgm:cxn modelId="{5F6F3842-7922-4EDB-8AAA-90C24B88B019}" type="presParOf" srcId="{01A81BB0-3E19-4C72-9D4A-4ACDC93C3FC9}" destId="{4ED72815-A081-4CEB-9EDA-E9A661596D18}" srcOrd="0" destOrd="0" presId="urn:microsoft.com/office/officeart/2005/8/layout/hierarchy2"/>
    <dgm:cxn modelId="{E38647C9-2324-4C9D-A634-40344BCBB0C4}" type="presParOf" srcId="{4ED72815-A081-4CEB-9EDA-E9A661596D18}" destId="{C68D7FD7-A0C2-46F9-A596-669DD0E67FB8}" srcOrd="0" destOrd="0" presId="urn:microsoft.com/office/officeart/2005/8/layout/hierarchy2"/>
    <dgm:cxn modelId="{A9F0436B-32BD-4EAB-8DDD-A59E52558ED8}" type="presParOf" srcId="{01A81BB0-3E19-4C72-9D4A-4ACDC93C3FC9}" destId="{BD06DAAA-6BD6-470A-9E72-21D7243D3509}" srcOrd="1" destOrd="0" presId="urn:microsoft.com/office/officeart/2005/8/layout/hierarchy2"/>
    <dgm:cxn modelId="{F09D885B-6981-4566-935F-01FDA73B981C}" type="presParOf" srcId="{BD06DAAA-6BD6-470A-9E72-21D7243D3509}" destId="{E5C3F144-3AB1-4041-A4FB-8B06B9600829}" srcOrd="0" destOrd="0" presId="urn:microsoft.com/office/officeart/2005/8/layout/hierarchy2"/>
    <dgm:cxn modelId="{0AFB4E62-55CE-434A-ADB7-2C57B5520165}" type="presParOf" srcId="{BD06DAAA-6BD6-470A-9E72-21D7243D3509}" destId="{2A292003-FA94-4CC0-9426-6E6A74D4A18A}" srcOrd="1" destOrd="0" presId="urn:microsoft.com/office/officeart/2005/8/layout/hierarchy2"/>
    <dgm:cxn modelId="{3141788A-CAFC-42A7-BD45-755CD3354970}" type="presParOf" srcId="{E40CBC4D-C4A7-459F-A631-5463B4932592}" destId="{38EB2FAB-C7D0-4D8F-95C2-0EE881BF55E5}" srcOrd="4" destOrd="0" presId="urn:microsoft.com/office/officeart/2005/8/layout/hierarchy2"/>
    <dgm:cxn modelId="{426B467E-4C29-4EBA-85C4-F66498CC99AD}" type="presParOf" srcId="{38EB2FAB-C7D0-4D8F-95C2-0EE881BF55E5}" destId="{1891BE2D-2DE2-48D3-A0A0-8A5CBE00E2BC}" srcOrd="0" destOrd="0" presId="urn:microsoft.com/office/officeart/2005/8/layout/hierarchy2"/>
    <dgm:cxn modelId="{A2ED874C-0451-4C3E-89E7-F0B7F8F91A05}" type="presParOf" srcId="{E40CBC4D-C4A7-459F-A631-5463B4932592}" destId="{B441F3D2-D183-46D2-806E-2599D79315BA}" srcOrd="5" destOrd="0" presId="urn:microsoft.com/office/officeart/2005/8/layout/hierarchy2"/>
    <dgm:cxn modelId="{013BCBA5-726B-40C4-97E7-1FE5C45BDD7C}" type="presParOf" srcId="{B441F3D2-D183-46D2-806E-2599D79315BA}" destId="{8DDBB6C2-FDBD-4EC2-8B16-FB97A5BEC13C}" srcOrd="0" destOrd="0" presId="urn:microsoft.com/office/officeart/2005/8/layout/hierarchy2"/>
    <dgm:cxn modelId="{25561556-0302-4144-B7E6-AA751B67F2C5}" type="presParOf" srcId="{B441F3D2-D183-46D2-806E-2599D79315BA}" destId="{07CA515F-45C3-48FF-A429-D1CADC658EE8}" srcOrd="1" destOrd="0" presId="urn:microsoft.com/office/officeart/2005/8/layout/hierarchy2"/>
    <dgm:cxn modelId="{083A0AD1-E54B-4A18-8791-ED7BBCC3FB67}" type="presParOf" srcId="{07CA515F-45C3-48FF-A429-D1CADC658EE8}" destId="{49BFA34C-9A01-485D-80DB-164D95FDE7D7}" srcOrd="0" destOrd="0" presId="urn:microsoft.com/office/officeart/2005/8/layout/hierarchy2"/>
    <dgm:cxn modelId="{B5698BAE-C434-40D4-963E-135704316CE6}" type="presParOf" srcId="{49BFA34C-9A01-485D-80DB-164D95FDE7D7}" destId="{7101A089-C9D6-4889-B812-52A0BB21EF3F}" srcOrd="0" destOrd="0" presId="urn:microsoft.com/office/officeart/2005/8/layout/hierarchy2"/>
    <dgm:cxn modelId="{84C56FD2-9AB8-491F-A8B5-44F321B961C8}" type="presParOf" srcId="{07CA515F-45C3-48FF-A429-D1CADC658EE8}" destId="{B9CD6EAC-A078-42A5-998A-54B9C167AB0E}" srcOrd="1" destOrd="0" presId="urn:microsoft.com/office/officeart/2005/8/layout/hierarchy2"/>
    <dgm:cxn modelId="{2D52D7CF-E813-492E-8A5D-0E237F289400}" type="presParOf" srcId="{B9CD6EAC-A078-42A5-998A-54B9C167AB0E}" destId="{7569289F-F9A0-4BEB-937E-A66C6C7EFC35}" srcOrd="0" destOrd="0" presId="urn:microsoft.com/office/officeart/2005/8/layout/hierarchy2"/>
    <dgm:cxn modelId="{2BD3E4F7-5CD4-43CF-9271-10ACD0A4F8C3}" type="presParOf" srcId="{B9CD6EAC-A078-42A5-998A-54B9C167AB0E}" destId="{BE3F4BC8-4F83-4A29-9A46-D8CDC7C40DB8}" srcOrd="1" destOrd="0" presId="urn:microsoft.com/office/officeart/2005/8/layout/hierarchy2"/>
    <dgm:cxn modelId="{59BA65B7-B1F4-449A-9AA4-5A01D161D798}" type="presParOf" srcId="{07CA515F-45C3-48FF-A429-D1CADC658EE8}" destId="{BD8DE141-6F33-41CA-A362-12945E62E9B5}" srcOrd="2" destOrd="0" presId="urn:microsoft.com/office/officeart/2005/8/layout/hierarchy2"/>
    <dgm:cxn modelId="{68301608-2E66-406C-9A25-B1887CC88C13}" type="presParOf" srcId="{BD8DE141-6F33-41CA-A362-12945E62E9B5}" destId="{F5811782-242A-4CDF-AC22-C0B702E520F0}" srcOrd="0" destOrd="0" presId="urn:microsoft.com/office/officeart/2005/8/layout/hierarchy2"/>
    <dgm:cxn modelId="{673620AF-7CB9-4A3E-88E8-EC112AB8A357}" type="presParOf" srcId="{07CA515F-45C3-48FF-A429-D1CADC658EE8}" destId="{F7ACE9BA-3EF1-4DC8-A80F-4CFBD2FFDFF3}" srcOrd="3" destOrd="0" presId="urn:microsoft.com/office/officeart/2005/8/layout/hierarchy2"/>
    <dgm:cxn modelId="{F12D20EE-4CA5-473C-80CC-EE9AB3A47E4D}" type="presParOf" srcId="{F7ACE9BA-3EF1-4DC8-A80F-4CFBD2FFDFF3}" destId="{71FC0E61-F591-486B-920A-552B564125B5}" srcOrd="0" destOrd="0" presId="urn:microsoft.com/office/officeart/2005/8/layout/hierarchy2"/>
    <dgm:cxn modelId="{8DFDC83A-06A3-4ED3-B9C3-C13691818668}" type="presParOf" srcId="{F7ACE9BA-3EF1-4DC8-A80F-4CFBD2FFDFF3}" destId="{A6EB73C5-1105-4AA3-91E5-3ADE06E3986C}" srcOrd="1" destOrd="0" presId="urn:microsoft.com/office/officeart/2005/8/layout/hierarchy2"/>
    <dgm:cxn modelId="{5FBF5637-E22B-4B7F-955D-8FE7264548E9}" type="presParOf" srcId="{07CA515F-45C3-48FF-A429-D1CADC658EE8}" destId="{B7B412FC-52A0-4445-B27F-521261890E22}" srcOrd="4" destOrd="0" presId="urn:microsoft.com/office/officeart/2005/8/layout/hierarchy2"/>
    <dgm:cxn modelId="{EE35BAD3-21FD-48BD-B3FD-0FC4FC9B83C7}" type="presParOf" srcId="{B7B412FC-52A0-4445-B27F-521261890E22}" destId="{50E4F072-7931-4998-B0BB-3D071C4FAC98}" srcOrd="0" destOrd="0" presId="urn:microsoft.com/office/officeart/2005/8/layout/hierarchy2"/>
    <dgm:cxn modelId="{3768753E-AAC6-43B9-88D0-BD01480EEC81}" type="presParOf" srcId="{07CA515F-45C3-48FF-A429-D1CADC658EE8}" destId="{8C8B1771-BF85-41D9-A2C9-8C7FC168877F}" srcOrd="5" destOrd="0" presId="urn:microsoft.com/office/officeart/2005/8/layout/hierarchy2"/>
    <dgm:cxn modelId="{72247F80-724E-4BEC-BEE6-6ADA839E4F7B}" type="presParOf" srcId="{8C8B1771-BF85-41D9-A2C9-8C7FC168877F}" destId="{1240CE2A-12EF-4101-909B-DBE20E9DA603}" srcOrd="0" destOrd="0" presId="urn:microsoft.com/office/officeart/2005/8/layout/hierarchy2"/>
    <dgm:cxn modelId="{ACD2FFEB-73EC-4BC9-A62D-E17AA6D69563}"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92"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9"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552A77CE-73D7-4923-9E44-0BE6D8A9283D}" type="presOf" srcId="{25D5B2A2-F4CC-415A-B959-D590DB29DEAE}" destId="{F0FA768E-9EEE-4817-8C93-A2D41D44F444}" srcOrd="0" destOrd="0" presId="urn:microsoft.com/office/officeart/2005/8/layout/orgChart1"/>
    <dgm:cxn modelId="{E5B315B3-2F13-47CD-A7F7-72796CC8999D}" srcId="{BB40C80E-4FE1-4739-B745-BF4FF3274891}" destId="{04EE7018-C98C-448E-B256-AC06C2BBC08A}" srcOrd="2" destOrd="0" parTransId="{0A489B5A-BCFF-49DD-AAFF-B5F08005152E}" sibTransId="{0AF21F9F-511E-4EAF-9D5F-7C0F2A803C2C}"/>
    <dgm:cxn modelId="{CDAC2330-444A-4293-95DD-A4224767CE8E}" type="presOf" srcId="{E697478B-9E7E-4DE3-AE1D-5FF4A9EF6884}" destId="{0B03B6A1-21A0-468A-83BB-AAF64F7E2214}" srcOrd="1" destOrd="0" presId="urn:microsoft.com/office/officeart/2005/8/layout/orgChart1"/>
    <dgm:cxn modelId="{2236B5C4-F12F-43CE-9A8D-4E1EFC0AF867}" type="presOf" srcId="{600C8B5A-5BFD-46C4-87C4-5EC48A48A5D4}" destId="{C7288C54-3145-4B69-8B9B-02D4D1581505}" srcOrd="0" destOrd="0" presId="urn:microsoft.com/office/officeart/2005/8/layout/orgChart1"/>
    <dgm:cxn modelId="{41E933EA-4DC7-490E-BEC1-6514CBE3CE4F}" type="presOf" srcId="{E71AEF46-6A3D-4764-AD85-BE941611D005}" destId="{7B1688FC-4983-4D89-91D0-8402C9C3FF01}" srcOrd="0" destOrd="0" presId="urn:microsoft.com/office/officeart/2005/8/layout/orgChart1"/>
    <dgm:cxn modelId="{1A712E38-4C2D-46B9-9D0F-DF76D78A84AB}" type="presOf" srcId="{88E27216-BADA-4BCA-975F-ED32547DB162}" destId="{46165016-3388-4A36-A792-67FF783DD4C8}" srcOrd="0"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62136286-DC6E-44D1-8D12-0977252BF943}" type="presOf" srcId="{5D4EB37D-056D-4882-973D-2FC818516D33}" destId="{025C586B-2C62-49F1-AB1D-8FCA065B1840}" srcOrd="1" destOrd="0" presId="urn:microsoft.com/office/officeart/2005/8/layout/orgChart1"/>
    <dgm:cxn modelId="{A20CA0D8-8693-4CC7-B9E8-D68E1BC70A2F}" srcId="{5D4EB37D-056D-4882-973D-2FC818516D33}" destId="{CD0EA4FA-D183-4F32-AB5F-67E835B516AF}" srcOrd="2" destOrd="0" parTransId="{600C8B5A-5BFD-46C4-87C4-5EC48A48A5D4}" sibTransId="{7E5085E1-3C58-4670-96FF-E50E8D1D70EB}"/>
    <dgm:cxn modelId="{66A66933-BF1E-4AA4-B6F3-ABEA357AB0D5}" type="presOf" srcId="{04EE7018-C98C-448E-B256-AC06C2BBC08A}" destId="{973F57A0-5DD3-4F0E-BEFA-671E94FB2CBE}" srcOrd="0"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217EF8EB-B157-47AD-852D-93B449830030}" srcId="{BB40C80E-4FE1-4739-B745-BF4FF3274891}" destId="{25995441-9314-4AFD-B29E-D9B5D74FCAA0}" srcOrd="0" destOrd="0" parTransId="{A1742652-32D2-4BCB-A3A7-216699E7893B}" sibTransId="{20D5D889-1F61-4BAD-BF76-61B9F7B266D2}"/>
    <dgm:cxn modelId="{A64E1B42-00C6-43CA-BA76-33E9DB29F54D}" type="presOf" srcId="{BB40C80E-4FE1-4739-B745-BF4FF3274891}" destId="{C41C7E6F-E6F2-42CD-8029-69C188F0BA04}" srcOrd="1" destOrd="0" presId="urn:microsoft.com/office/officeart/2005/8/layout/orgChart1"/>
    <dgm:cxn modelId="{7974A172-85B9-4B74-ACEB-EE404E334B99}" srcId="{4F171B68-DB5D-4719-A2DA-B8B62B629FB3}" destId="{5D4EB37D-056D-4882-973D-2FC818516D33}" srcOrd="0" destOrd="0" parTransId="{6519FF7A-7A0C-4D9B-A1B5-F63E271D1CA8}" sibTransId="{543C9436-6304-4A14-A30E-C128AEAB94D0}"/>
    <dgm:cxn modelId="{91AD7B9A-CCA6-4A5B-93FD-E507A332BA41}" type="presOf" srcId="{04EE7018-C98C-448E-B256-AC06C2BBC08A}" destId="{411C9FE9-2606-41DC-90F8-AF6BA4D0E4A4}" srcOrd="1" destOrd="0" presId="urn:microsoft.com/office/officeart/2005/8/layout/orgChart1"/>
    <dgm:cxn modelId="{8B186649-90D3-469C-85B8-A8AB2BD0876B}" type="presOf" srcId="{CD0EA4FA-D183-4F32-AB5F-67E835B516AF}" destId="{8B6EE50C-0588-4872-866E-2A3A972D1F0D}" srcOrd="1" destOrd="0" presId="urn:microsoft.com/office/officeart/2005/8/layout/orgChart1"/>
    <dgm:cxn modelId="{3B85355C-79F8-492A-8A67-9AE362A7CDF3}" type="presOf" srcId="{25D5B2A2-F4CC-415A-B959-D590DB29DEAE}" destId="{F9BE49F7-1CE6-47D1-A1B6-E95508334034}" srcOrd="1" destOrd="0" presId="urn:microsoft.com/office/officeart/2005/8/layout/orgChart1"/>
    <dgm:cxn modelId="{9C542CFA-767E-444E-BC94-92CECA95619E}" type="presOf" srcId="{A1742652-32D2-4BCB-A3A7-216699E7893B}" destId="{44B20FE9-54A8-46D2-86CC-71972C2EBE0B}" srcOrd="0" destOrd="0" presId="urn:microsoft.com/office/officeart/2005/8/layout/orgChart1"/>
    <dgm:cxn modelId="{018509D6-8C73-49BA-9643-71DB55BB5BFD}" type="presOf" srcId="{586A4D95-DACF-40E6-998F-332457646494}" destId="{40142FC0-F58B-4E36-B463-4AC3A14D8238}" srcOrd="0" destOrd="0" presId="urn:microsoft.com/office/officeart/2005/8/layout/orgChart1"/>
    <dgm:cxn modelId="{645AC66D-AEB3-4085-86C5-756E36F04E5B}" type="presOf" srcId="{3D4AA373-122D-4F58-9742-022968FF3255}" destId="{9FE5EFD6-217B-4DF0-AC9C-0CD3252F40C4}" srcOrd="0"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B5665663-77F7-492D-8C79-CABEE26A359E}" type="presOf" srcId="{5D4EB37D-056D-4882-973D-2FC818516D33}" destId="{964DE90A-9770-4A41-92ED-CFEAA7E7E579}" srcOrd="0" destOrd="0" presId="urn:microsoft.com/office/officeart/2005/8/layout/orgChart1"/>
    <dgm:cxn modelId="{52CE9A98-D611-44B9-AE03-36A77756A9ED}" type="presOf" srcId="{25995441-9314-4AFD-B29E-D9B5D74FCAA0}" destId="{47D4F898-1A52-40CF-A638-D7DC9DD01C6D}" srcOrd="1" destOrd="0" presId="urn:microsoft.com/office/officeart/2005/8/layout/orgChart1"/>
    <dgm:cxn modelId="{6F678052-9EEB-4A0F-82CC-44BAF4ADA9A8}" type="presOf" srcId="{E697478B-9E7E-4DE3-AE1D-5FF4A9EF6884}" destId="{84FD2034-3F62-4273-ACE0-F6D1E81A6C5B}" srcOrd="0" destOrd="0" presId="urn:microsoft.com/office/officeart/2005/8/layout/orgChart1"/>
    <dgm:cxn modelId="{4D6B7868-BFCF-4BA2-BF98-F0BD0A74A969}" type="presOf" srcId="{BD8AA8BB-EC39-4909-BA71-3A32A045F91C}" destId="{9A299C53-E69B-45E3-90CD-8EDF998B3097}" srcOrd="1" destOrd="0" presId="urn:microsoft.com/office/officeart/2005/8/layout/orgChart1"/>
    <dgm:cxn modelId="{5670608A-6C9C-441D-9B41-C10D81F005DF}" type="presOf" srcId="{CD0EA4FA-D183-4F32-AB5F-67E835B516AF}" destId="{CD9AD5BE-E741-4DCD-BB42-EC27E05E1879}" srcOrd="0" destOrd="0" presId="urn:microsoft.com/office/officeart/2005/8/layout/orgChart1"/>
    <dgm:cxn modelId="{A40812FE-30E4-4B79-BC5B-5D8ADE2E9B62}" type="presOf" srcId="{BD8AA8BB-EC39-4909-BA71-3A32A045F91C}" destId="{F806445A-6FFA-49B4-991B-AFFB35FD1F7F}" srcOrd="0" destOrd="0" presId="urn:microsoft.com/office/officeart/2005/8/layout/orgChart1"/>
    <dgm:cxn modelId="{191D9DCC-2C3A-4BFB-B7D8-CE6AA4625DD4}" type="presOf" srcId="{0A489B5A-BCFF-49DD-AAFF-B5F08005152E}" destId="{4F53B63D-A9CC-4B6E-9DC6-28D266AF12AC}" srcOrd="0" destOrd="0" presId="urn:microsoft.com/office/officeart/2005/8/layout/orgChart1"/>
    <dgm:cxn modelId="{453508B1-A312-406D-9562-87534525C698}" type="presOf" srcId="{BB40C80E-4FE1-4739-B745-BF4FF3274891}" destId="{A2E30FAD-E456-4285-B56D-18250DB99DCB}" srcOrd="0" destOrd="0" presId="urn:microsoft.com/office/officeart/2005/8/layout/orgChart1"/>
    <dgm:cxn modelId="{32909420-1BFF-4FBF-AD6E-4DBCF26FD2BE}" type="presOf" srcId="{4F171B68-DB5D-4719-A2DA-B8B62B629FB3}" destId="{85B850C6-65E4-4897-B89C-52A143CFDFA6}" srcOrd="0" destOrd="0" presId="urn:microsoft.com/office/officeart/2005/8/layout/orgChart1"/>
    <dgm:cxn modelId="{CCE8A38E-3641-498D-98F5-BC4CBB87DD21}" type="presOf" srcId="{25995441-9314-4AFD-B29E-D9B5D74FCAA0}" destId="{8D70B6FB-BBCD-4462-B470-D6DEB9A7CDA4}" srcOrd="0"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8C46D212-576E-47F2-9660-825020AD7129}" type="presParOf" srcId="{85B850C6-65E4-4897-B89C-52A143CFDFA6}" destId="{4F2E5E88-3B5E-489A-8A40-10DDD0977FEA}" srcOrd="0" destOrd="0" presId="urn:microsoft.com/office/officeart/2005/8/layout/orgChart1"/>
    <dgm:cxn modelId="{1166DE95-CCDA-491C-98D3-804FA4D42C27}" type="presParOf" srcId="{4F2E5E88-3B5E-489A-8A40-10DDD0977FEA}" destId="{DEE5832C-68B7-4FC3-8E5F-1412D1A3526A}" srcOrd="0" destOrd="0" presId="urn:microsoft.com/office/officeart/2005/8/layout/orgChart1"/>
    <dgm:cxn modelId="{C10C9198-C453-4E2D-A5F9-03453C8804B7}" type="presParOf" srcId="{DEE5832C-68B7-4FC3-8E5F-1412D1A3526A}" destId="{964DE90A-9770-4A41-92ED-CFEAA7E7E579}" srcOrd="0" destOrd="0" presId="urn:microsoft.com/office/officeart/2005/8/layout/orgChart1"/>
    <dgm:cxn modelId="{EF3C8E08-4447-4B8F-800A-4DB3E69BFBF5}" type="presParOf" srcId="{DEE5832C-68B7-4FC3-8E5F-1412D1A3526A}" destId="{025C586B-2C62-49F1-AB1D-8FCA065B1840}" srcOrd="1" destOrd="0" presId="urn:microsoft.com/office/officeart/2005/8/layout/orgChart1"/>
    <dgm:cxn modelId="{CD1C76BA-0603-418F-BF0D-E01A98EB19D1}" type="presParOf" srcId="{4F2E5E88-3B5E-489A-8A40-10DDD0977FEA}" destId="{9F030E5F-B110-4542-9EF2-2CFE9DFD0D74}" srcOrd="1" destOrd="0" presId="urn:microsoft.com/office/officeart/2005/8/layout/orgChart1"/>
    <dgm:cxn modelId="{0F685ABE-6300-4829-AB4F-9F752F24E762}" type="presParOf" srcId="{9F030E5F-B110-4542-9EF2-2CFE9DFD0D74}" destId="{7B1688FC-4983-4D89-91D0-8402C9C3FF01}" srcOrd="0" destOrd="0" presId="urn:microsoft.com/office/officeart/2005/8/layout/orgChart1"/>
    <dgm:cxn modelId="{9B3DB751-2F3D-4D2A-8364-06E2E4BE9C19}" type="presParOf" srcId="{9F030E5F-B110-4542-9EF2-2CFE9DFD0D74}" destId="{5B1AF118-C8C8-4A06-A5F8-13138B546EA7}" srcOrd="1" destOrd="0" presId="urn:microsoft.com/office/officeart/2005/8/layout/orgChart1"/>
    <dgm:cxn modelId="{D8D0CCF3-76FE-46E7-8F49-1A0B158FF120}" type="presParOf" srcId="{5B1AF118-C8C8-4A06-A5F8-13138B546EA7}" destId="{C5DF4026-1F1B-4D5A-A295-8780272C7FE0}" srcOrd="0" destOrd="0" presId="urn:microsoft.com/office/officeart/2005/8/layout/orgChart1"/>
    <dgm:cxn modelId="{340021F1-77D4-4769-8F90-ED7C534B6C4B}" type="presParOf" srcId="{C5DF4026-1F1B-4D5A-A295-8780272C7FE0}" destId="{A2E30FAD-E456-4285-B56D-18250DB99DCB}" srcOrd="0" destOrd="0" presId="urn:microsoft.com/office/officeart/2005/8/layout/orgChart1"/>
    <dgm:cxn modelId="{923A0394-9FE7-47BC-AA7D-9BE1B0506AF9}" type="presParOf" srcId="{C5DF4026-1F1B-4D5A-A295-8780272C7FE0}" destId="{C41C7E6F-E6F2-42CD-8029-69C188F0BA04}" srcOrd="1" destOrd="0" presId="urn:microsoft.com/office/officeart/2005/8/layout/orgChart1"/>
    <dgm:cxn modelId="{64C07AC8-216B-4962-9418-81BBD9A95FE5}" type="presParOf" srcId="{5B1AF118-C8C8-4A06-A5F8-13138B546EA7}" destId="{E5302108-E095-4D2A-891A-25BE3D836CCB}" srcOrd="1" destOrd="0" presId="urn:microsoft.com/office/officeart/2005/8/layout/orgChart1"/>
    <dgm:cxn modelId="{A3D8D34B-4178-44F9-BA6F-2F23B443D638}" type="presParOf" srcId="{E5302108-E095-4D2A-891A-25BE3D836CCB}" destId="{44B20FE9-54A8-46D2-86CC-71972C2EBE0B}" srcOrd="0" destOrd="0" presId="urn:microsoft.com/office/officeart/2005/8/layout/orgChart1"/>
    <dgm:cxn modelId="{AB90CD48-6335-460B-A649-2587E443BD94}" type="presParOf" srcId="{E5302108-E095-4D2A-891A-25BE3D836CCB}" destId="{78B66340-17C2-4AA8-ACF6-7105D89D9111}" srcOrd="1" destOrd="0" presId="urn:microsoft.com/office/officeart/2005/8/layout/orgChart1"/>
    <dgm:cxn modelId="{A16E388E-BB8B-4659-A77E-65BAF106396B}" type="presParOf" srcId="{78B66340-17C2-4AA8-ACF6-7105D89D9111}" destId="{053A8613-72CC-460B-B3CD-FD89C52AB870}" srcOrd="0" destOrd="0" presId="urn:microsoft.com/office/officeart/2005/8/layout/orgChart1"/>
    <dgm:cxn modelId="{3C8813FE-9C53-41AE-A56F-910714E41F5C}" type="presParOf" srcId="{053A8613-72CC-460B-B3CD-FD89C52AB870}" destId="{8D70B6FB-BBCD-4462-B470-D6DEB9A7CDA4}" srcOrd="0" destOrd="0" presId="urn:microsoft.com/office/officeart/2005/8/layout/orgChart1"/>
    <dgm:cxn modelId="{C76A8C5C-C5DD-46D1-A823-E63BBB4C951C}" type="presParOf" srcId="{053A8613-72CC-460B-B3CD-FD89C52AB870}" destId="{47D4F898-1A52-40CF-A638-D7DC9DD01C6D}" srcOrd="1" destOrd="0" presId="urn:microsoft.com/office/officeart/2005/8/layout/orgChart1"/>
    <dgm:cxn modelId="{D6C7FAB7-32B7-4BDB-A292-F3579EF792E9}" type="presParOf" srcId="{78B66340-17C2-4AA8-ACF6-7105D89D9111}" destId="{416F69CA-353E-4A7C-A974-36DF97053515}" srcOrd="1" destOrd="0" presId="urn:microsoft.com/office/officeart/2005/8/layout/orgChart1"/>
    <dgm:cxn modelId="{24F01FD2-2706-4681-9F77-370760ED39E4}" type="presParOf" srcId="{78B66340-17C2-4AA8-ACF6-7105D89D9111}" destId="{DA1D3EE6-AA54-4704-A8C2-C6786DEBE8AE}" srcOrd="2" destOrd="0" presId="urn:microsoft.com/office/officeart/2005/8/layout/orgChart1"/>
    <dgm:cxn modelId="{ABDDDA9D-A1F8-42B4-BA77-495E59C9A101}" type="presParOf" srcId="{E5302108-E095-4D2A-891A-25BE3D836CCB}" destId="{46165016-3388-4A36-A792-67FF783DD4C8}" srcOrd="2" destOrd="0" presId="urn:microsoft.com/office/officeart/2005/8/layout/orgChart1"/>
    <dgm:cxn modelId="{16D608AF-B7C9-400C-A999-4E047811BE7A}" type="presParOf" srcId="{E5302108-E095-4D2A-891A-25BE3D836CCB}" destId="{7442292A-C92A-45E3-BE3F-05E5D66E6733}" srcOrd="3" destOrd="0" presId="urn:microsoft.com/office/officeart/2005/8/layout/orgChart1"/>
    <dgm:cxn modelId="{1FA385C1-528C-4141-AA9F-0CB2905C03B8}" type="presParOf" srcId="{7442292A-C92A-45E3-BE3F-05E5D66E6733}" destId="{8BCA970E-B23C-4B01-9D93-7C4F46429262}" srcOrd="0" destOrd="0" presId="urn:microsoft.com/office/officeart/2005/8/layout/orgChart1"/>
    <dgm:cxn modelId="{DE85C657-1652-4AB5-B3CB-1A77EDC9EF24}" type="presParOf" srcId="{8BCA970E-B23C-4B01-9D93-7C4F46429262}" destId="{F0FA768E-9EEE-4817-8C93-A2D41D44F444}" srcOrd="0" destOrd="0" presId="urn:microsoft.com/office/officeart/2005/8/layout/orgChart1"/>
    <dgm:cxn modelId="{74597A80-C329-4E83-A4F9-B2C85718020C}" type="presParOf" srcId="{8BCA970E-B23C-4B01-9D93-7C4F46429262}" destId="{F9BE49F7-1CE6-47D1-A1B6-E95508334034}" srcOrd="1" destOrd="0" presId="urn:microsoft.com/office/officeart/2005/8/layout/orgChart1"/>
    <dgm:cxn modelId="{D2326843-EE27-4B67-8C9B-A0E9511C0400}" type="presParOf" srcId="{7442292A-C92A-45E3-BE3F-05E5D66E6733}" destId="{CCFBDE97-7260-4420-B37B-772F1103D0CD}" srcOrd="1" destOrd="0" presId="urn:microsoft.com/office/officeart/2005/8/layout/orgChart1"/>
    <dgm:cxn modelId="{7F0DEED8-6550-4CC2-BD48-E4650527FC59}" type="presParOf" srcId="{7442292A-C92A-45E3-BE3F-05E5D66E6733}" destId="{4CF74D6E-F8FD-4305-98E7-FD4396AD2E96}" srcOrd="2" destOrd="0" presId="urn:microsoft.com/office/officeart/2005/8/layout/orgChart1"/>
    <dgm:cxn modelId="{B6F83883-8C04-41FC-93C1-E967C2103697}" type="presParOf" srcId="{5B1AF118-C8C8-4A06-A5F8-13138B546EA7}" destId="{2675E4CC-931B-4AA5-9AD1-51E25CDB3093}" srcOrd="2" destOrd="0" presId="urn:microsoft.com/office/officeart/2005/8/layout/orgChart1"/>
    <dgm:cxn modelId="{AD294188-9B25-45EA-AC83-A885227E8E2D}" type="presParOf" srcId="{2675E4CC-931B-4AA5-9AD1-51E25CDB3093}" destId="{4F53B63D-A9CC-4B6E-9DC6-28D266AF12AC}" srcOrd="0" destOrd="0" presId="urn:microsoft.com/office/officeart/2005/8/layout/orgChart1"/>
    <dgm:cxn modelId="{B96F3DEA-DAE8-41C1-BCDE-177492407A69}" type="presParOf" srcId="{2675E4CC-931B-4AA5-9AD1-51E25CDB3093}" destId="{9B546F8E-A80A-4FFE-9085-D71795CC9294}" srcOrd="1" destOrd="0" presId="urn:microsoft.com/office/officeart/2005/8/layout/orgChart1"/>
    <dgm:cxn modelId="{FEA88D7D-D8F2-41B8-BECD-8E82D45FB410}" type="presParOf" srcId="{9B546F8E-A80A-4FFE-9085-D71795CC9294}" destId="{040C96F8-8DBC-48AC-9B44-9D87CA5F21D0}" srcOrd="0" destOrd="0" presId="urn:microsoft.com/office/officeart/2005/8/layout/orgChart1"/>
    <dgm:cxn modelId="{6BF893A9-9295-4F98-B153-49F71DBA0CF2}" type="presParOf" srcId="{040C96F8-8DBC-48AC-9B44-9D87CA5F21D0}" destId="{973F57A0-5DD3-4F0E-BEFA-671E94FB2CBE}" srcOrd="0" destOrd="0" presId="urn:microsoft.com/office/officeart/2005/8/layout/orgChart1"/>
    <dgm:cxn modelId="{473CE2CE-7096-4657-A999-10DF0235734F}" type="presParOf" srcId="{040C96F8-8DBC-48AC-9B44-9D87CA5F21D0}" destId="{411C9FE9-2606-41DC-90F8-AF6BA4D0E4A4}" srcOrd="1" destOrd="0" presId="urn:microsoft.com/office/officeart/2005/8/layout/orgChart1"/>
    <dgm:cxn modelId="{C0D4D03E-7A60-4A14-B161-F52246FAD9E7}" type="presParOf" srcId="{9B546F8E-A80A-4FFE-9085-D71795CC9294}" destId="{8DEF5FD2-B5BC-4409-B4B7-3D04FB851150}" srcOrd="1" destOrd="0" presId="urn:microsoft.com/office/officeart/2005/8/layout/orgChart1"/>
    <dgm:cxn modelId="{137585C8-4A7F-4693-9C04-DDC34832EF1B}" type="presParOf" srcId="{9B546F8E-A80A-4FFE-9085-D71795CC9294}" destId="{9E9DAE19-A4CB-40D7-A3B1-06A3E7A60391}" srcOrd="2" destOrd="0" presId="urn:microsoft.com/office/officeart/2005/8/layout/orgChart1"/>
    <dgm:cxn modelId="{6EA3F1A6-4196-4FCF-B380-C3DC2E427202}" type="presParOf" srcId="{9F030E5F-B110-4542-9EF2-2CFE9DFD0D74}" destId="{C7288C54-3145-4B69-8B9B-02D4D1581505}" srcOrd="2" destOrd="0" presId="urn:microsoft.com/office/officeart/2005/8/layout/orgChart1"/>
    <dgm:cxn modelId="{2382F374-B71D-4785-90BC-D4B2D07E158B}" type="presParOf" srcId="{9F030E5F-B110-4542-9EF2-2CFE9DFD0D74}" destId="{A1BA825D-6987-4091-B452-C3764479225C}" srcOrd="3" destOrd="0" presId="urn:microsoft.com/office/officeart/2005/8/layout/orgChart1"/>
    <dgm:cxn modelId="{1B1F0FE8-7AE4-43F9-B140-01374095F297}" type="presParOf" srcId="{A1BA825D-6987-4091-B452-C3764479225C}" destId="{8764BD2B-4BD1-40EF-8D2A-CABEED35D89D}" srcOrd="0" destOrd="0" presId="urn:microsoft.com/office/officeart/2005/8/layout/orgChart1"/>
    <dgm:cxn modelId="{504447E0-AFCC-441C-8D17-353FF182B01F}" type="presParOf" srcId="{8764BD2B-4BD1-40EF-8D2A-CABEED35D89D}" destId="{CD9AD5BE-E741-4DCD-BB42-EC27E05E1879}" srcOrd="0" destOrd="0" presId="urn:microsoft.com/office/officeart/2005/8/layout/orgChart1"/>
    <dgm:cxn modelId="{C03A07E2-7984-4E1A-9D99-73D04E343A47}" type="presParOf" srcId="{8764BD2B-4BD1-40EF-8D2A-CABEED35D89D}" destId="{8B6EE50C-0588-4872-866E-2A3A972D1F0D}" srcOrd="1" destOrd="0" presId="urn:microsoft.com/office/officeart/2005/8/layout/orgChart1"/>
    <dgm:cxn modelId="{B3F43958-21A8-4A1A-8787-FC66A114C947}" type="presParOf" srcId="{A1BA825D-6987-4091-B452-C3764479225C}" destId="{37E7361E-B119-4EE3-A7FF-CB6CF0FB50F4}" srcOrd="1" destOrd="0" presId="urn:microsoft.com/office/officeart/2005/8/layout/orgChart1"/>
    <dgm:cxn modelId="{86DE2509-D311-4D67-AA89-3759CBD1FE08}" type="presParOf" srcId="{A1BA825D-6987-4091-B452-C3764479225C}" destId="{A90718A2-F73F-4B02-8350-03F14FA74791}" srcOrd="2" destOrd="0" presId="urn:microsoft.com/office/officeart/2005/8/layout/orgChart1"/>
    <dgm:cxn modelId="{0E9A73A1-5838-47EE-BAFA-13ADC9B63870}" type="presParOf" srcId="{9F030E5F-B110-4542-9EF2-2CFE9DFD0D74}" destId="{9FE5EFD6-217B-4DF0-AC9C-0CD3252F40C4}" srcOrd="4" destOrd="0" presId="urn:microsoft.com/office/officeart/2005/8/layout/orgChart1"/>
    <dgm:cxn modelId="{716FE026-7225-43F7-A549-B42C8B661309}" type="presParOf" srcId="{9F030E5F-B110-4542-9EF2-2CFE9DFD0D74}" destId="{E52C14FC-5421-44B6-A127-C9D3F5FF3CAA}" srcOrd="5" destOrd="0" presId="urn:microsoft.com/office/officeart/2005/8/layout/orgChart1"/>
    <dgm:cxn modelId="{A13F4569-0B18-43A5-84CF-C8CEC5D86730}" type="presParOf" srcId="{E52C14FC-5421-44B6-A127-C9D3F5FF3CAA}" destId="{C8BF808E-5B93-40CE-ADFF-EDF36077D048}" srcOrd="0" destOrd="0" presId="urn:microsoft.com/office/officeart/2005/8/layout/orgChart1"/>
    <dgm:cxn modelId="{39C861D3-C182-47C1-BD9F-E41190478AF2}" type="presParOf" srcId="{C8BF808E-5B93-40CE-ADFF-EDF36077D048}" destId="{F806445A-6FFA-49B4-991B-AFFB35FD1F7F}" srcOrd="0" destOrd="0" presId="urn:microsoft.com/office/officeart/2005/8/layout/orgChart1"/>
    <dgm:cxn modelId="{7EC6EBAA-5D2D-4F9C-83DB-93B350D5AED6}" type="presParOf" srcId="{C8BF808E-5B93-40CE-ADFF-EDF36077D048}" destId="{9A299C53-E69B-45E3-90CD-8EDF998B3097}" srcOrd="1" destOrd="0" presId="urn:microsoft.com/office/officeart/2005/8/layout/orgChart1"/>
    <dgm:cxn modelId="{7F8D1800-32EF-4F90-831C-5DE6F97EE98B}" type="presParOf" srcId="{E52C14FC-5421-44B6-A127-C9D3F5FF3CAA}" destId="{4C8CE891-E348-4219-A2E0-515FB796D144}" srcOrd="1" destOrd="0" presId="urn:microsoft.com/office/officeart/2005/8/layout/orgChart1"/>
    <dgm:cxn modelId="{A8389FCE-A998-44B9-8505-56903C1DC296}" type="presParOf" srcId="{E52C14FC-5421-44B6-A127-C9D3F5FF3CAA}" destId="{E601E362-36A7-451E-AE03-2CDE0294B753}" srcOrd="2" destOrd="0" presId="urn:microsoft.com/office/officeart/2005/8/layout/orgChart1"/>
    <dgm:cxn modelId="{2512EC28-9C9E-4196-BF27-C16C4D6D8F33}" type="presParOf" srcId="{4F2E5E88-3B5E-489A-8A40-10DDD0977FEA}" destId="{8F66C558-053C-4E28-B89F-E1F18DA70D55}" srcOrd="2" destOrd="0" presId="urn:microsoft.com/office/officeart/2005/8/layout/orgChart1"/>
    <dgm:cxn modelId="{2DDA964F-04BD-41D5-B789-C2C214EECE7B}" type="presParOf" srcId="{8F66C558-053C-4E28-B89F-E1F18DA70D55}" destId="{40142FC0-F58B-4E36-B463-4AC3A14D8238}" srcOrd="0" destOrd="0" presId="urn:microsoft.com/office/officeart/2005/8/layout/orgChart1"/>
    <dgm:cxn modelId="{BEDC3CB1-4D89-498A-864F-56FE7046A1BF}" type="presParOf" srcId="{8F66C558-053C-4E28-B89F-E1F18DA70D55}" destId="{FE56E0D5-E3A4-44B2-AF63-E9589FDADA10}" srcOrd="1" destOrd="0" presId="urn:microsoft.com/office/officeart/2005/8/layout/orgChart1"/>
    <dgm:cxn modelId="{6122716D-5556-4DD2-9D7D-777FD68A340B}" type="presParOf" srcId="{FE56E0D5-E3A4-44B2-AF63-E9589FDADA10}" destId="{658F74CC-3FAD-41A2-9723-859AE147E43C}" srcOrd="0" destOrd="0" presId="urn:microsoft.com/office/officeart/2005/8/layout/orgChart1"/>
    <dgm:cxn modelId="{34488F02-6345-45F5-98BA-3B35C8DF0D7B}" type="presParOf" srcId="{658F74CC-3FAD-41A2-9723-859AE147E43C}" destId="{84FD2034-3F62-4273-ACE0-F6D1E81A6C5B}" srcOrd="0" destOrd="0" presId="urn:microsoft.com/office/officeart/2005/8/layout/orgChart1"/>
    <dgm:cxn modelId="{0063982B-8331-41B0-B9A9-163A8F9923BD}" type="presParOf" srcId="{658F74CC-3FAD-41A2-9723-859AE147E43C}" destId="{0B03B6A1-21A0-468A-83BB-AAF64F7E2214}" srcOrd="1" destOrd="0" presId="urn:microsoft.com/office/officeart/2005/8/layout/orgChart1"/>
    <dgm:cxn modelId="{8A7AE2CE-FDF9-4B9B-9C49-85F9784CF3D4}" type="presParOf" srcId="{FE56E0D5-E3A4-44B2-AF63-E9589FDADA10}" destId="{7BF64CD9-B757-45C8-83D2-489541FCB752}" srcOrd="1" destOrd="0" presId="urn:microsoft.com/office/officeart/2005/8/layout/orgChart1"/>
    <dgm:cxn modelId="{2FB65E91-BC9A-429B-88B6-47640B6B1CDA}"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99"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10"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A4D33D0F-906C-432E-9029-C3FDA16A912C}" type="presOf" srcId="{FCACA7B8-E24E-414E-BFF2-3CB6A038D68D}" destId="{D58F5FB6-D082-4896-AB56-35CB667A078E}" srcOrd="0"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0D8F5D4D-2428-43A0-B2F5-D86D19C79400}" type="presOf" srcId="{9163BDD8-2C47-4E14-8965-A3E39D67091A}" destId="{F141050E-8EB2-4788-A7A0-9AB0355936C5}" srcOrd="1" destOrd="0" presId="urn:microsoft.com/office/officeart/2009/3/layout/HorizontalOrganizationChart"/>
    <dgm:cxn modelId="{06CABBF2-E763-4773-992F-ADF0801BF7FE}" type="presOf" srcId="{F8C2F4A2-DA6B-4713-99BA-8F33AF425422}" destId="{AB74ACE2-BF0F-4080-9B9E-E492C100786A}" srcOrd="0" destOrd="0" presId="urn:microsoft.com/office/officeart/2009/3/layout/HorizontalOrganizationChart"/>
    <dgm:cxn modelId="{881EF0AE-D4BD-475D-B48D-CF80C88B4F83}" type="presOf" srcId="{B0672DE5-C127-4BE3-BD17-339CB0DADC9B}" destId="{F4AB6B3D-7792-4A98-894D-25D7DDEEB802}" srcOrd="1" destOrd="0" presId="urn:microsoft.com/office/officeart/2009/3/layout/HorizontalOrganizationChart"/>
    <dgm:cxn modelId="{02799E38-19CC-4A19-B957-8C61447B0DF4}" type="presOf" srcId="{82582F96-E333-4C6A-A236-7866D743746E}" destId="{030D6CF6-B997-45CB-80C2-1B212FD1264A}" srcOrd="1"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CC3750D0-2267-4415-B589-8C34BB3191F8}" type="presOf" srcId="{06FEB7A1-82EA-4633-BE71-15CE878847A3}" destId="{57BADDCE-E03D-4FA8-BE95-75A53E54CF23}" srcOrd="0" destOrd="0" presId="urn:microsoft.com/office/officeart/2009/3/layout/HorizontalOrganizationChart"/>
    <dgm:cxn modelId="{68230587-1162-4E97-864A-88597E80B571}" type="presOf" srcId="{69EEC355-63BB-4E13-BAB2-99449E814583}" destId="{6B3DC0B3-23CB-405B-B74F-72DC623544A2}" srcOrd="0" destOrd="0" presId="urn:microsoft.com/office/officeart/2009/3/layout/HorizontalOrganizationChart"/>
    <dgm:cxn modelId="{1ECD03A9-AE34-457E-8A44-93D58DB9C41F}" srcId="{9163BDD8-2C47-4E14-8965-A3E39D67091A}" destId="{CCEFF868-9A4F-4063-9F88-234C19420A7B}" srcOrd="0" destOrd="0" parTransId="{03616D25-C1AE-4469-9338-E05FD73FDD85}" sibTransId="{E1C81030-D091-47D3-9426-B0117320EF73}"/>
    <dgm:cxn modelId="{92E17961-9F39-4A57-BAF4-6A7A12208C0F}" type="presOf" srcId="{67821A24-D58E-451C-97C2-8D03904E4290}" destId="{62246BB3-61B4-429A-82DA-6A8709F903B4}" srcOrd="0" destOrd="0" presId="urn:microsoft.com/office/officeart/2009/3/layout/HorizontalOrganizationChart"/>
    <dgm:cxn modelId="{98913169-D6E9-42C1-AB31-2EE455023570}" type="presOf" srcId="{06FEB7A1-82EA-4633-BE71-15CE878847A3}" destId="{B1B7CB88-C661-4565-9821-8115D92F456A}" srcOrd="1" destOrd="0" presId="urn:microsoft.com/office/officeart/2009/3/layout/HorizontalOrganizationChart"/>
    <dgm:cxn modelId="{216AA625-DCA6-4472-A2A3-FC14EEA15ABB}" type="presOf" srcId="{CCEFF868-9A4F-4063-9F88-234C19420A7B}" destId="{02D656AE-862B-4D20-907C-41811806EF20}" srcOrd="0" destOrd="0" presId="urn:microsoft.com/office/officeart/2009/3/layout/HorizontalOrganizationChart"/>
    <dgm:cxn modelId="{AA955114-B4E1-4DD4-A6FF-31C3D0D02D04}" type="presOf" srcId="{9163BDD8-2C47-4E14-8965-A3E39D67091A}" destId="{0B5B78F3-2AB4-4184-9AA1-B59BC085CB7F}" srcOrd="0" destOrd="0" presId="urn:microsoft.com/office/officeart/2009/3/layout/HorizontalOrganizationChart"/>
    <dgm:cxn modelId="{0AAECCB0-D40C-475B-BDDC-64ADA8702B89}" srcId="{9163BDD8-2C47-4E14-8965-A3E39D67091A}" destId="{82582F96-E333-4C6A-A236-7866D743746E}" srcOrd="3" destOrd="0" parTransId="{67821A24-D58E-451C-97C2-8D03904E4290}" sibTransId="{099922EF-BB9F-42B2-9F20-80B63D8C27F4}"/>
    <dgm:cxn modelId="{3003CD07-4875-4166-86F6-C77A6DBFB7B5}" type="presOf" srcId="{82582F96-E333-4C6A-A236-7866D743746E}" destId="{A2859573-8743-449F-B0BE-856E93120483}" srcOrd="0" destOrd="0" presId="urn:microsoft.com/office/officeart/2009/3/layout/HorizontalOrganizationChart"/>
    <dgm:cxn modelId="{7E481D51-E7C5-4276-9618-5A0E25E3CAF0}" type="presOf" srcId="{FCACA7B8-E24E-414E-BFF2-3CB6A038D68D}" destId="{70AD86C5-0EC7-469F-BBDF-B5EEE01D0629}" srcOrd="1" destOrd="0" presId="urn:microsoft.com/office/officeart/2009/3/layout/HorizontalOrganizationChart"/>
    <dgm:cxn modelId="{4BB593C5-81F6-400F-AA42-E7E6725FD65F}" type="presOf" srcId="{3A1C57CC-8AFE-4591-9955-BEC2BBA5400A}" destId="{F2F5A153-F7E1-4FC6-A381-7E642DF9A565}" srcOrd="0" destOrd="0" presId="urn:microsoft.com/office/officeart/2009/3/layout/HorizontalOrganizationChart"/>
    <dgm:cxn modelId="{05069BB4-A25E-41E3-A5D1-0C5FAA28D569}" srcId="{9163BDD8-2C47-4E14-8965-A3E39D67091A}" destId="{FCACA7B8-E24E-414E-BFF2-3CB6A038D68D}" srcOrd="4" destOrd="0" parTransId="{3A1C57CC-8AFE-4591-9955-BEC2BBA5400A}" sibTransId="{F7A4346C-5991-465C-AFBB-13124747719D}"/>
    <dgm:cxn modelId="{46203D60-0E76-40E2-BEB0-7979C750DE6C}" type="presOf" srcId="{B0672DE5-C127-4BE3-BD17-339CB0DADC9B}" destId="{D6F1F3D3-260D-4F68-AD95-4A0DA4317686}" srcOrd="0" destOrd="0" presId="urn:microsoft.com/office/officeart/2009/3/layout/HorizontalOrganizationChart"/>
    <dgm:cxn modelId="{918CE157-878E-47F2-919A-65CEE3965B35}" type="presOf" srcId="{52FBE1D3-2045-45CA-81A8-A33F06B848E7}" destId="{5656AFC0-7941-4651-9D43-51D15990D6BF}" srcOrd="0" destOrd="0" presId="urn:microsoft.com/office/officeart/2009/3/layout/HorizontalOrganizationChart"/>
    <dgm:cxn modelId="{E7423794-0C35-43CD-94B2-A3D7CD0AF760}" srcId="{9163BDD8-2C47-4E14-8965-A3E39D67091A}" destId="{B0672DE5-C127-4BE3-BD17-339CB0DADC9B}" srcOrd="1" destOrd="0" parTransId="{52FBE1D3-2045-45CA-81A8-A33F06B848E7}" sibTransId="{3900AB26-3236-4A9F-B0B1-95FF9250F547}"/>
    <dgm:cxn modelId="{B6F4735E-4FB6-41BA-AF82-3CBEC87EEF4B}" type="presOf" srcId="{CCEFF868-9A4F-4063-9F88-234C19420A7B}" destId="{3AE4CFB9-E72B-4514-A627-6A9E9505811E}" srcOrd="1" destOrd="0" presId="urn:microsoft.com/office/officeart/2009/3/layout/HorizontalOrganizationChart"/>
    <dgm:cxn modelId="{864ACBAD-96D3-4343-9014-D914B54FF5AB}" type="presOf" srcId="{03616D25-C1AE-4469-9338-E05FD73FDD85}" destId="{774652DC-0CF5-4FDB-BAC6-ACAD9BF854AB}" srcOrd="0" destOrd="0" presId="urn:microsoft.com/office/officeart/2009/3/layout/HorizontalOrganizationChart"/>
    <dgm:cxn modelId="{E8C05696-119B-471D-9D16-3FDF4986B02C}" type="presParOf" srcId="{6B3DC0B3-23CB-405B-B74F-72DC623544A2}" destId="{97A8CDA7-B7B6-427F-9D33-90C588D98000}" srcOrd="0" destOrd="0" presId="urn:microsoft.com/office/officeart/2009/3/layout/HorizontalOrganizationChart"/>
    <dgm:cxn modelId="{47833E5B-AE45-40D5-B191-BC4837352514}" type="presParOf" srcId="{97A8CDA7-B7B6-427F-9D33-90C588D98000}" destId="{2A581CF9-CFC1-4BC1-B396-A55C50DC4897}" srcOrd="0" destOrd="0" presId="urn:microsoft.com/office/officeart/2009/3/layout/HorizontalOrganizationChart"/>
    <dgm:cxn modelId="{183F305A-BDE8-426E-8A0E-9F1035402ED3}" type="presParOf" srcId="{2A581CF9-CFC1-4BC1-B396-A55C50DC4897}" destId="{0B5B78F3-2AB4-4184-9AA1-B59BC085CB7F}" srcOrd="0" destOrd="0" presId="urn:microsoft.com/office/officeart/2009/3/layout/HorizontalOrganizationChart"/>
    <dgm:cxn modelId="{B066A88E-5489-4F92-A9DF-6A96068F60F7}" type="presParOf" srcId="{2A581CF9-CFC1-4BC1-B396-A55C50DC4897}" destId="{F141050E-8EB2-4788-A7A0-9AB0355936C5}" srcOrd="1" destOrd="0" presId="urn:microsoft.com/office/officeart/2009/3/layout/HorizontalOrganizationChart"/>
    <dgm:cxn modelId="{5E53AD98-4595-4822-9F28-26562A23A573}" type="presParOf" srcId="{97A8CDA7-B7B6-427F-9D33-90C588D98000}" destId="{990E6686-C181-4D49-8B21-748CAF817DE8}" srcOrd="1" destOrd="0" presId="urn:microsoft.com/office/officeart/2009/3/layout/HorizontalOrganizationChart"/>
    <dgm:cxn modelId="{E336DC97-2731-42BC-AF36-8CD2942DDAAB}" type="presParOf" srcId="{990E6686-C181-4D49-8B21-748CAF817DE8}" destId="{5656AFC0-7941-4651-9D43-51D15990D6BF}" srcOrd="0" destOrd="0" presId="urn:microsoft.com/office/officeart/2009/3/layout/HorizontalOrganizationChart"/>
    <dgm:cxn modelId="{9EEFC2B3-6B57-4C48-AFC6-03F519B5232A}" type="presParOf" srcId="{990E6686-C181-4D49-8B21-748CAF817DE8}" destId="{37C40935-66D1-4EAD-A9C3-A633AD9EECB0}" srcOrd="1" destOrd="0" presId="urn:microsoft.com/office/officeart/2009/3/layout/HorizontalOrganizationChart"/>
    <dgm:cxn modelId="{09BA3ED7-F631-4585-B1FF-92AED78F09DD}" type="presParOf" srcId="{37C40935-66D1-4EAD-A9C3-A633AD9EECB0}" destId="{E215F406-72B4-4359-BAA3-D1D24A550080}" srcOrd="0" destOrd="0" presId="urn:microsoft.com/office/officeart/2009/3/layout/HorizontalOrganizationChart"/>
    <dgm:cxn modelId="{BB851737-BC88-4356-95C9-89FDD0831B9A}" type="presParOf" srcId="{E215F406-72B4-4359-BAA3-D1D24A550080}" destId="{D6F1F3D3-260D-4F68-AD95-4A0DA4317686}" srcOrd="0" destOrd="0" presId="urn:microsoft.com/office/officeart/2009/3/layout/HorizontalOrganizationChart"/>
    <dgm:cxn modelId="{DF9C91C0-6163-42DB-BBCD-7BB7294CFDFE}" type="presParOf" srcId="{E215F406-72B4-4359-BAA3-D1D24A550080}" destId="{F4AB6B3D-7792-4A98-894D-25D7DDEEB802}" srcOrd="1" destOrd="0" presId="urn:microsoft.com/office/officeart/2009/3/layout/HorizontalOrganizationChart"/>
    <dgm:cxn modelId="{8A795088-F1AB-47FA-AD68-B9BCF3EF4614}" type="presParOf" srcId="{37C40935-66D1-4EAD-A9C3-A633AD9EECB0}" destId="{8BB0AD10-4B34-4397-846D-043426EC0E0E}" srcOrd="1" destOrd="0" presId="urn:microsoft.com/office/officeart/2009/3/layout/HorizontalOrganizationChart"/>
    <dgm:cxn modelId="{E3D20E99-A4DC-40DC-8768-0DD7323E5836}" type="presParOf" srcId="{37C40935-66D1-4EAD-A9C3-A633AD9EECB0}" destId="{15074185-9AAE-4AFD-82F2-FFE28E241AD1}" srcOrd="2" destOrd="0" presId="urn:microsoft.com/office/officeart/2009/3/layout/HorizontalOrganizationChart"/>
    <dgm:cxn modelId="{7E3CD341-615F-45CF-8DD7-100E4BF7C45B}" type="presParOf" srcId="{990E6686-C181-4D49-8B21-748CAF817DE8}" destId="{AB74ACE2-BF0F-4080-9B9E-E492C100786A}" srcOrd="2" destOrd="0" presId="urn:microsoft.com/office/officeart/2009/3/layout/HorizontalOrganizationChart"/>
    <dgm:cxn modelId="{0F88FB06-6933-463B-A2C3-CAF24731C33B}" type="presParOf" srcId="{990E6686-C181-4D49-8B21-748CAF817DE8}" destId="{C4EEE439-09BC-4C63-A486-D4F03DB2A268}" srcOrd="3" destOrd="0" presId="urn:microsoft.com/office/officeart/2009/3/layout/HorizontalOrganizationChart"/>
    <dgm:cxn modelId="{2D463D86-1FB0-477C-AE85-22AE637592C6}" type="presParOf" srcId="{C4EEE439-09BC-4C63-A486-D4F03DB2A268}" destId="{1E0DBC08-7B36-4049-AEDD-609196E5D0F3}" srcOrd="0" destOrd="0" presId="urn:microsoft.com/office/officeart/2009/3/layout/HorizontalOrganizationChart"/>
    <dgm:cxn modelId="{1208CB91-0C02-494A-8CE0-361D39E55D30}" type="presParOf" srcId="{1E0DBC08-7B36-4049-AEDD-609196E5D0F3}" destId="{57BADDCE-E03D-4FA8-BE95-75A53E54CF23}" srcOrd="0" destOrd="0" presId="urn:microsoft.com/office/officeart/2009/3/layout/HorizontalOrganizationChart"/>
    <dgm:cxn modelId="{1BC98926-4D9A-424A-8D5B-CD980594476E}" type="presParOf" srcId="{1E0DBC08-7B36-4049-AEDD-609196E5D0F3}" destId="{B1B7CB88-C661-4565-9821-8115D92F456A}" srcOrd="1" destOrd="0" presId="urn:microsoft.com/office/officeart/2009/3/layout/HorizontalOrganizationChart"/>
    <dgm:cxn modelId="{18A77091-F89A-40A8-AC1B-AFE10AB64CB5}" type="presParOf" srcId="{C4EEE439-09BC-4C63-A486-D4F03DB2A268}" destId="{7CEEF45C-BD21-42F2-9A38-8FADB72AA3D2}" srcOrd="1" destOrd="0" presId="urn:microsoft.com/office/officeart/2009/3/layout/HorizontalOrganizationChart"/>
    <dgm:cxn modelId="{F4B3ECD6-4CD3-4B7A-88FB-641EA517A1FD}" type="presParOf" srcId="{C4EEE439-09BC-4C63-A486-D4F03DB2A268}" destId="{5C4BEAEC-7AD7-47F7-8AF7-1D6A2DA5D9E7}" srcOrd="2" destOrd="0" presId="urn:microsoft.com/office/officeart/2009/3/layout/HorizontalOrganizationChart"/>
    <dgm:cxn modelId="{E6F14570-884B-43BE-9EFC-14BEC3629A63}" type="presParOf" srcId="{990E6686-C181-4D49-8B21-748CAF817DE8}" destId="{62246BB3-61B4-429A-82DA-6A8709F903B4}" srcOrd="4" destOrd="0" presId="urn:microsoft.com/office/officeart/2009/3/layout/HorizontalOrganizationChart"/>
    <dgm:cxn modelId="{73A2DCAE-0AFA-46B2-97D4-FA7CA649FB88}" type="presParOf" srcId="{990E6686-C181-4D49-8B21-748CAF817DE8}" destId="{CCB1924E-5743-483E-8E4E-9496BD4AF8DE}" srcOrd="5" destOrd="0" presId="urn:microsoft.com/office/officeart/2009/3/layout/HorizontalOrganizationChart"/>
    <dgm:cxn modelId="{D554D4F3-3B34-4322-B3DF-96DDC4809A13}" type="presParOf" srcId="{CCB1924E-5743-483E-8E4E-9496BD4AF8DE}" destId="{63A2A753-B1C2-43B3-83BA-FB585B5214EA}" srcOrd="0" destOrd="0" presId="urn:microsoft.com/office/officeart/2009/3/layout/HorizontalOrganizationChart"/>
    <dgm:cxn modelId="{A0E281B9-85ED-4214-97A5-37619BBF8816}" type="presParOf" srcId="{63A2A753-B1C2-43B3-83BA-FB585B5214EA}" destId="{A2859573-8743-449F-B0BE-856E93120483}" srcOrd="0" destOrd="0" presId="urn:microsoft.com/office/officeart/2009/3/layout/HorizontalOrganizationChart"/>
    <dgm:cxn modelId="{B454A9ED-978E-401E-9954-ACC64E82F7A0}" type="presParOf" srcId="{63A2A753-B1C2-43B3-83BA-FB585B5214EA}" destId="{030D6CF6-B997-45CB-80C2-1B212FD1264A}" srcOrd="1" destOrd="0" presId="urn:microsoft.com/office/officeart/2009/3/layout/HorizontalOrganizationChart"/>
    <dgm:cxn modelId="{DA59D47C-5DF5-490E-9502-CB53EC837695}" type="presParOf" srcId="{CCB1924E-5743-483E-8E4E-9496BD4AF8DE}" destId="{E0E2188C-9254-431F-A412-B26F7909AC82}" srcOrd="1" destOrd="0" presId="urn:microsoft.com/office/officeart/2009/3/layout/HorizontalOrganizationChart"/>
    <dgm:cxn modelId="{AD456DB5-B3EC-45DB-A381-70153FCFCD95}" type="presParOf" srcId="{CCB1924E-5743-483E-8E4E-9496BD4AF8DE}" destId="{6CD60838-B237-498F-A9D7-28BA6C2476CB}" srcOrd="2" destOrd="0" presId="urn:microsoft.com/office/officeart/2009/3/layout/HorizontalOrganizationChart"/>
    <dgm:cxn modelId="{FE50B788-112E-400F-82D2-E110BB856EE3}" type="presParOf" srcId="{990E6686-C181-4D49-8B21-748CAF817DE8}" destId="{F2F5A153-F7E1-4FC6-A381-7E642DF9A565}" srcOrd="6" destOrd="0" presId="urn:microsoft.com/office/officeart/2009/3/layout/HorizontalOrganizationChart"/>
    <dgm:cxn modelId="{F1D800BB-E58D-44F5-B3F8-314D34BAFCF6}" type="presParOf" srcId="{990E6686-C181-4D49-8B21-748CAF817DE8}" destId="{BCA1274A-6869-4BFB-924F-F238FC87B12B}" srcOrd="7" destOrd="0" presId="urn:microsoft.com/office/officeart/2009/3/layout/HorizontalOrganizationChart"/>
    <dgm:cxn modelId="{15F5F372-4D63-4E91-A766-84FB47894865}" type="presParOf" srcId="{BCA1274A-6869-4BFB-924F-F238FC87B12B}" destId="{73739171-0177-456B-A942-379D3A38C396}" srcOrd="0" destOrd="0" presId="urn:microsoft.com/office/officeart/2009/3/layout/HorizontalOrganizationChart"/>
    <dgm:cxn modelId="{221BC053-B39D-40BB-9535-D9B1A5549EF2}" type="presParOf" srcId="{73739171-0177-456B-A942-379D3A38C396}" destId="{D58F5FB6-D082-4896-AB56-35CB667A078E}" srcOrd="0" destOrd="0" presId="urn:microsoft.com/office/officeart/2009/3/layout/HorizontalOrganizationChart"/>
    <dgm:cxn modelId="{4808DEE5-BCF7-45F2-A444-8F13E9E7F4A6}" type="presParOf" srcId="{73739171-0177-456B-A942-379D3A38C396}" destId="{70AD86C5-0EC7-469F-BBDF-B5EEE01D0629}" srcOrd="1" destOrd="0" presId="urn:microsoft.com/office/officeart/2009/3/layout/HorizontalOrganizationChart"/>
    <dgm:cxn modelId="{AC67A05C-7B8A-43DD-B235-29DEB0CB6E2B}" type="presParOf" srcId="{BCA1274A-6869-4BFB-924F-F238FC87B12B}" destId="{B54EAD18-5B25-4975-942B-FE189F631BA8}" srcOrd="1" destOrd="0" presId="urn:microsoft.com/office/officeart/2009/3/layout/HorizontalOrganizationChart"/>
    <dgm:cxn modelId="{B622E3DF-9433-478A-BA7F-50D7B4A7D162}" type="presParOf" srcId="{BCA1274A-6869-4BFB-924F-F238FC87B12B}" destId="{BDE880D1-D932-4FEF-9183-E4E536422108}" srcOrd="2" destOrd="0" presId="urn:microsoft.com/office/officeart/2009/3/layout/HorizontalOrganizationChart"/>
    <dgm:cxn modelId="{5E3B34F3-1A52-438E-989E-18FC3806EA92}" type="presParOf" srcId="{97A8CDA7-B7B6-427F-9D33-90C588D98000}" destId="{4058F052-2FF2-4B9C-BC4D-32282A70D27A}" srcOrd="2" destOrd="0" presId="urn:microsoft.com/office/officeart/2009/3/layout/HorizontalOrganizationChart"/>
    <dgm:cxn modelId="{9C1B3429-B2FE-4B43-848D-2872180CCCB2}" type="presParOf" srcId="{4058F052-2FF2-4B9C-BC4D-32282A70D27A}" destId="{774652DC-0CF5-4FDB-BAC6-ACAD9BF854AB}" srcOrd="0" destOrd="0" presId="urn:microsoft.com/office/officeart/2009/3/layout/HorizontalOrganizationChart"/>
    <dgm:cxn modelId="{47AF668E-D561-4CA4-B4AB-4220945F8079}" type="presParOf" srcId="{4058F052-2FF2-4B9C-BC4D-32282A70D27A}" destId="{BE5E0FC8-F5D6-4CD4-BAE2-5DADC78FE955}" srcOrd="1" destOrd="0" presId="urn:microsoft.com/office/officeart/2009/3/layout/HorizontalOrganizationChart"/>
    <dgm:cxn modelId="{890686E2-ADAE-4161-B52D-99857B3F06BF}" type="presParOf" srcId="{BE5E0FC8-F5D6-4CD4-BAE2-5DADC78FE955}" destId="{B985AFF7-98EA-4D25-AF68-30452D1AD619}" srcOrd="0" destOrd="0" presId="urn:microsoft.com/office/officeart/2009/3/layout/HorizontalOrganizationChart"/>
    <dgm:cxn modelId="{F70D87C1-6477-41BB-8A21-7815297D1628}" type="presParOf" srcId="{B985AFF7-98EA-4D25-AF68-30452D1AD619}" destId="{02D656AE-862B-4D20-907C-41811806EF20}" srcOrd="0" destOrd="0" presId="urn:microsoft.com/office/officeart/2009/3/layout/HorizontalOrganizationChart"/>
    <dgm:cxn modelId="{361513BB-00A4-4406-908D-9E9FD5283E98}" type="presParOf" srcId="{B985AFF7-98EA-4D25-AF68-30452D1AD619}" destId="{3AE4CFB9-E72B-4514-A627-6A9E9505811E}" srcOrd="1" destOrd="0" presId="urn:microsoft.com/office/officeart/2009/3/layout/HorizontalOrganizationChart"/>
    <dgm:cxn modelId="{A213A589-9AE1-4E33-90A1-7BF2386E65D0}" type="presParOf" srcId="{BE5E0FC8-F5D6-4CD4-BAE2-5DADC78FE955}" destId="{DB9CC8A7-BC7B-432C-B8BF-69B730499BE2}" srcOrd="1" destOrd="0" presId="urn:microsoft.com/office/officeart/2009/3/layout/HorizontalOrganizationChart"/>
    <dgm:cxn modelId="{B67C0109-D3DA-4563-9CAA-A6558DFED0F5}"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104"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11"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16AF8338-FE40-43FA-9C3C-7B961BCEE864}" type="presOf" srcId="{5A8021B1-3B3B-4C9C-A128-A5BF803928B2}" destId="{AB1E07D6-FDC4-4A05-9385-9A6A3DCD6F98}"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42315FCC-15D0-4372-B289-FDF098D27EF4}" type="presOf" srcId="{883D1ACB-9802-4130-A637-62123E7EECED}" destId="{8661E355-6D47-490E-8C0C-0EEA533C5D08}" srcOrd="0" destOrd="0" presId="urn:microsoft.com/office/officeart/2005/8/layout/hProcess9"/>
    <dgm:cxn modelId="{2378D588-608B-4E20-B83E-2557195D9483}" type="presOf" srcId="{6A40D5C5-D42D-422F-A078-53D458913F49}" destId="{51F3DF54-36E6-4B72-83BC-784EB1625918}" srcOrd="0" destOrd="0" presId="urn:microsoft.com/office/officeart/2005/8/layout/hProcess9"/>
    <dgm:cxn modelId="{1D8B5398-7536-478F-9A72-4B4027A54045}" type="presOf" srcId="{143F8302-F1AF-4AC4-9B3B-7BD9EC4931B8}" destId="{AA435572-59CF-46AB-9A97-BB2BEBF824DA}"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0971E1D3-81E1-4620-932C-32793281DC09}" type="presParOf" srcId="{8661E355-6D47-490E-8C0C-0EEA533C5D08}" destId="{AA14AA84-6582-44CD-AAE6-9DF3199D89D7}" srcOrd="0" destOrd="0" presId="urn:microsoft.com/office/officeart/2005/8/layout/hProcess9"/>
    <dgm:cxn modelId="{8DD21377-4997-4430-918B-E00F68BD6C57}" type="presParOf" srcId="{8661E355-6D47-490E-8C0C-0EEA533C5D08}" destId="{D7188A06-9CE0-4A7C-A415-BA4CDF87C10C}" srcOrd="1" destOrd="0" presId="urn:microsoft.com/office/officeart/2005/8/layout/hProcess9"/>
    <dgm:cxn modelId="{AC53B8CB-7811-45F0-BA4C-FAE36360DBE7}" type="presParOf" srcId="{D7188A06-9CE0-4A7C-A415-BA4CDF87C10C}" destId="{51F3DF54-36E6-4B72-83BC-784EB1625918}" srcOrd="0" destOrd="0" presId="urn:microsoft.com/office/officeart/2005/8/layout/hProcess9"/>
    <dgm:cxn modelId="{24804584-EB5C-4EA2-8269-78CE6965CCFA}" type="presParOf" srcId="{D7188A06-9CE0-4A7C-A415-BA4CDF87C10C}" destId="{74C6EDD8-B29A-418A-B1E5-06BDD2FE5A57}" srcOrd="1" destOrd="0" presId="urn:microsoft.com/office/officeart/2005/8/layout/hProcess9"/>
    <dgm:cxn modelId="{BFF3969C-2501-48D0-895A-5F12910566E0}" type="presParOf" srcId="{D7188A06-9CE0-4A7C-A415-BA4CDF87C10C}" destId="{AB1E07D6-FDC4-4A05-9385-9A6A3DCD6F98}" srcOrd="2" destOrd="0" presId="urn:microsoft.com/office/officeart/2005/8/layout/hProcess9"/>
    <dgm:cxn modelId="{13D9010D-659C-49D1-BB7B-68F5786D0226}" type="presParOf" srcId="{D7188A06-9CE0-4A7C-A415-BA4CDF87C10C}" destId="{3FDEEA04-F363-42DE-9C0D-51400E294627}" srcOrd="3" destOrd="0" presId="urn:microsoft.com/office/officeart/2005/8/layout/hProcess9"/>
    <dgm:cxn modelId="{288DD051-56C9-4E4A-B81D-AFFFBC20D12C}"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109"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1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CBCEB530-C5E5-445D-8A2E-9C0434CE5E1B}" srcId="{625E5F4C-91A4-43AB-8320-4663A658FC11}" destId="{260E5AAD-DC9A-428A-8FC6-440D57C8B3A3}" srcOrd="0" destOrd="0" parTransId="{0C3F12C9-80B7-4700-A42C-B951A5F154BD}" sibTransId="{E808AB13-55B4-4986-A4B4-4038FC63CDC2}"/>
    <dgm:cxn modelId="{5925F6CA-A454-4329-ADEF-2F7B2B1B0A4B}" type="presOf" srcId="{3A04E2BE-6990-40BC-A38E-FDEE5C384199}" destId="{218E588F-589B-48F2-9E74-55B8C788C258}" srcOrd="1" destOrd="0" presId="urn:microsoft.com/office/officeart/2005/8/layout/hierarchy2"/>
    <dgm:cxn modelId="{17A3B9FE-F5E6-48C4-B43C-95675E66C9F5}" srcId="{0C76BCD8-9910-4B38-8AD3-359D3D907466}" destId="{295037B0-ABC1-49C4-80A1-49324D1D271B}" srcOrd="0" destOrd="0" parTransId="{3A04E2BE-6990-40BC-A38E-FDEE5C384199}" sibTransId="{532B069B-8359-4BFD-812A-1D207EE650E9}"/>
    <dgm:cxn modelId="{521FA93E-2701-41CF-A9A8-1C95895CD149}" type="presOf" srcId="{625E5F4C-91A4-43AB-8320-4663A658FC11}" destId="{A585BD87-21FC-42C9-AFE4-61DFFFD54E5C}" srcOrd="0" destOrd="0" presId="urn:microsoft.com/office/officeart/2005/8/layout/hierarchy2"/>
    <dgm:cxn modelId="{ACFE1F32-83C0-458B-A0BC-B789BB12944A}" type="presOf" srcId="{295037B0-ABC1-49C4-80A1-49324D1D271B}" destId="{0A6EF1A8-9F22-498C-9D4C-17997D2EE438}" srcOrd="0" destOrd="0" presId="urn:microsoft.com/office/officeart/2005/8/layout/hierarchy2"/>
    <dgm:cxn modelId="{B926EBB7-6875-42F5-92E8-833FADFF6A86}" type="presOf" srcId="{0C76BCD8-9910-4B38-8AD3-359D3D907466}" destId="{4436D034-8F5D-4167-8691-8F8EA77FE285}" srcOrd="0" destOrd="0" presId="urn:microsoft.com/office/officeart/2005/8/layout/hierarchy2"/>
    <dgm:cxn modelId="{8CBD1F3E-FC25-475F-8E34-C56F0F5DB3FC}" type="presOf" srcId="{0C3F12C9-80B7-4700-A42C-B951A5F154BD}" destId="{39F3A5E2-A17A-4853-AE9E-F6B6D6C322D8}" srcOrd="1" destOrd="0" presId="urn:microsoft.com/office/officeart/2005/8/layout/hierarchy2"/>
    <dgm:cxn modelId="{3361A4F5-EBEB-4311-A24E-17CBFB9F25B6}" type="presOf" srcId="{0C3F12C9-80B7-4700-A42C-B951A5F154BD}" destId="{A8111FA3-F3CB-4919-9821-8B6C9F4B41DC}" srcOrd="0"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B33ABD11-CA3A-477F-955E-11C468323F06}" type="presOf" srcId="{260E5AAD-DC9A-428A-8FC6-440D57C8B3A3}" destId="{AC727610-2ABF-441D-9DF6-61C7A3E8896F}" srcOrd="0" destOrd="0" presId="urn:microsoft.com/office/officeart/2005/8/layout/hierarchy2"/>
    <dgm:cxn modelId="{10F5055F-4409-46F4-B6A7-47B9F62951F1}" type="presOf" srcId="{881E45D0-0AFE-4F5B-ADAB-25E796FC582C}" destId="{A393E8F0-4A97-43FB-87F1-B725754F5C04}" srcOrd="0"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61A59B4D-39CB-4823-9CFB-480BC0D1E62A}" type="presOf" srcId="{3A04E2BE-6990-40BC-A38E-FDEE5C384199}" destId="{D2EBDF05-DB72-48B0-BFC6-DB38B4F81BD4}" srcOrd="0" destOrd="0" presId="urn:microsoft.com/office/officeart/2005/8/layout/hierarchy2"/>
    <dgm:cxn modelId="{D3078B5C-C425-447E-B264-4FB7342F48FF}" type="presParOf" srcId="{A393E8F0-4A97-43FB-87F1-B725754F5C04}" destId="{3D85FCE7-7277-4807-A17A-BF1782FE3025}" srcOrd="0" destOrd="0" presId="urn:microsoft.com/office/officeart/2005/8/layout/hierarchy2"/>
    <dgm:cxn modelId="{B7A3DCCE-E2CA-4084-8104-758F7071865C}" type="presParOf" srcId="{3D85FCE7-7277-4807-A17A-BF1782FE3025}" destId="{A585BD87-21FC-42C9-AFE4-61DFFFD54E5C}" srcOrd="0" destOrd="0" presId="urn:microsoft.com/office/officeart/2005/8/layout/hierarchy2"/>
    <dgm:cxn modelId="{0D30E916-E6B6-4268-8C6F-C0BBA22B3BF9}" type="presParOf" srcId="{3D85FCE7-7277-4807-A17A-BF1782FE3025}" destId="{787BE1D2-0597-4DB7-99CC-1306BC0699BF}" srcOrd="1" destOrd="0" presId="urn:microsoft.com/office/officeart/2005/8/layout/hierarchy2"/>
    <dgm:cxn modelId="{B58388FF-E2DA-4060-A956-E536CA82622F}" type="presParOf" srcId="{787BE1D2-0597-4DB7-99CC-1306BC0699BF}" destId="{A8111FA3-F3CB-4919-9821-8B6C9F4B41DC}" srcOrd="0" destOrd="0" presId="urn:microsoft.com/office/officeart/2005/8/layout/hierarchy2"/>
    <dgm:cxn modelId="{EBD8F24C-CA90-4102-860A-A47F68E77779}" type="presParOf" srcId="{A8111FA3-F3CB-4919-9821-8B6C9F4B41DC}" destId="{39F3A5E2-A17A-4853-AE9E-F6B6D6C322D8}" srcOrd="0" destOrd="0" presId="urn:microsoft.com/office/officeart/2005/8/layout/hierarchy2"/>
    <dgm:cxn modelId="{AEDF3500-AA02-4D76-961E-CDA2860CAF7C}" type="presParOf" srcId="{787BE1D2-0597-4DB7-99CC-1306BC0699BF}" destId="{D343F650-9306-4622-80C3-2F2077F657B9}" srcOrd="1" destOrd="0" presId="urn:microsoft.com/office/officeart/2005/8/layout/hierarchy2"/>
    <dgm:cxn modelId="{7F1C6E1F-C5B6-4DFB-BB7D-7C06035E04A6}" type="presParOf" srcId="{D343F650-9306-4622-80C3-2F2077F657B9}" destId="{AC727610-2ABF-441D-9DF6-61C7A3E8896F}" srcOrd="0" destOrd="0" presId="urn:microsoft.com/office/officeart/2005/8/layout/hierarchy2"/>
    <dgm:cxn modelId="{2524984A-1BFF-4E4D-8C3B-435CDE1FCCEA}" type="presParOf" srcId="{D343F650-9306-4622-80C3-2F2077F657B9}" destId="{E40F0C6C-890F-4B30-9601-A7ABDB1D49EE}" srcOrd="1" destOrd="0" presId="urn:microsoft.com/office/officeart/2005/8/layout/hierarchy2"/>
    <dgm:cxn modelId="{A9D1FEDA-F044-4201-AF80-78F738DF342D}" type="presParOf" srcId="{A393E8F0-4A97-43FB-87F1-B725754F5C04}" destId="{329CC2C0-3121-4859-BCE5-A5E41163D9FF}" srcOrd="1" destOrd="0" presId="urn:microsoft.com/office/officeart/2005/8/layout/hierarchy2"/>
    <dgm:cxn modelId="{4ECC6B44-D7B4-46B3-A1E6-B792804F2751}" type="presParOf" srcId="{329CC2C0-3121-4859-BCE5-A5E41163D9FF}" destId="{4436D034-8F5D-4167-8691-8F8EA77FE285}" srcOrd="0" destOrd="0" presId="urn:microsoft.com/office/officeart/2005/8/layout/hierarchy2"/>
    <dgm:cxn modelId="{F824BEE7-2C4C-4567-B4AF-7C486EEDF352}" type="presParOf" srcId="{329CC2C0-3121-4859-BCE5-A5E41163D9FF}" destId="{EF2B3B55-F3F4-4E51-80BD-CB631CB2E5A5}" srcOrd="1" destOrd="0" presId="urn:microsoft.com/office/officeart/2005/8/layout/hierarchy2"/>
    <dgm:cxn modelId="{639A46A3-9AFE-45A9-8713-27D2E3245488}" type="presParOf" srcId="{EF2B3B55-F3F4-4E51-80BD-CB631CB2E5A5}" destId="{D2EBDF05-DB72-48B0-BFC6-DB38B4F81BD4}" srcOrd="0" destOrd="0" presId="urn:microsoft.com/office/officeart/2005/8/layout/hierarchy2"/>
    <dgm:cxn modelId="{9CB28269-8E15-4BBF-AC71-94C86F2DBA75}" type="presParOf" srcId="{D2EBDF05-DB72-48B0-BFC6-DB38B4F81BD4}" destId="{218E588F-589B-48F2-9E74-55B8C788C258}" srcOrd="0" destOrd="0" presId="urn:microsoft.com/office/officeart/2005/8/layout/hierarchy2"/>
    <dgm:cxn modelId="{E1F1ACB4-0F17-425A-AC42-12A82F3C02C5}" type="presParOf" srcId="{EF2B3B55-F3F4-4E51-80BD-CB631CB2E5A5}" destId="{C0851CC5-2CE5-40B8-A643-9AD6B497E6F1}" srcOrd="1" destOrd="0" presId="urn:microsoft.com/office/officeart/2005/8/layout/hierarchy2"/>
    <dgm:cxn modelId="{9E14BEFF-7F12-44EB-845B-74661FD9B3DD}" type="presParOf" srcId="{C0851CC5-2CE5-40B8-A643-9AD6B497E6F1}" destId="{0A6EF1A8-9F22-498C-9D4C-17997D2EE438}" srcOrd="0" destOrd="0" presId="urn:microsoft.com/office/officeart/2005/8/layout/hierarchy2"/>
    <dgm:cxn modelId="{6FF0A65F-641F-4D75-8A27-3D8A3B9560DC}"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14"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13"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0BDAF32E-059A-4887-B10A-9F200A01FFEF}" type="presOf" srcId="{39A66D0C-641F-46CA-BCE2-081E343576BD}" destId="{B786332D-103B-4B95-A83B-B3F2FB5E1350}" srcOrd="0" destOrd="0" presId="urn:microsoft.com/office/officeart/2005/8/layout/orgChart1"/>
    <dgm:cxn modelId="{F4333B40-8502-42C4-949E-0A3CE2649301}" type="presOf" srcId="{CBC8819C-7131-4BAA-A80E-F94A1AF206A1}" destId="{9D465E46-173D-4D78-A439-07402ED08FB1}" srcOrd="0" destOrd="0" presId="urn:microsoft.com/office/officeart/2005/8/layout/orgChart1"/>
    <dgm:cxn modelId="{17BA35AE-1FAD-4FB1-B1E1-802BA0476B47}" type="presOf" srcId="{DC4B1A7F-CC5B-45E6-911F-ED6766CE2591}" destId="{1EF10A14-8DBB-4795-94E7-6148712F4460}" srcOrd="0" destOrd="0" presId="urn:microsoft.com/office/officeart/2005/8/layout/orgChart1"/>
    <dgm:cxn modelId="{953FE360-40BC-4DE3-918E-B2B9CBBABD9A}" type="presOf" srcId="{53E1C8AD-7129-4CEB-BD44-119843007D53}" destId="{A9AB369F-1525-491D-85CF-CC0574DA79D7}" srcOrd="1" destOrd="0" presId="urn:microsoft.com/office/officeart/2005/8/layout/orgChart1"/>
    <dgm:cxn modelId="{971A15DC-BA2A-410B-B18C-2A538357FD88}" type="presOf" srcId="{62105EC5-48AF-4367-831A-2825A248DF04}" destId="{AF7A5E30-790C-4E0A-8D06-C2B15C460200}" srcOrd="0" destOrd="0" presId="urn:microsoft.com/office/officeart/2005/8/layout/orgChart1"/>
    <dgm:cxn modelId="{4F91D1D8-F022-4F12-9C14-108EA19CDAE5}" type="presOf" srcId="{A06789C6-FCD1-4B86-AD4C-BC7860CEEFA3}" destId="{E750CFEB-3C5E-45BA-B9A9-112E80E2A5BF}" srcOrd="0" destOrd="0" presId="urn:microsoft.com/office/officeart/2005/8/layout/orgChart1"/>
    <dgm:cxn modelId="{E3204A30-5E58-417E-96F8-21C5B9646D94}" type="presOf" srcId="{DC4B1A7F-CC5B-45E6-911F-ED6766CE2591}" destId="{6EB7420C-3ED0-4C5C-9292-D7A5A6601B4B}" srcOrd="1" destOrd="0" presId="urn:microsoft.com/office/officeart/2005/8/layout/orgChart1"/>
    <dgm:cxn modelId="{82ADEE2D-4F8F-4D16-95B4-2B9D06F4D100}" type="presOf" srcId="{A1C7D234-AF47-4C57-9995-76BE88A3D764}" destId="{06F513B8-3546-4591-B10B-087483BE3813}" srcOrd="0" destOrd="0" presId="urn:microsoft.com/office/officeart/2005/8/layout/orgChart1"/>
    <dgm:cxn modelId="{C5FCA159-7098-4686-81E5-B7A2601B487D}" type="presOf" srcId="{FAC4ADAA-821C-4919-A46D-717EEFA5DFAE}" destId="{7FAE818A-E320-40ED-90D2-A1A29E6C8938}" srcOrd="0"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ADED1ECE-6F54-4CBE-BAA9-E61765E0D376}" srcId="{FAC4ADAA-821C-4919-A46D-717EEFA5DFAE}" destId="{DC4B1A7F-CC5B-45E6-911F-ED6766CE2591}" srcOrd="0" destOrd="0" parTransId="{39A66D0C-641F-46CA-BCE2-081E343576BD}" sibTransId="{AF285F4F-E4D9-4ECE-8FB5-18C81FA80D59}"/>
    <dgm:cxn modelId="{E57E061D-2ABA-40FC-AB66-5CC2F132AB91}" srcId="{FAC4ADAA-821C-4919-A46D-717EEFA5DFAE}" destId="{62105EC5-48AF-4367-831A-2825A248DF04}" srcOrd="1" destOrd="0" parTransId="{A06789C6-FCD1-4B86-AD4C-BC7860CEEFA3}" sibTransId="{5DB7DDB7-837E-432A-BD41-2920B94AC9AE}"/>
    <dgm:cxn modelId="{DDD199AD-215C-4E62-8EAD-9867C246AA81}" type="presOf" srcId="{FAC4ADAA-821C-4919-A46D-717EEFA5DFAE}" destId="{D55CAC69-4323-435C-A060-7D8912FB4ED0}" srcOrd="1" destOrd="0" presId="urn:microsoft.com/office/officeart/2005/8/layout/orgChart1"/>
    <dgm:cxn modelId="{402D1910-A8BC-4F02-9BEE-5C3DF15570A2}" type="presOf" srcId="{24DFA86B-D349-4A0B-B339-17FFB5846100}" destId="{F2EF7353-2693-4D26-9789-DF8F1D53C386}" srcOrd="0" destOrd="0" presId="urn:microsoft.com/office/officeart/2005/8/layout/orgChart1"/>
    <dgm:cxn modelId="{66B26528-5C75-4ACA-ABBD-D933321DBE07}" type="presOf" srcId="{D43DDAA5-4B2D-4EA7-AB60-FACDED37C99E}" destId="{17878173-F4A6-46C4-ABDD-8850F220BCD8}" srcOrd="0" destOrd="0" presId="urn:microsoft.com/office/officeart/2005/8/layout/orgChart1"/>
    <dgm:cxn modelId="{571DEDC4-37C0-4A44-B8CE-9A1E2195BA41}" type="presOf" srcId="{62105EC5-48AF-4367-831A-2825A248DF04}" destId="{16A1DAA5-FAC9-4DBB-88F0-33E4308A65CA}" srcOrd="1"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337CD157-5BF9-40F9-9C39-1FA20A47BD7D}" type="presOf" srcId="{53E1C8AD-7129-4CEB-BD44-119843007D53}" destId="{8633CB1E-0933-414C-8CAB-DC16D69457A7}" srcOrd="0" destOrd="0" presId="urn:microsoft.com/office/officeart/2005/8/layout/orgChart1"/>
    <dgm:cxn modelId="{09D5C742-A004-4B91-A8F2-FFBBDB6C0CF1}" srcId="{FAC4ADAA-821C-4919-A46D-717EEFA5DFAE}" destId="{D43DDAA5-4B2D-4EA7-AB60-FACDED37C99E}" srcOrd="2" destOrd="0" parTransId="{CBC8819C-7131-4BAA-A80E-F94A1AF206A1}" sibTransId="{FF131D97-A76E-49E4-9E18-66F1B8B847F5}"/>
    <dgm:cxn modelId="{671B8EB3-E866-49B7-B8CD-DBF1181E7184}" srcId="{FAC4ADAA-821C-4919-A46D-717EEFA5DFAE}" destId="{A58E744C-6C32-4DAD-8C3A-18451847E152}" srcOrd="4" destOrd="0" parTransId="{24DFA86B-D349-4A0B-B339-17FFB5846100}" sibTransId="{7B529A4A-6212-4D81-B3F2-22096DFD3D13}"/>
    <dgm:cxn modelId="{A22FBEF3-CE64-4221-B877-C4DFE84B2A3C}" type="presOf" srcId="{7A0A876D-475C-4A17-A412-F4EA86EBD8CB}" destId="{7EABB9AF-4D10-4334-B18C-FBFD90948856}" srcOrd="0" destOrd="0" presId="urn:microsoft.com/office/officeart/2005/8/layout/orgChart1"/>
    <dgm:cxn modelId="{E3475BA5-86D3-4FFD-BAEA-D26CBB51E2A7}" type="presOf" srcId="{A58E744C-6C32-4DAD-8C3A-18451847E152}" destId="{D608C5E1-53FA-4B22-A35D-5472412FF186}" srcOrd="1" destOrd="0" presId="urn:microsoft.com/office/officeart/2005/8/layout/orgChart1"/>
    <dgm:cxn modelId="{6338EA89-056F-4962-A2C7-114C4D6B0579}" type="presOf" srcId="{A58E744C-6C32-4DAD-8C3A-18451847E152}" destId="{40E54204-9F18-4A4D-B3CF-232E466168AA}" srcOrd="0" destOrd="0" presId="urn:microsoft.com/office/officeart/2005/8/layout/orgChart1"/>
    <dgm:cxn modelId="{89BAEE93-1E09-45A3-B907-A64470A54C86}" type="presOf" srcId="{D43DDAA5-4B2D-4EA7-AB60-FACDED37C99E}" destId="{1B5600AC-6114-4151-A674-57CF02C9B1FA}" srcOrd="1" destOrd="0" presId="urn:microsoft.com/office/officeart/2005/8/layout/orgChart1"/>
    <dgm:cxn modelId="{45770229-BD86-453D-BC95-8F2C8672AE11}" type="presParOf" srcId="{7EABB9AF-4D10-4334-B18C-FBFD90948856}" destId="{BCA4EF3B-8431-467D-A0FE-2D72263A36A3}" srcOrd="0" destOrd="0" presId="urn:microsoft.com/office/officeart/2005/8/layout/orgChart1"/>
    <dgm:cxn modelId="{A4DC7BAA-D008-432A-9BE0-1926E16C745E}" type="presParOf" srcId="{BCA4EF3B-8431-467D-A0FE-2D72263A36A3}" destId="{2CDF9DEC-4488-4A8D-820E-3857528E6BC3}" srcOrd="0" destOrd="0" presId="urn:microsoft.com/office/officeart/2005/8/layout/orgChart1"/>
    <dgm:cxn modelId="{C7FAA990-4F88-48B1-8671-5E403F90859D}" type="presParOf" srcId="{2CDF9DEC-4488-4A8D-820E-3857528E6BC3}" destId="{7FAE818A-E320-40ED-90D2-A1A29E6C8938}" srcOrd="0" destOrd="0" presId="urn:microsoft.com/office/officeart/2005/8/layout/orgChart1"/>
    <dgm:cxn modelId="{0055FEF1-8DCE-41DC-BE51-B7CAE022A2CC}" type="presParOf" srcId="{2CDF9DEC-4488-4A8D-820E-3857528E6BC3}" destId="{D55CAC69-4323-435C-A060-7D8912FB4ED0}" srcOrd="1" destOrd="0" presId="urn:microsoft.com/office/officeart/2005/8/layout/orgChart1"/>
    <dgm:cxn modelId="{245E0ADA-8A31-4B1D-9745-67AAD88A6C1D}" type="presParOf" srcId="{BCA4EF3B-8431-467D-A0FE-2D72263A36A3}" destId="{3F3D48F2-BE0B-47A7-A320-D45E8CFEB73E}" srcOrd="1" destOrd="0" presId="urn:microsoft.com/office/officeart/2005/8/layout/orgChart1"/>
    <dgm:cxn modelId="{2676D4A1-9CEB-4CF7-94BF-FEEF63938E30}" type="presParOf" srcId="{3F3D48F2-BE0B-47A7-A320-D45E8CFEB73E}" destId="{E750CFEB-3C5E-45BA-B9A9-112E80E2A5BF}" srcOrd="0" destOrd="0" presId="urn:microsoft.com/office/officeart/2005/8/layout/orgChart1"/>
    <dgm:cxn modelId="{A2F29CFA-2C44-4240-9520-C7942041248F}" type="presParOf" srcId="{3F3D48F2-BE0B-47A7-A320-D45E8CFEB73E}" destId="{96B7DA59-3C58-4CE5-AEAB-E6DBBF760B48}" srcOrd="1" destOrd="0" presId="urn:microsoft.com/office/officeart/2005/8/layout/orgChart1"/>
    <dgm:cxn modelId="{C27455D6-9F51-41E2-97F1-6534B27C87C4}" type="presParOf" srcId="{96B7DA59-3C58-4CE5-AEAB-E6DBBF760B48}" destId="{7F7907B1-315F-4E37-9943-8126B11E93E1}" srcOrd="0" destOrd="0" presId="urn:microsoft.com/office/officeart/2005/8/layout/orgChart1"/>
    <dgm:cxn modelId="{F0259E75-1902-447E-B89D-EBAFA7B322B9}" type="presParOf" srcId="{7F7907B1-315F-4E37-9943-8126B11E93E1}" destId="{AF7A5E30-790C-4E0A-8D06-C2B15C460200}" srcOrd="0" destOrd="0" presId="urn:microsoft.com/office/officeart/2005/8/layout/orgChart1"/>
    <dgm:cxn modelId="{3AE8D008-4BB8-4645-A7BB-02EF236AAF75}" type="presParOf" srcId="{7F7907B1-315F-4E37-9943-8126B11E93E1}" destId="{16A1DAA5-FAC9-4DBB-88F0-33E4308A65CA}" srcOrd="1" destOrd="0" presId="urn:microsoft.com/office/officeart/2005/8/layout/orgChart1"/>
    <dgm:cxn modelId="{F0A15290-562C-4E5C-8CD7-66FBB036E33A}" type="presParOf" srcId="{96B7DA59-3C58-4CE5-AEAB-E6DBBF760B48}" destId="{F1A3F73C-483C-43B1-B8B6-8716C168AB6F}" srcOrd="1" destOrd="0" presId="urn:microsoft.com/office/officeart/2005/8/layout/orgChart1"/>
    <dgm:cxn modelId="{DFFB557C-DDE4-471F-919B-179192ABF627}" type="presParOf" srcId="{96B7DA59-3C58-4CE5-AEAB-E6DBBF760B48}" destId="{3CA902C5-7D4E-4C84-93DF-73BF877E47EA}" srcOrd="2" destOrd="0" presId="urn:microsoft.com/office/officeart/2005/8/layout/orgChart1"/>
    <dgm:cxn modelId="{CC79FE58-27D4-4A34-BA0D-92FF76C2FD75}" type="presParOf" srcId="{3F3D48F2-BE0B-47A7-A320-D45E8CFEB73E}" destId="{9D465E46-173D-4D78-A439-07402ED08FB1}" srcOrd="2" destOrd="0" presId="urn:microsoft.com/office/officeart/2005/8/layout/orgChart1"/>
    <dgm:cxn modelId="{785D4898-E986-4A49-81B0-05DB45A34E2F}" type="presParOf" srcId="{3F3D48F2-BE0B-47A7-A320-D45E8CFEB73E}" destId="{913A4FB6-C09B-4B78-A905-64E7DE0644B9}" srcOrd="3" destOrd="0" presId="urn:microsoft.com/office/officeart/2005/8/layout/orgChart1"/>
    <dgm:cxn modelId="{9EB569A3-CE24-45D7-A1F1-72CB70CC8280}" type="presParOf" srcId="{913A4FB6-C09B-4B78-A905-64E7DE0644B9}" destId="{83C21B4E-1726-4127-A9FD-5DC8B2964089}" srcOrd="0" destOrd="0" presId="urn:microsoft.com/office/officeart/2005/8/layout/orgChart1"/>
    <dgm:cxn modelId="{60CDD530-231A-479B-9B09-BA0B682F8F16}" type="presParOf" srcId="{83C21B4E-1726-4127-A9FD-5DC8B2964089}" destId="{17878173-F4A6-46C4-ABDD-8850F220BCD8}" srcOrd="0" destOrd="0" presId="urn:microsoft.com/office/officeart/2005/8/layout/orgChart1"/>
    <dgm:cxn modelId="{27F3BD0F-756B-4E0F-B4BE-54D7D62C478A}" type="presParOf" srcId="{83C21B4E-1726-4127-A9FD-5DC8B2964089}" destId="{1B5600AC-6114-4151-A674-57CF02C9B1FA}" srcOrd="1" destOrd="0" presId="urn:microsoft.com/office/officeart/2005/8/layout/orgChart1"/>
    <dgm:cxn modelId="{B84D6219-13D2-4797-91ED-2AF2B90C421C}" type="presParOf" srcId="{913A4FB6-C09B-4B78-A905-64E7DE0644B9}" destId="{1612DB89-DF6C-4D18-B1FE-F8453B973EEE}" srcOrd="1" destOrd="0" presId="urn:microsoft.com/office/officeart/2005/8/layout/orgChart1"/>
    <dgm:cxn modelId="{B00700BF-C190-4BF9-9C0A-014E9663FE99}" type="presParOf" srcId="{913A4FB6-C09B-4B78-A905-64E7DE0644B9}" destId="{A81513A6-A26D-4F4A-99FF-ADE947B69D62}" srcOrd="2" destOrd="0" presId="urn:microsoft.com/office/officeart/2005/8/layout/orgChart1"/>
    <dgm:cxn modelId="{F3684B80-8080-469D-B4DD-8DCC767CC8B2}" type="presParOf" srcId="{3F3D48F2-BE0B-47A7-A320-D45E8CFEB73E}" destId="{06F513B8-3546-4591-B10B-087483BE3813}" srcOrd="4" destOrd="0" presId="urn:microsoft.com/office/officeart/2005/8/layout/orgChart1"/>
    <dgm:cxn modelId="{549A6F1E-5F98-4F4D-953B-B794B53AEB03}" type="presParOf" srcId="{3F3D48F2-BE0B-47A7-A320-D45E8CFEB73E}" destId="{7E87BC56-0C22-4F47-A068-F30268C20E6E}" srcOrd="5" destOrd="0" presId="urn:microsoft.com/office/officeart/2005/8/layout/orgChart1"/>
    <dgm:cxn modelId="{FBD55171-65B9-4A66-9F6F-4903908AA6E4}" type="presParOf" srcId="{7E87BC56-0C22-4F47-A068-F30268C20E6E}" destId="{D4AFD2FD-4FB7-43BC-A1AE-80455B9B986D}" srcOrd="0" destOrd="0" presId="urn:microsoft.com/office/officeart/2005/8/layout/orgChart1"/>
    <dgm:cxn modelId="{5F6A8ECA-3F51-4155-B9A3-DF9D5C2DC97C}" type="presParOf" srcId="{D4AFD2FD-4FB7-43BC-A1AE-80455B9B986D}" destId="{8633CB1E-0933-414C-8CAB-DC16D69457A7}" srcOrd="0" destOrd="0" presId="urn:microsoft.com/office/officeart/2005/8/layout/orgChart1"/>
    <dgm:cxn modelId="{572CC27A-A5B0-41A3-BE32-253FFF0443FD}" type="presParOf" srcId="{D4AFD2FD-4FB7-43BC-A1AE-80455B9B986D}" destId="{A9AB369F-1525-491D-85CF-CC0574DA79D7}" srcOrd="1" destOrd="0" presId="urn:microsoft.com/office/officeart/2005/8/layout/orgChart1"/>
    <dgm:cxn modelId="{55D76E18-B3E0-4D76-AC65-C733466A4AE2}" type="presParOf" srcId="{7E87BC56-0C22-4F47-A068-F30268C20E6E}" destId="{82F8A84E-84BA-4157-9DC4-ACA5DBA5A1C7}" srcOrd="1" destOrd="0" presId="urn:microsoft.com/office/officeart/2005/8/layout/orgChart1"/>
    <dgm:cxn modelId="{4DAF501F-B685-4CD8-AEB7-31B5691DE60C}" type="presParOf" srcId="{7E87BC56-0C22-4F47-A068-F30268C20E6E}" destId="{8120DDBF-3F2F-4C2A-93B1-E65747661865}" srcOrd="2" destOrd="0" presId="urn:microsoft.com/office/officeart/2005/8/layout/orgChart1"/>
    <dgm:cxn modelId="{76AAFF4F-4731-40C5-9542-D0CC3AA71A4D}" type="presParOf" srcId="{3F3D48F2-BE0B-47A7-A320-D45E8CFEB73E}" destId="{F2EF7353-2693-4D26-9789-DF8F1D53C386}" srcOrd="6" destOrd="0" presId="urn:microsoft.com/office/officeart/2005/8/layout/orgChart1"/>
    <dgm:cxn modelId="{6B331745-ECA2-430E-B0EA-F2D03092510D}" type="presParOf" srcId="{3F3D48F2-BE0B-47A7-A320-D45E8CFEB73E}" destId="{5B05256B-BD24-46D6-8374-5B56C8817FAA}" srcOrd="7" destOrd="0" presId="urn:microsoft.com/office/officeart/2005/8/layout/orgChart1"/>
    <dgm:cxn modelId="{890877B8-D717-4FF7-8D2B-B5DE301081B9}" type="presParOf" srcId="{5B05256B-BD24-46D6-8374-5B56C8817FAA}" destId="{2B53C107-FCDD-4B69-912F-CD01CF35B52E}" srcOrd="0" destOrd="0" presId="urn:microsoft.com/office/officeart/2005/8/layout/orgChart1"/>
    <dgm:cxn modelId="{A7E563F8-8512-43F3-B606-DB436832FB12}" type="presParOf" srcId="{2B53C107-FCDD-4B69-912F-CD01CF35B52E}" destId="{40E54204-9F18-4A4D-B3CF-232E466168AA}" srcOrd="0" destOrd="0" presId="urn:microsoft.com/office/officeart/2005/8/layout/orgChart1"/>
    <dgm:cxn modelId="{592D723F-3292-4754-9051-EE29352AC43B}" type="presParOf" srcId="{2B53C107-FCDD-4B69-912F-CD01CF35B52E}" destId="{D608C5E1-53FA-4B22-A35D-5472412FF186}" srcOrd="1" destOrd="0" presId="urn:microsoft.com/office/officeart/2005/8/layout/orgChart1"/>
    <dgm:cxn modelId="{4A5851A2-A5C8-48EC-AF19-1609D3750A39}" type="presParOf" srcId="{5B05256B-BD24-46D6-8374-5B56C8817FAA}" destId="{0E2252AF-66FA-4825-9395-94D1E71A323D}" srcOrd="1" destOrd="0" presId="urn:microsoft.com/office/officeart/2005/8/layout/orgChart1"/>
    <dgm:cxn modelId="{710CAEBD-C2B2-41B4-A661-ED27701804C1}" type="presParOf" srcId="{5B05256B-BD24-46D6-8374-5B56C8817FAA}" destId="{AE42524F-C389-4A0A-9702-278A6FB48874}" srcOrd="2" destOrd="0" presId="urn:microsoft.com/office/officeart/2005/8/layout/orgChart1"/>
    <dgm:cxn modelId="{37E2CDFD-A0C3-4114-ABB8-FF712CFD958F}" type="presParOf" srcId="{BCA4EF3B-8431-467D-A0FE-2D72263A36A3}" destId="{6D285D4E-4063-4E88-AA5F-ABE88896DC34}" srcOrd="2" destOrd="0" presId="urn:microsoft.com/office/officeart/2005/8/layout/orgChart1"/>
    <dgm:cxn modelId="{8B761CD1-585D-40AF-9534-AE919FA6582E}" type="presParOf" srcId="{6D285D4E-4063-4E88-AA5F-ABE88896DC34}" destId="{B786332D-103B-4B95-A83B-B3F2FB5E1350}" srcOrd="0" destOrd="0" presId="urn:microsoft.com/office/officeart/2005/8/layout/orgChart1"/>
    <dgm:cxn modelId="{4FF7174A-066C-4632-A6CF-AD38AD6EC1B0}" type="presParOf" srcId="{6D285D4E-4063-4E88-AA5F-ABE88896DC34}" destId="{F2F978D9-5C32-4640-9249-69511B2BD80C}" srcOrd="1" destOrd="0" presId="urn:microsoft.com/office/officeart/2005/8/layout/orgChart1"/>
    <dgm:cxn modelId="{39F4AC04-72AF-44DF-A1C0-9435DD6EDE08}" type="presParOf" srcId="{F2F978D9-5C32-4640-9249-69511B2BD80C}" destId="{7086BDD5-EA68-4E14-AE32-5ABF22248443}" srcOrd="0" destOrd="0" presId="urn:microsoft.com/office/officeart/2005/8/layout/orgChart1"/>
    <dgm:cxn modelId="{4608489D-3E35-4A66-8C15-E727DA940E56}" type="presParOf" srcId="{7086BDD5-EA68-4E14-AE32-5ABF22248443}" destId="{1EF10A14-8DBB-4795-94E7-6148712F4460}" srcOrd="0" destOrd="0" presId="urn:microsoft.com/office/officeart/2005/8/layout/orgChart1"/>
    <dgm:cxn modelId="{55AF9105-9AE2-494E-820C-D95A5F56718E}" type="presParOf" srcId="{7086BDD5-EA68-4E14-AE32-5ABF22248443}" destId="{6EB7420C-3ED0-4C5C-9292-D7A5A6601B4B}" srcOrd="1" destOrd="0" presId="urn:microsoft.com/office/officeart/2005/8/layout/orgChart1"/>
    <dgm:cxn modelId="{A09E5688-F071-48AD-BE3F-B095EC668810}" type="presParOf" srcId="{F2F978D9-5C32-4640-9249-69511B2BD80C}" destId="{9A443E04-FA13-459F-B1A9-3C9ED8AA3157}" srcOrd="1" destOrd="0" presId="urn:microsoft.com/office/officeart/2005/8/layout/orgChart1"/>
    <dgm:cxn modelId="{D9D8EBDD-88D8-4D12-B4EE-875A658152F8}"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19"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14"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CD083434-83BE-4877-873D-B95CF858D4E1}" type="presOf" srcId="{D39DC9A8-45B7-4264-AB10-1F9448B87827}" destId="{DF8D1526-46CC-4706-91C4-58365108D793}" srcOrd="1" destOrd="0" presId="urn:microsoft.com/office/officeart/2005/8/layout/orgChart1"/>
    <dgm:cxn modelId="{3C748F6D-6D2C-4254-8CD9-E7EDD6E9CE6A}" type="presOf" srcId="{B018844E-752B-4441-AC07-DAF0C9BA32B1}" destId="{0B3D25FC-6847-43A1-9E3B-4D3EFF3BBC61}" srcOrd="0"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EC1D392E-A9AC-4A58-BE96-78F8DF8EA370}" type="presOf" srcId="{80184D92-4A1B-488F-9628-A6654ED9FE35}" destId="{FF4FE4F0-1CF9-4A84-AC37-C286094F1737}" srcOrd="1" destOrd="0" presId="urn:microsoft.com/office/officeart/2005/8/layout/orgChart1"/>
    <dgm:cxn modelId="{422868B9-6937-4719-939E-589FC7232CC6}" type="presOf" srcId="{D88C951D-7FB3-45AB-A244-995AAFC436C9}" destId="{C14E2368-DDB3-435E-8A3E-1D4AB46571B6}" srcOrd="0" destOrd="0" presId="urn:microsoft.com/office/officeart/2005/8/layout/orgChart1"/>
    <dgm:cxn modelId="{3A044587-A919-47D1-B7F3-40D860C3D0F6}" type="presOf" srcId="{8FA247B7-3D65-41FF-BD64-C12EB9CC0410}" destId="{3B050AF4-7000-4928-8FCB-DB6B23C9215C}" srcOrd="0" destOrd="0" presId="urn:microsoft.com/office/officeart/2005/8/layout/orgChart1"/>
    <dgm:cxn modelId="{1357F7F9-0048-42D9-AF2E-02E052685558}" type="presOf" srcId="{80184D92-4A1B-488F-9628-A6654ED9FE35}" destId="{18419EC5-A33D-4CE9-BA16-A50EA40DF010}" srcOrd="0"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D349CEE0-EF5B-4D10-8CB5-4B1B950E2617}" type="presOf" srcId="{9CDB8ECB-D897-4485-9F41-3FBFB330690B}" destId="{F896771B-FF9C-4C97-8FBF-6A7DD770FCD9}" srcOrd="0" destOrd="0" presId="urn:microsoft.com/office/officeart/2005/8/layout/orgChart1"/>
    <dgm:cxn modelId="{2CEDE6DF-478A-42B7-9557-467DA558AF0D}" type="presOf" srcId="{D39DC9A8-45B7-4264-AB10-1F9448B87827}" destId="{086FDFA9-E840-4A3E-9C11-545DCE2AD800}" srcOrd="0" destOrd="0" presId="urn:microsoft.com/office/officeart/2005/8/layout/orgChart1"/>
    <dgm:cxn modelId="{5912623B-B7FF-4066-9B82-F9746C536858}" type="presOf" srcId="{B786A9AC-1EF8-4F75-A491-45F0FA95C545}" destId="{DBBDA99B-26A8-4ABF-91A1-04A0BA7E1DB0}" srcOrd="1"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7C88E618-91E2-47C2-AB12-1C7C5226C028}" type="presOf" srcId="{B786A9AC-1EF8-4F75-A491-45F0FA95C545}" destId="{5263950B-1FAA-48EC-9687-E8F0A94FC84D}" srcOrd="0" destOrd="0" presId="urn:microsoft.com/office/officeart/2005/8/layout/orgChart1"/>
    <dgm:cxn modelId="{544069CC-F759-4E6C-B131-94170973EA9A}" type="presOf" srcId="{591FBA55-9D52-41F0-BAFE-636FC18A3485}" destId="{368B9A70-A245-4B0D-B0D8-9296A94FDD07}" srcOrd="0" destOrd="0" presId="urn:microsoft.com/office/officeart/2005/8/layout/orgChart1"/>
    <dgm:cxn modelId="{2E6B0035-3EB4-4328-AF4D-6D0E0206FFBF}" type="presOf" srcId="{B018844E-752B-4441-AC07-DAF0C9BA32B1}" destId="{BB391A64-05B3-4E00-8FEC-EE46071AFADF}" srcOrd="1" destOrd="0" presId="urn:microsoft.com/office/officeart/2005/8/layout/orgChart1"/>
    <dgm:cxn modelId="{B250A8A5-8EA0-4CE5-8659-AED9D0194633}" srcId="{8FA247B7-3D65-41FF-BD64-C12EB9CC0410}" destId="{B786A9AC-1EF8-4F75-A491-45F0FA95C545}" srcOrd="0" destOrd="0" parTransId="{DB835837-0AC3-4EA0-BA19-187FDF8B4F67}" sibTransId="{54391398-C69F-4BB8-ACAC-470F5FDDBB4A}"/>
    <dgm:cxn modelId="{831F1BEF-2531-4670-8310-34F72196114B}" type="presParOf" srcId="{3B050AF4-7000-4928-8FCB-DB6B23C9215C}" destId="{6B210A8F-4A56-48DA-BED9-9A60D5EB5D45}" srcOrd="0" destOrd="0" presId="urn:microsoft.com/office/officeart/2005/8/layout/orgChart1"/>
    <dgm:cxn modelId="{62727B93-8A93-4E45-9A02-2A3161C1774F}" type="presParOf" srcId="{6B210A8F-4A56-48DA-BED9-9A60D5EB5D45}" destId="{2AB5E838-6BB7-4F5A-A759-32CE484E639A}" srcOrd="0" destOrd="0" presId="urn:microsoft.com/office/officeart/2005/8/layout/orgChart1"/>
    <dgm:cxn modelId="{B79E5356-ECA5-4A1C-BF60-D539B8642D77}" type="presParOf" srcId="{2AB5E838-6BB7-4F5A-A759-32CE484E639A}" destId="{5263950B-1FAA-48EC-9687-E8F0A94FC84D}" srcOrd="0" destOrd="0" presId="urn:microsoft.com/office/officeart/2005/8/layout/orgChart1"/>
    <dgm:cxn modelId="{978484B8-0215-40D0-9D5D-FA4F14D08F24}" type="presParOf" srcId="{2AB5E838-6BB7-4F5A-A759-32CE484E639A}" destId="{DBBDA99B-26A8-4ABF-91A1-04A0BA7E1DB0}" srcOrd="1" destOrd="0" presId="urn:microsoft.com/office/officeart/2005/8/layout/orgChart1"/>
    <dgm:cxn modelId="{64531EE4-8965-48BD-8BF0-3E042522B9A2}" type="presParOf" srcId="{6B210A8F-4A56-48DA-BED9-9A60D5EB5D45}" destId="{99B848BC-FEDB-474B-A787-518C6236C3BA}" srcOrd="1" destOrd="0" presId="urn:microsoft.com/office/officeart/2005/8/layout/orgChart1"/>
    <dgm:cxn modelId="{17BB27E1-38E9-47B4-9D29-1216DCA76A5D}" type="presParOf" srcId="{99B848BC-FEDB-474B-A787-518C6236C3BA}" destId="{C14E2368-DDB3-435E-8A3E-1D4AB46571B6}" srcOrd="0" destOrd="0" presId="urn:microsoft.com/office/officeart/2005/8/layout/orgChart1"/>
    <dgm:cxn modelId="{2FCD53B6-141A-488D-9EBD-568279968BDF}" type="presParOf" srcId="{99B848BC-FEDB-474B-A787-518C6236C3BA}" destId="{9C953FDF-D99D-4A25-AE23-DAD9964A8935}" srcOrd="1" destOrd="0" presId="urn:microsoft.com/office/officeart/2005/8/layout/orgChart1"/>
    <dgm:cxn modelId="{CC4E4575-E41F-4DD5-9CF4-1E3EA3FC6FB3}" type="presParOf" srcId="{9C953FDF-D99D-4A25-AE23-DAD9964A8935}" destId="{3CB1F7E2-6A3F-4466-9E9B-0B4EA7719065}" srcOrd="0" destOrd="0" presId="urn:microsoft.com/office/officeart/2005/8/layout/orgChart1"/>
    <dgm:cxn modelId="{AD60DF8C-9901-4E0E-9D38-9D211DCD0EEA}" type="presParOf" srcId="{3CB1F7E2-6A3F-4466-9E9B-0B4EA7719065}" destId="{18419EC5-A33D-4CE9-BA16-A50EA40DF010}" srcOrd="0" destOrd="0" presId="urn:microsoft.com/office/officeart/2005/8/layout/orgChart1"/>
    <dgm:cxn modelId="{F8401E2A-4237-4107-8911-84097C2B36D0}" type="presParOf" srcId="{3CB1F7E2-6A3F-4466-9E9B-0B4EA7719065}" destId="{FF4FE4F0-1CF9-4A84-AC37-C286094F1737}" srcOrd="1" destOrd="0" presId="urn:microsoft.com/office/officeart/2005/8/layout/orgChart1"/>
    <dgm:cxn modelId="{9AF5E91A-CDA3-4B0D-B353-AEB6623FA606}" type="presParOf" srcId="{9C953FDF-D99D-4A25-AE23-DAD9964A8935}" destId="{71B99A6D-74D3-455E-817D-EE3883B893CC}" srcOrd="1" destOrd="0" presId="urn:microsoft.com/office/officeart/2005/8/layout/orgChart1"/>
    <dgm:cxn modelId="{D7D05F62-8BCA-4F2D-92BE-3E3EBC21B7E3}" type="presParOf" srcId="{9C953FDF-D99D-4A25-AE23-DAD9964A8935}" destId="{48762CF1-8C53-4533-9E8A-2C3972AAE7CF}" srcOrd="2" destOrd="0" presId="urn:microsoft.com/office/officeart/2005/8/layout/orgChart1"/>
    <dgm:cxn modelId="{AA0F8DD1-49BC-46B6-AB17-D3032DF531C7}" type="presParOf" srcId="{99B848BC-FEDB-474B-A787-518C6236C3BA}" destId="{F896771B-FF9C-4C97-8FBF-6A7DD770FCD9}" srcOrd="2" destOrd="0" presId="urn:microsoft.com/office/officeart/2005/8/layout/orgChart1"/>
    <dgm:cxn modelId="{0D0C88E6-6B76-442A-AA02-849A99E6957B}" type="presParOf" srcId="{99B848BC-FEDB-474B-A787-518C6236C3BA}" destId="{65FD4345-A1A2-4A68-94C0-37A865D75FB4}" srcOrd="3" destOrd="0" presId="urn:microsoft.com/office/officeart/2005/8/layout/orgChart1"/>
    <dgm:cxn modelId="{B727F7FB-290C-4E4E-8726-DF60B4F3B509}" type="presParOf" srcId="{65FD4345-A1A2-4A68-94C0-37A865D75FB4}" destId="{AC59A6D5-7EF5-480B-8B11-1277A3F62A08}" srcOrd="0" destOrd="0" presId="urn:microsoft.com/office/officeart/2005/8/layout/orgChart1"/>
    <dgm:cxn modelId="{CAA4A818-CAAE-4B71-9C2A-CC01438C6278}" type="presParOf" srcId="{AC59A6D5-7EF5-480B-8B11-1277A3F62A08}" destId="{086FDFA9-E840-4A3E-9C11-545DCE2AD800}" srcOrd="0" destOrd="0" presId="urn:microsoft.com/office/officeart/2005/8/layout/orgChart1"/>
    <dgm:cxn modelId="{2818964C-5C50-4FEF-A7B5-EDA8026C9F8B}" type="presParOf" srcId="{AC59A6D5-7EF5-480B-8B11-1277A3F62A08}" destId="{DF8D1526-46CC-4706-91C4-58365108D793}" srcOrd="1" destOrd="0" presId="urn:microsoft.com/office/officeart/2005/8/layout/orgChart1"/>
    <dgm:cxn modelId="{A6832C2F-1EAD-494E-890A-700FE4A57131}" type="presParOf" srcId="{65FD4345-A1A2-4A68-94C0-37A865D75FB4}" destId="{3861A097-804C-4555-9D2B-E21F479DE0FA}" srcOrd="1" destOrd="0" presId="urn:microsoft.com/office/officeart/2005/8/layout/orgChart1"/>
    <dgm:cxn modelId="{D9D54F12-CBF0-4A04-897C-5C77DD504EAC}" type="presParOf" srcId="{65FD4345-A1A2-4A68-94C0-37A865D75FB4}" destId="{FCBB887A-CE33-4828-B20E-1BC1C43E83CE}" srcOrd="2" destOrd="0" presId="urn:microsoft.com/office/officeart/2005/8/layout/orgChart1"/>
    <dgm:cxn modelId="{71CB0C8E-5840-42C1-B7A9-381AD01E8D58}" type="presParOf" srcId="{6B210A8F-4A56-48DA-BED9-9A60D5EB5D45}" destId="{7804BBDF-F592-404B-8B67-A2A12EB2763D}" srcOrd="2" destOrd="0" presId="urn:microsoft.com/office/officeart/2005/8/layout/orgChart1"/>
    <dgm:cxn modelId="{21037B6E-9151-4EBF-BAA2-E1EB469A5543}" type="presParOf" srcId="{7804BBDF-F592-404B-8B67-A2A12EB2763D}" destId="{368B9A70-A245-4B0D-B0D8-9296A94FDD07}" srcOrd="0" destOrd="0" presId="urn:microsoft.com/office/officeart/2005/8/layout/orgChart1"/>
    <dgm:cxn modelId="{31CAD7CD-AB81-4349-A0B6-5F859513D4A5}" type="presParOf" srcId="{7804BBDF-F592-404B-8B67-A2A12EB2763D}" destId="{BED6F904-0D90-48C9-8386-628E9825F3A8}" srcOrd="1" destOrd="0" presId="urn:microsoft.com/office/officeart/2005/8/layout/orgChart1"/>
    <dgm:cxn modelId="{22CFDB83-7F32-4A27-89D5-F605FE636570}" type="presParOf" srcId="{BED6F904-0D90-48C9-8386-628E9825F3A8}" destId="{CB357CFA-DFAC-436A-B83B-8A9398BACD62}" srcOrd="0" destOrd="0" presId="urn:microsoft.com/office/officeart/2005/8/layout/orgChart1"/>
    <dgm:cxn modelId="{2E45B451-F5B2-40B4-9833-3824E6AF23DB}" type="presParOf" srcId="{CB357CFA-DFAC-436A-B83B-8A9398BACD62}" destId="{0B3D25FC-6847-43A1-9E3B-4D3EFF3BBC61}" srcOrd="0" destOrd="0" presId="urn:microsoft.com/office/officeart/2005/8/layout/orgChart1"/>
    <dgm:cxn modelId="{98661519-8550-410F-B98D-B030D728C436}" type="presParOf" srcId="{CB357CFA-DFAC-436A-B83B-8A9398BACD62}" destId="{BB391A64-05B3-4E00-8FEC-EE46071AFADF}" srcOrd="1" destOrd="0" presId="urn:microsoft.com/office/officeart/2005/8/layout/orgChart1"/>
    <dgm:cxn modelId="{DC230CC9-3C44-49B5-94BD-175FC8572815}" type="presParOf" srcId="{BED6F904-0D90-48C9-8386-628E9825F3A8}" destId="{08C75C97-713E-4785-BDFD-44A8F7E50DD5}" srcOrd="1" destOrd="0" presId="urn:microsoft.com/office/officeart/2005/8/layout/orgChart1"/>
    <dgm:cxn modelId="{F2C98841-7941-4D80-81C6-B446C8E3B21D}"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26"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B7E80D7A-1591-413A-881D-5F36151D540E}" type="doc">
      <dgm:prSet loTypeId="urn:microsoft.com/office/officeart/2005/8/layout/hProcess4" loCatId="process" qsTypeId="urn:microsoft.com/office/officeart/2005/8/quickstyle/3d3" qsCatId="3D" csTypeId="urn:microsoft.com/office/officeart/2005/8/colors/accent1_2#15" csCatId="accent1" phldr="1"/>
      <dgm:spPr/>
      <dgm:t>
        <a:bodyPr/>
        <a:lstStyle/>
        <a:p>
          <a:endParaRPr lang="sk-SK"/>
        </a:p>
      </dgm:t>
    </dgm:pt>
    <dgm:pt modelId="{A9267023-4448-4D04-9845-C74034B30452}">
      <dgm:prSet phldrT="[Text]"/>
      <dgm:spPr/>
      <dgm:t>
        <a:bodyPr/>
        <a:lstStyle/>
        <a:p>
          <a:r>
            <a:rPr lang="sk-SK">
              <a:latin typeface="Times New Roman" panose="02020603050405020304" pitchFamily="18" charset="0"/>
              <a:cs typeface="Times New Roman" panose="02020603050405020304" pitchFamily="18" charset="0"/>
            </a:rPr>
            <a:t>Výzva na predkladanie ŽoNFP</a:t>
          </a:r>
        </a:p>
      </dgm:t>
    </dgm:pt>
    <dgm:pt modelId="{83AF7659-5630-498F-B463-0B1528F8B002}" type="parTrans" cxnId="{66A6D228-9FA6-409E-BC10-EC2C426A3209}">
      <dgm:prSet/>
      <dgm:spPr/>
      <dgm:t>
        <a:bodyPr/>
        <a:lstStyle/>
        <a:p>
          <a:endParaRPr lang="sk-SK"/>
        </a:p>
      </dgm:t>
    </dgm:pt>
    <dgm:pt modelId="{56D4AA13-BB38-4CA4-BD48-3C88F81A0389}" type="sibTrans" cxnId="{66A6D228-9FA6-409E-BC10-EC2C426A3209}">
      <dgm:prSet/>
      <dgm:spPr/>
      <dgm:t>
        <a:bodyPr/>
        <a:lstStyle/>
        <a:p>
          <a:endParaRPr lang="sk-SK"/>
        </a:p>
      </dgm:t>
    </dgm:pt>
    <dgm:pt modelId="{BE13D364-71A6-498F-89BF-7C2D86A81DB2}">
      <dgm:prSet phldrT="[Text]"/>
      <dgm:spPr/>
      <dgm:t>
        <a:bodyPr/>
        <a:lstStyle/>
        <a:p>
          <a:r>
            <a:rPr lang="sk-SK">
              <a:latin typeface="Times New Roman" panose="02020603050405020304" pitchFamily="18" charset="0"/>
              <a:cs typeface="Times New Roman" panose="02020603050405020304" pitchFamily="18" charset="0"/>
            </a:rPr>
            <a:t>Zadefinovanie hodnotiacej správy ako podmienky poskytnutia príspevku</a:t>
          </a:r>
        </a:p>
      </dgm:t>
    </dgm:pt>
    <dgm:pt modelId="{939FC086-8B14-4B5F-A732-744C37CD590A}" type="parTrans" cxnId="{CDC0F83A-B5D8-4C4E-A7DA-EC7C620CD302}">
      <dgm:prSet/>
      <dgm:spPr/>
      <dgm:t>
        <a:bodyPr/>
        <a:lstStyle/>
        <a:p>
          <a:endParaRPr lang="sk-SK"/>
        </a:p>
      </dgm:t>
    </dgm:pt>
    <dgm:pt modelId="{84716248-799E-4F9E-A465-4273FA5C4DE3}" type="sibTrans" cxnId="{CDC0F83A-B5D8-4C4E-A7DA-EC7C620CD302}">
      <dgm:prSet/>
      <dgm:spPr/>
      <dgm:t>
        <a:bodyPr/>
        <a:lstStyle/>
        <a:p>
          <a:endParaRPr lang="sk-SK"/>
        </a:p>
      </dgm:t>
    </dgm:pt>
    <dgm:pt modelId="{246260E9-3809-4A0C-8A45-26049BEE44F7}">
      <dgm:prSet phldrT="[Text]"/>
      <dgm:spPr/>
      <dgm:t>
        <a:bodyPr/>
        <a:lstStyle/>
        <a:p>
          <a:r>
            <a:rPr lang="sk-SK">
              <a:latin typeface="Times New Roman" panose="02020603050405020304" pitchFamily="18" charset="0"/>
              <a:cs typeface="Times New Roman" panose="02020603050405020304" pitchFamily="18" charset="0"/>
            </a:rPr>
            <a:t>Hodnotiaca správa je povinnou prílohou ŽoNFP</a:t>
          </a:r>
        </a:p>
      </dgm:t>
    </dgm:pt>
    <dgm:pt modelId="{9D47B0E4-28D4-43DB-8C32-72F02B481156}" type="parTrans" cxnId="{73A1E6FC-CEE1-4CF1-B9FF-DFEB5B33FA94}">
      <dgm:prSet/>
      <dgm:spPr/>
      <dgm:t>
        <a:bodyPr/>
        <a:lstStyle/>
        <a:p>
          <a:endParaRPr lang="sk-SK"/>
        </a:p>
      </dgm:t>
    </dgm:pt>
    <dgm:pt modelId="{BE607FC2-8DDA-4B8B-9492-7C40A3A8FF5A}" type="sibTrans" cxnId="{73A1E6FC-CEE1-4CF1-B9FF-DFEB5B33FA94}">
      <dgm:prSet/>
      <dgm:spPr/>
      <dgm:t>
        <a:bodyPr/>
        <a:lstStyle/>
        <a:p>
          <a:endParaRPr lang="sk-SK"/>
        </a:p>
      </dgm:t>
    </dgm:pt>
    <dgm:pt modelId="{A019508F-6B5A-4482-A6F8-45EE65C398C7}">
      <dgm:prSet phldrT="[Text]"/>
      <dgm:spPr/>
      <dgm:t>
        <a:bodyPr/>
        <a:lstStyle/>
        <a:p>
          <a:r>
            <a:rPr lang="sk-SK">
              <a:latin typeface="Times New Roman" panose="02020603050405020304" pitchFamily="18" charset="0"/>
              <a:cs typeface="Times New Roman" panose="02020603050405020304" pitchFamily="18" charset="0"/>
            </a:rPr>
            <a:t>Schvaľovací proces ŽoNFP</a:t>
          </a:r>
        </a:p>
      </dgm:t>
    </dgm:pt>
    <dgm:pt modelId="{75941A32-FE02-4C2E-AE9D-FE54BC6AFBA7}" type="parTrans" cxnId="{6ECA07C9-4C0B-4A7C-96E6-EA26627326CE}">
      <dgm:prSet/>
      <dgm:spPr/>
      <dgm:t>
        <a:bodyPr/>
        <a:lstStyle/>
        <a:p>
          <a:endParaRPr lang="sk-SK"/>
        </a:p>
      </dgm:t>
    </dgm:pt>
    <dgm:pt modelId="{91A89FCA-2058-422E-9173-1F042CEA7F7C}" type="sibTrans" cxnId="{6ECA07C9-4C0B-4A7C-96E6-EA26627326CE}">
      <dgm:prSet/>
      <dgm:spPr/>
      <dgm:t>
        <a:bodyPr/>
        <a:lstStyle/>
        <a:p>
          <a:endParaRPr lang="sk-SK"/>
        </a:p>
      </dgm:t>
    </dgm:pt>
    <dgm:pt modelId="{747D0E38-2E5E-49A1-BEE7-970CA6326ADB}">
      <dgm:prSet phldrT="[Text]"/>
      <dgm:spPr/>
      <dgm:t>
        <a:bodyPr/>
        <a:lstStyle/>
        <a:p>
          <a:r>
            <a:rPr lang="sk-SK">
              <a:latin typeface="Times New Roman" panose="02020603050405020304" pitchFamily="18" charset="0"/>
              <a:cs typeface="Times New Roman" panose="02020603050405020304" pitchFamily="18" charset="0"/>
            </a:rPr>
            <a:t>Overenie splnenia podmienky poskytnutia príspevku - predloženie hodnotiacej správy</a:t>
          </a:r>
        </a:p>
      </dgm:t>
    </dgm:pt>
    <dgm:pt modelId="{38FA1AA5-E7B4-41BD-8ED2-2616D4E5DCDC}" type="parTrans" cxnId="{90BA46E2-9335-4B14-83E2-4D1817E168A2}">
      <dgm:prSet/>
      <dgm:spPr/>
      <dgm:t>
        <a:bodyPr/>
        <a:lstStyle/>
        <a:p>
          <a:endParaRPr lang="sk-SK"/>
        </a:p>
      </dgm:t>
    </dgm:pt>
    <dgm:pt modelId="{A72ABBF8-9F43-4739-8E28-AB24C4138BBE}" type="sibTrans" cxnId="{90BA46E2-9335-4B14-83E2-4D1817E168A2}">
      <dgm:prSet/>
      <dgm:spPr/>
      <dgm:t>
        <a:bodyPr/>
        <a:lstStyle/>
        <a:p>
          <a:endParaRPr lang="sk-SK"/>
        </a:p>
      </dgm:t>
    </dgm:pt>
    <dgm:pt modelId="{99351114-DF64-423E-B3B4-B32447B083A7}">
      <dgm:prSet phldrT="[Text]"/>
      <dgm:spPr/>
      <dgm:t>
        <a:bodyPr/>
        <a:lstStyle/>
        <a:p>
          <a:r>
            <a:rPr lang="sk-SK">
              <a:latin typeface="Times New Roman" panose="02020603050405020304" pitchFamily="18" charset="0"/>
              <a:cs typeface="Times New Roman" panose="02020603050405020304" pitchFamily="18" charset="0"/>
            </a:rPr>
            <a:t>Ak bola hodnotiaca správa predložená, overenie ostatných podmienok poskytnutia príspevku</a:t>
          </a:r>
        </a:p>
      </dgm:t>
    </dgm:pt>
    <dgm:pt modelId="{3BE31B17-03F1-4CE3-9FA5-05CF11E59196}" type="parTrans" cxnId="{33F29DF1-A8D6-4D92-939F-7BA8ED38D0A8}">
      <dgm:prSet/>
      <dgm:spPr/>
      <dgm:t>
        <a:bodyPr/>
        <a:lstStyle/>
        <a:p>
          <a:endParaRPr lang="sk-SK"/>
        </a:p>
      </dgm:t>
    </dgm:pt>
    <dgm:pt modelId="{515E723B-32DA-4138-A966-5CCF99002632}" type="sibTrans" cxnId="{33F29DF1-A8D6-4D92-939F-7BA8ED38D0A8}">
      <dgm:prSet/>
      <dgm:spPr/>
      <dgm:t>
        <a:bodyPr/>
        <a:lstStyle/>
        <a:p>
          <a:endParaRPr lang="sk-SK"/>
        </a:p>
      </dgm:t>
    </dgm:pt>
    <dgm:pt modelId="{48A8D62A-1716-4EE0-93FA-34A94BDFDB43}">
      <dgm:prSet phldrT="[Text]"/>
      <dgm:spPr/>
      <dgm:t>
        <a:bodyPr/>
        <a:lstStyle/>
        <a:p>
          <a:r>
            <a:rPr lang="sk-SK">
              <a:latin typeface="Times New Roman" panose="02020603050405020304" pitchFamily="18" charset="0"/>
              <a:cs typeface="Times New Roman" panose="02020603050405020304" pitchFamily="18" charset="0"/>
            </a:rPr>
            <a:t>Výber ŽoNFP</a:t>
          </a:r>
        </a:p>
      </dgm:t>
    </dgm:pt>
    <dgm:pt modelId="{B3DF6529-C532-49D5-A571-02E0589D9702}" type="parTrans" cxnId="{A9F6EBA3-2F36-4048-AE7C-97DB9701DF60}">
      <dgm:prSet/>
      <dgm:spPr/>
      <dgm:t>
        <a:bodyPr/>
        <a:lstStyle/>
        <a:p>
          <a:endParaRPr lang="sk-SK"/>
        </a:p>
      </dgm:t>
    </dgm:pt>
    <dgm:pt modelId="{B52310EF-6C57-4248-A7B8-A8031724B72E}" type="sibTrans" cxnId="{A9F6EBA3-2F36-4048-AE7C-97DB9701DF60}">
      <dgm:prSet/>
      <dgm:spPr/>
      <dgm:t>
        <a:bodyPr/>
        <a:lstStyle/>
        <a:p>
          <a:endParaRPr lang="sk-SK"/>
        </a:p>
      </dgm:t>
    </dgm:pt>
    <dgm:pt modelId="{246F0687-9B6B-4784-9314-0DAA6CAB5F5E}">
      <dgm:prSet phldrT="[Text]"/>
      <dgm:spPr/>
      <dgm:t>
        <a:bodyPr/>
        <a:lstStyle/>
        <a:p>
          <a:r>
            <a:rPr lang="sk-SK">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gm:t>
    </dgm:pt>
    <dgm:pt modelId="{E7939DC9-C684-4DC9-AF3B-9AF6751AA266}" type="parTrans" cxnId="{239EA548-EDCF-4E7E-BF8B-917BA36EFCD2}">
      <dgm:prSet/>
      <dgm:spPr/>
      <dgm:t>
        <a:bodyPr/>
        <a:lstStyle/>
        <a:p>
          <a:endParaRPr lang="sk-SK"/>
        </a:p>
      </dgm:t>
    </dgm:pt>
    <dgm:pt modelId="{E97F3E77-570D-4B0D-BC63-045455B9DA3E}" type="sibTrans" cxnId="{239EA548-EDCF-4E7E-BF8B-917BA36EFCD2}">
      <dgm:prSet/>
      <dgm:spPr/>
      <dgm:t>
        <a:bodyPr/>
        <a:lstStyle/>
        <a:p>
          <a:endParaRPr lang="sk-SK"/>
        </a:p>
      </dgm:t>
    </dgm:pt>
    <dgm:pt modelId="{6EA5AE73-47BE-4655-BA76-DAE6A5B4B6FB}" type="pres">
      <dgm:prSet presAssocID="{B7E80D7A-1591-413A-881D-5F36151D540E}" presName="Name0" presStyleCnt="0">
        <dgm:presLayoutVars>
          <dgm:dir/>
          <dgm:animLvl val="lvl"/>
          <dgm:resizeHandles val="exact"/>
        </dgm:presLayoutVars>
      </dgm:prSet>
      <dgm:spPr/>
      <dgm:t>
        <a:bodyPr/>
        <a:lstStyle/>
        <a:p>
          <a:endParaRPr lang="sk-SK"/>
        </a:p>
      </dgm:t>
    </dgm:pt>
    <dgm:pt modelId="{09E0EA9B-3DC8-44A4-BD55-D6A18B2AECB4}" type="pres">
      <dgm:prSet presAssocID="{B7E80D7A-1591-413A-881D-5F36151D540E}" presName="tSp" presStyleCnt="0"/>
      <dgm:spPr/>
    </dgm:pt>
    <dgm:pt modelId="{33ECAE12-249F-440C-A288-DE3876352805}" type="pres">
      <dgm:prSet presAssocID="{B7E80D7A-1591-413A-881D-5F36151D540E}" presName="bSp" presStyleCnt="0"/>
      <dgm:spPr/>
    </dgm:pt>
    <dgm:pt modelId="{5AA2EB03-7A3E-46AF-82AA-141A8B277CA3}" type="pres">
      <dgm:prSet presAssocID="{B7E80D7A-1591-413A-881D-5F36151D540E}" presName="process" presStyleCnt="0"/>
      <dgm:spPr/>
    </dgm:pt>
    <dgm:pt modelId="{5E999198-FFBA-442A-ACD2-994C316E2F4C}" type="pres">
      <dgm:prSet presAssocID="{A9267023-4448-4D04-9845-C74034B30452}" presName="composite1" presStyleCnt="0"/>
      <dgm:spPr/>
    </dgm:pt>
    <dgm:pt modelId="{8799942B-3C45-4C46-8E6A-F7494CE31801}" type="pres">
      <dgm:prSet presAssocID="{A9267023-4448-4D04-9845-C74034B30452}" presName="dummyNode1" presStyleLbl="node1" presStyleIdx="0" presStyleCnt="3"/>
      <dgm:spPr/>
    </dgm:pt>
    <dgm:pt modelId="{0D60A071-F9FB-479F-8D3A-018FE8F73DD0}" type="pres">
      <dgm:prSet presAssocID="{A9267023-4448-4D04-9845-C74034B30452}" presName="childNode1" presStyleLbl="bgAcc1" presStyleIdx="0" presStyleCnt="3">
        <dgm:presLayoutVars>
          <dgm:bulletEnabled val="1"/>
        </dgm:presLayoutVars>
      </dgm:prSet>
      <dgm:spPr/>
      <dgm:t>
        <a:bodyPr/>
        <a:lstStyle/>
        <a:p>
          <a:endParaRPr lang="sk-SK"/>
        </a:p>
      </dgm:t>
    </dgm:pt>
    <dgm:pt modelId="{9866CC4A-270E-4CF3-92DA-BEB9318C3441}" type="pres">
      <dgm:prSet presAssocID="{A9267023-4448-4D04-9845-C74034B30452}" presName="childNode1tx" presStyleLbl="bgAcc1" presStyleIdx="0" presStyleCnt="3">
        <dgm:presLayoutVars>
          <dgm:bulletEnabled val="1"/>
        </dgm:presLayoutVars>
      </dgm:prSet>
      <dgm:spPr/>
      <dgm:t>
        <a:bodyPr/>
        <a:lstStyle/>
        <a:p>
          <a:endParaRPr lang="sk-SK"/>
        </a:p>
      </dgm:t>
    </dgm:pt>
    <dgm:pt modelId="{B2279E00-E479-4F75-B4BE-F5B3B50F31CB}" type="pres">
      <dgm:prSet presAssocID="{A9267023-4448-4D04-9845-C74034B30452}" presName="parentNode1" presStyleLbl="node1" presStyleIdx="0" presStyleCnt="3">
        <dgm:presLayoutVars>
          <dgm:chMax val="1"/>
          <dgm:bulletEnabled val="1"/>
        </dgm:presLayoutVars>
      </dgm:prSet>
      <dgm:spPr/>
      <dgm:t>
        <a:bodyPr/>
        <a:lstStyle/>
        <a:p>
          <a:endParaRPr lang="sk-SK"/>
        </a:p>
      </dgm:t>
    </dgm:pt>
    <dgm:pt modelId="{FE33A998-CB3C-47D5-ADAB-D4267B63CD93}" type="pres">
      <dgm:prSet presAssocID="{A9267023-4448-4D04-9845-C74034B30452}" presName="connSite1" presStyleCnt="0"/>
      <dgm:spPr/>
    </dgm:pt>
    <dgm:pt modelId="{9A844434-C5FA-4930-BFCF-B6956CA8E855}" type="pres">
      <dgm:prSet presAssocID="{56D4AA13-BB38-4CA4-BD48-3C88F81A0389}" presName="Name9" presStyleLbl="sibTrans2D1" presStyleIdx="0" presStyleCnt="2"/>
      <dgm:spPr/>
      <dgm:t>
        <a:bodyPr/>
        <a:lstStyle/>
        <a:p>
          <a:endParaRPr lang="sk-SK"/>
        </a:p>
      </dgm:t>
    </dgm:pt>
    <dgm:pt modelId="{204A49F3-3082-4C37-89A4-CC0CED3CC65F}" type="pres">
      <dgm:prSet presAssocID="{A019508F-6B5A-4482-A6F8-45EE65C398C7}" presName="composite2" presStyleCnt="0"/>
      <dgm:spPr/>
    </dgm:pt>
    <dgm:pt modelId="{05BEC95C-83D3-4839-BDA6-B22CC0E0AC59}" type="pres">
      <dgm:prSet presAssocID="{A019508F-6B5A-4482-A6F8-45EE65C398C7}" presName="dummyNode2" presStyleLbl="node1" presStyleIdx="0" presStyleCnt="3"/>
      <dgm:spPr/>
    </dgm:pt>
    <dgm:pt modelId="{CAF6C244-1C89-4C05-9003-3A170AF5159B}" type="pres">
      <dgm:prSet presAssocID="{A019508F-6B5A-4482-A6F8-45EE65C398C7}" presName="childNode2" presStyleLbl="bgAcc1" presStyleIdx="1" presStyleCnt="3">
        <dgm:presLayoutVars>
          <dgm:bulletEnabled val="1"/>
        </dgm:presLayoutVars>
      </dgm:prSet>
      <dgm:spPr/>
      <dgm:t>
        <a:bodyPr/>
        <a:lstStyle/>
        <a:p>
          <a:endParaRPr lang="sk-SK"/>
        </a:p>
      </dgm:t>
    </dgm:pt>
    <dgm:pt modelId="{1BEEA6CD-A2CD-4D96-AE23-DFF4E9416FDB}" type="pres">
      <dgm:prSet presAssocID="{A019508F-6B5A-4482-A6F8-45EE65C398C7}" presName="childNode2tx" presStyleLbl="bgAcc1" presStyleIdx="1" presStyleCnt="3">
        <dgm:presLayoutVars>
          <dgm:bulletEnabled val="1"/>
        </dgm:presLayoutVars>
      </dgm:prSet>
      <dgm:spPr/>
      <dgm:t>
        <a:bodyPr/>
        <a:lstStyle/>
        <a:p>
          <a:endParaRPr lang="sk-SK"/>
        </a:p>
      </dgm:t>
    </dgm:pt>
    <dgm:pt modelId="{E3F98BF6-0C57-4CBE-939D-C7C7C157A75F}" type="pres">
      <dgm:prSet presAssocID="{A019508F-6B5A-4482-A6F8-45EE65C398C7}" presName="parentNode2" presStyleLbl="node1" presStyleIdx="1" presStyleCnt="3">
        <dgm:presLayoutVars>
          <dgm:chMax val="0"/>
          <dgm:bulletEnabled val="1"/>
        </dgm:presLayoutVars>
      </dgm:prSet>
      <dgm:spPr/>
      <dgm:t>
        <a:bodyPr/>
        <a:lstStyle/>
        <a:p>
          <a:endParaRPr lang="sk-SK"/>
        </a:p>
      </dgm:t>
    </dgm:pt>
    <dgm:pt modelId="{85967F31-A24D-419C-BAFF-1D96BACEB0E0}" type="pres">
      <dgm:prSet presAssocID="{A019508F-6B5A-4482-A6F8-45EE65C398C7}" presName="connSite2" presStyleCnt="0"/>
      <dgm:spPr/>
    </dgm:pt>
    <dgm:pt modelId="{C94C54F0-56F5-4C91-8600-9D16C8C83597}" type="pres">
      <dgm:prSet presAssocID="{91A89FCA-2058-422E-9173-1F042CEA7F7C}" presName="Name18" presStyleLbl="sibTrans2D1" presStyleIdx="1" presStyleCnt="2"/>
      <dgm:spPr/>
      <dgm:t>
        <a:bodyPr/>
        <a:lstStyle/>
        <a:p>
          <a:endParaRPr lang="sk-SK"/>
        </a:p>
      </dgm:t>
    </dgm:pt>
    <dgm:pt modelId="{57D9B517-6DF6-47B3-B3C6-5112B7D5FA16}" type="pres">
      <dgm:prSet presAssocID="{48A8D62A-1716-4EE0-93FA-34A94BDFDB43}" presName="composite1" presStyleCnt="0"/>
      <dgm:spPr/>
    </dgm:pt>
    <dgm:pt modelId="{4FCB384F-963F-47DD-9DE0-92B79B28A6E5}" type="pres">
      <dgm:prSet presAssocID="{48A8D62A-1716-4EE0-93FA-34A94BDFDB43}" presName="dummyNode1" presStyleLbl="node1" presStyleIdx="1" presStyleCnt="3"/>
      <dgm:spPr/>
    </dgm:pt>
    <dgm:pt modelId="{6BF82E71-57D0-4233-AF23-5BC21A55C210}" type="pres">
      <dgm:prSet presAssocID="{48A8D62A-1716-4EE0-93FA-34A94BDFDB43}" presName="childNode1" presStyleLbl="bgAcc1" presStyleIdx="2" presStyleCnt="3">
        <dgm:presLayoutVars>
          <dgm:bulletEnabled val="1"/>
        </dgm:presLayoutVars>
      </dgm:prSet>
      <dgm:spPr/>
      <dgm:t>
        <a:bodyPr/>
        <a:lstStyle/>
        <a:p>
          <a:endParaRPr lang="sk-SK"/>
        </a:p>
      </dgm:t>
    </dgm:pt>
    <dgm:pt modelId="{D02120B2-51A5-42B3-ADEB-B16E77530354}" type="pres">
      <dgm:prSet presAssocID="{48A8D62A-1716-4EE0-93FA-34A94BDFDB43}" presName="childNode1tx" presStyleLbl="bgAcc1" presStyleIdx="2" presStyleCnt="3">
        <dgm:presLayoutVars>
          <dgm:bulletEnabled val="1"/>
        </dgm:presLayoutVars>
      </dgm:prSet>
      <dgm:spPr/>
      <dgm:t>
        <a:bodyPr/>
        <a:lstStyle/>
        <a:p>
          <a:endParaRPr lang="sk-SK"/>
        </a:p>
      </dgm:t>
    </dgm:pt>
    <dgm:pt modelId="{732554E7-984A-4B38-9F9E-0B10773C0510}" type="pres">
      <dgm:prSet presAssocID="{48A8D62A-1716-4EE0-93FA-34A94BDFDB43}" presName="parentNode1" presStyleLbl="node1" presStyleIdx="2" presStyleCnt="3">
        <dgm:presLayoutVars>
          <dgm:chMax val="1"/>
          <dgm:bulletEnabled val="1"/>
        </dgm:presLayoutVars>
      </dgm:prSet>
      <dgm:spPr/>
      <dgm:t>
        <a:bodyPr/>
        <a:lstStyle/>
        <a:p>
          <a:endParaRPr lang="sk-SK"/>
        </a:p>
      </dgm:t>
    </dgm:pt>
    <dgm:pt modelId="{C88196D7-A34D-45E4-B518-B5782CA7D40D}" type="pres">
      <dgm:prSet presAssocID="{48A8D62A-1716-4EE0-93FA-34A94BDFDB43}" presName="connSite1" presStyleCnt="0"/>
      <dgm:spPr/>
    </dgm:pt>
  </dgm:ptLst>
  <dgm:cxnLst>
    <dgm:cxn modelId="{8E34FEC2-C79F-4D8A-AA65-8ADCD70F0311}" type="presOf" srcId="{48A8D62A-1716-4EE0-93FA-34A94BDFDB43}" destId="{732554E7-984A-4B38-9F9E-0B10773C0510}" srcOrd="0" destOrd="0" presId="urn:microsoft.com/office/officeart/2005/8/layout/hProcess4"/>
    <dgm:cxn modelId="{E940B396-2DA2-4A85-B5E9-79B40839DF0C}" type="presOf" srcId="{A019508F-6B5A-4482-A6F8-45EE65C398C7}" destId="{E3F98BF6-0C57-4CBE-939D-C7C7C157A75F}" srcOrd="0" destOrd="0" presId="urn:microsoft.com/office/officeart/2005/8/layout/hProcess4"/>
    <dgm:cxn modelId="{6B243367-498A-4406-AE47-B69160EB7ED2}" type="presOf" srcId="{246F0687-9B6B-4784-9314-0DAA6CAB5F5E}" destId="{D02120B2-51A5-42B3-ADEB-B16E77530354}" srcOrd="1" destOrd="0" presId="urn:microsoft.com/office/officeart/2005/8/layout/hProcess4"/>
    <dgm:cxn modelId="{90BA46E2-9335-4B14-83E2-4D1817E168A2}" srcId="{A019508F-6B5A-4482-A6F8-45EE65C398C7}" destId="{747D0E38-2E5E-49A1-BEE7-970CA6326ADB}" srcOrd="0" destOrd="0" parTransId="{38FA1AA5-E7B4-41BD-8ED2-2616D4E5DCDC}" sibTransId="{A72ABBF8-9F43-4739-8E28-AB24C4138BBE}"/>
    <dgm:cxn modelId="{C8C9846C-575A-4AC6-8046-13085E88E2A6}" type="presOf" srcId="{99351114-DF64-423E-B3B4-B32447B083A7}" destId="{1BEEA6CD-A2CD-4D96-AE23-DFF4E9416FDB}" srcOrd="1" destOrd="1" presId="urn:microsoft.com/office/officeart/2005/8/layout/hProcess4"/>
    <dgm:cxn modelId="{6D9A97C5-8119-44E3-9DDE-BAE9AB377569}" type="presOf" srcId="{246260E9-3809-4A0C-8A45-26049BEE44F7}" destId="{9866CC4A-270E-4CF3-92DA-BEB9318C3441}" srcOrd="1" destOrd="1" presId="urn:microsoft.com/office/officeart/2005/8/layout/hProcess4"/>
    <dgm:cxn modelId="{0F8BE493-AE0C-4066-AE1A-783B406CD4DC}" type="presOf" srcId="{56D4AA13-BB38-4CA4-BD48-3C88F81A0389}" destId="{9A844434-C5FA-4930-BFCF-B6956CA8E855}" srcOrd="0" destOrd="0" presId="urn:microsoft.com/office/officeart/2005/8/layout/hProcess4"/>
    <dgm:cxn modelId="{8F1FBCDA-6853-4F67-94BB-71CE083F0DAD}" type="presOf" srcId="{99351114-DF64-423E-B3B4-B32447B083A7}" destId="{CAF6C244-1C89-4C05-9003-3A170AF5159B}" srcOrd="0" destOrd="1" presId="urn:microsoft.com/office/officeart/2005/8/layout/hProcess4"/>
    <dgm:cxn modelId="{6B7D86E2-3664-46E4-BA45-6975466655D6}" type="presOf" srcId="{747D0E38-2E5E-49A1-BEE7-970CA6326ADB}" destId="{1BEEA6CD-A2CD-4D96-AE23-DFF4E9416FDB}" srcOrd="1" destOrd="0" presId="urn:microsoft.com/office/officeart/2005/8/layout/hProcess4"/>
    <dgm:cxn modelId="{239EA548-EDCF-4E7E-BF8B-917BA36EFCD2}" srcId="{48A8D62A-1716-4EE0-93FA-34A94BDFDB43}" destId="{246F0687-9B6B-4784-9314-0DAA6CAB5F5E}" srcOrd="0" destOrd="0" parTransId="{E7939DC9-C684-4DC9-AF3B-9AF6751AA266}" sibTransId="{E97F3E77-570D-4B0D-BC63-045455B9DA3E}"/>
    <dgm:cxn modelId="{CDC0F83A-B5D8-4C4E-A7DA-EC7C620CD302}" srcId="{A9267023-4448-4D04-9845-C74034B30452}" destId="{BE13D364-71A6-498F-89BF-7C2D86A81DB2}" srcOrd="0" destOrd="0" parTransId="{939FC086-8B14-4B5F-A732-744C37CD590A}" sibTransId="{84716248-799E-4F9E-A465-4273FA5C4DE3}"/>
    <dgm:cxn modelId="{66A6D228-9FA6-409E-BC10-EC2C426A3209}" srcId="{B7E80D7A-1591-413A-881D-5F36151D540E}" destId="{A9267023-4448-4D04-9845-C74034B30452}" srcOrd="0" destOrd="0" parTransId="{83AF7659-5630-498F-B463-0B1528F8B002}" sibTransId="{56D4AA13-BB38-4CA4-BD48-3C88F81A0389}"/>
    <dgm:cxn modelId="{9A2B5143-8185-4831-A0A8-5426DCB2B006}" type="presOf" srcId="{BE13D364-71A6-498F-89BF-7C2D86A81DB2}" destId="{9866CC4A-270E-4CF3-92DA-BEB9318C3441}" srcOrd="1" destOrd="0" presId="urn:microsoft.com/office/officeart/2005/8/layout/hProcess4"/>
    <dgm:cxn modelId="{103B236E-C9D2-4212-8CE9-940E784BF9ED}" type="presOf" srcId="{246F0687-9B6B-4784-9314-0DAA6CAB5F5E}" destId="{6BF82E71-57D0-4233-AF23-5BC21A55C210}" srcOrd="0" destOrd="0" presId="urn:microsoft.com/office/officeart/2005/8/layout/hProcess4"/>
    <dgm:cxn modelId="{98BB2C23-79E3-4DFF-B035-C4C6ACF4CA44}" type="presOf" srcId="{747D0E38-2E5E-49A1-BEE7-970CA6326ADB}" destId="{CAF6C244-1C89-4C05-9003-3A170AF5159B}" srcOrd="0" destOrd="0" presId="urn:microsoft.com/office/officeart/2005/8/layout/hProcess4"/>
    <dgm:cxn modelId="{33F29DF1-A8D6-4D92-939F-7BA8ED38D0A8}" srcId="{A019508F-6B5A-4482-A6F8-45EE65C398C7}" destId="{99351114-DF64-423E-B3B4-B32447B083A7}" srcOrd="1" destOrd="0" parTransId="{3BE31B17-03F1-4CE3-9FA5-05CF11E59196}" sibTransId="{515E723B-32DA-4138-A966-5CCF99002632}"/>
    <dgm:cxn modelId="{A9F6EBA3-2F36-4048-AE7C-97DB9701DF60}" srcId="{B7E80D7A-1591-413A-881D-5F36151D540E}" destId="{48A8D62A-1716-4EE0-93FA-34A94BDFDB43}" srcOrd="2" destOrd="0" parTransId="{B3DF6529-C532-49D5-A571-02E0589D9702}" sibTransId="{B52310EF-6C57-4248-A7B8-A8031724B72E}"/>
    <dgm:cxn modelId="{BCF06B83-9FDB-47CB-A57A-A3FA9593F346}" type="presOf" srcId="{246260E9-3809-4A0C-8A45-26049BEE44F7}" destId="{0D60A071-F9FB-479F-8D3A-018FE8F73DD0}" srcOrd="0" destOrd="1" presId="urn:microsoft.com/office/officeart/2005/8/layout/hProcess4"/>
    <dgm:cxn modelId="{6ECA07C9-4C0B-4A7C-96E6-EA26627326CE}" srcId="{B7E80D7A-1591-413A-881D-5F36151D540E}" destId="{A019508F-6B5A-4482-A6F8-45EE65C398C7}" srcOrd="1" destOrd="0" parTransId="{75941A32-FE02-4C2E-AE9D-FE54BC6AFBA7}" sibTransId="{91A89FCA-2058-422E-9173-1F042CEA7F7C}"/>
    <dgm:cxn modelId="{73A1E6FC-CEE1-4CF1-B9FF-DFEB5B33FA94}" srcId="{A9267023-4448-4D04-9845-C74034B30452}" destId="{246260E9-3809-4A0C-8A45-26049BEE44F7}" srcOrd="1" destOrd="0" parTransId="{9D47B0E4-28D4-43DB-8C32-72F02B481156}" sibTransId="{BE607FC2-8DDA-4B8B-9492-7C40A3A8FF5A}"/>
    <dgm:cxn modelId="{24B7FEE5-07B5-4B33-B244-4D23E2F4A546}" type="presOf" srcId="{BE13D364-71A6-498F-89BF-7C2D86A81DB2}" destId="{0D60A071-F9FB-479F-8D3A-018FE8F73DD0}" srcOrd="0" destOrd="0" presId="urn:microsoft.com/office/officeart/2005/8/layout/hProcess4"/>
    <dgm:cxn modelId="{E93E6A1D-D1C3-4CF5-95FA-CDF8AAF272AE}" type="presOf" srcId="{A9267023-4448-4D04-9845-C74034B30452}" destId="{B2279E00-E479-4F75-B4BE-F5B3B50F31CB}" srcOrd="0" destOrd="0" presId="urn:microsoft.com/office/officeart/2005/8/layout/hProcess4"/>
    <dgm:cxn modelId="{35035332-B74A-415B-AEB0-68DF79C74744}" type="presOf" srcId="{B7E80D7A-1591-413A-881D-5F36151D540E}" destId="{6EA5AE73-47BE-4655-BA76-DAE6A5B4B6FB}" srcOrd="0" destOrd="0" presId="urn:microsoft.com/office/officeart/2005/8/layout/hProcess4"/>
    <dgm:cxn modelId="{4FEABC24-47D0-48DF-89CA-939BE21E5017}" type="presOf" srcId="{91A89FCA-2058-422E-9173-1F042CEA7F7C}" destId="{C94C54F0-56F5-4C91-8600-9D16C8C83597}" srcOrd="0" destOrd="0" presId="urn:microsoft.com/office/officeart/2005/8/layout/hProcess4"/>
    <dgm:cxn modelId="{F64AB02F-C6CE-499E-9BC4-4177D9485776}" type="presParOf" srcId="{6EA5AE73-47BE-4655-BA76-DAE6A5B4B6FB}" destId="{09E0EA9B-3DC8-44A4-BD55-D6A18B2AECB4}" srcOrd="0" destOrd="0" presId="urn:microsoft.com/office/officeart/2005/8/layout/hProcess4"/>
    <dgm:cxn modelId="{543B075A-F9D5-4FA4-85B3-C064E05EDC7D}" type="presParOf" srcId="{6EA5AE73-47BE-4655-BA76-DAE6A5B4B6FB}" destId="{33ECAE12-249F-440C-A288-DE3876352805}" srcOrd="1" destOrd="0" presId="urn:microsoft.com/office/officeart/2005/8/layout/hProcess4"/>
    <dgm:cxn modelId="{6008123D-EB26-4E64-8C8B-1009007558FC}" type="presParOf" srcId="{6EA5AE73-47BE-4655-BA76-DAE6A5B4B6FB}" destId="{5AA2EB03-7A3E-46AF-82AA-141A8B277CA3}" srcOrd="2" destOrd="0" presId="urn:microsoft.com/office/officeart/2005/8/layout/hProcess4"/>
    <dgm:cxn modelId="{FD43412E-E19C-4701-AD91-96E864F3A4B4}" type="presParOf" srcId="{5AA2EB03-7A3E-46AF-82AA-141A8B277CA3}" destId="{5E999198-FFBA-442A-ACD2-994C316E2F4C}" srcOrd="0" destOrd="0" presId="urn:microsoft.com/office/officeart/2005/8/layout/hProcess4"/>
    <dgm:cxn modelId="{2E2F8920-48A3-4060-A44F-9A25FF2634C6}" type="presParOf" srcId="{5E999198-FFBA-442A-ACD2-994C316E2F4C}" destId="{8799942B-3C45-4C46-8E6A-F7494CE31801}" srcOrd="0" destOrd="0" presId="urn:microsoft.com/office/officeart/2005/8/layout/hProcess4"/>
    <dgm:cxn modelId="{09334942-B950-4831-A33F-D5D1B61CAAEE}" type="presParOf" srcId="{5E999198-FFBA-442A-ACD2-994C316E2F4C}" destId="{0D60A071-F9FB-479F-8D3A-018FE8F73DD0}" srcOrd="1" destOrd="0" presId="urn:microsoft.com/office/officeart/2005/8/layout/hProcess4"/>
    <dgm:cxn modelId="{35DC8567-AFD4-41CD-B359-5B5E1CD6C61A}" type="presParOf" srcId="{5E999198-FFBA-442A-ACD2-994C316E2F4C}" destId="{9866CC4A-270E-4CF3-92DA-BEB9318C3441}" srcOrd="2" destOrd="0" presId="urn:microsoft.com/office/officeart/2005/8/layout/hProcess4"/>
    <dgm:cxn modelId="{91CF3B2A-2558-4AB3-8FEC-D5C9D103A5AA}" type="presParOf" srcId="{5E999198-FFBA-442A-ACD2-994C316E2F4C}" destId="{B2279E00-E479-4F75-B4BE-F5B3B50F31CB}" srcOrd="3" destOrd="0" presId="urn:microsoft.com/office/officeart/2005/8/layout/hProcess4"/>
    <dgm:cxn modelId="{140D1DA9-7509-41C4-9DE3-33E9C14718C6}" type="presParOf" srcId="{5E999198-FFBA-442A-ACD2-994C316E2F4C}" destId="{FE33A998-CB3C-47D5-ADAB-D4267B63CD93}" srcOrd="4" destOrd="0" presId="urn:microsoft.com/office/officeart/2005/8/layout/hProcess4"/>
    <dgm:cxn modelId="{6A4C021E-2821-47FA-A94F-05E49CF2E136}" type="presParOf" srcId="{5AA2EB03-7A3E-46AF-82AA-141A8B277CA3}" destId="{9A844434-C5FA-4930-BFCF-B6956CA8E855}" srcOrd="1" destOrd="0" presId="urn:microsoft.com/office/officeart/2005/8/layout/hProcess4"/>
    <dgm:cxn modelId="{E5257246-C87F-4410-B227-4A6FA166FFE4}" type="presParOf" srcId="{5AA2EB03-7A3E-46AF-82AA-141A8B277CA3}" destId="{204A49F3-3082-4C37-89A4-CC0CED3CC65F}" srcOrd="2" destOrd="0" presId="urn:microsoft.com/office/officeart/2005/8/layout/hProcess4"/>
    <dgm:cxn modelId="{F8B471BE-9A96-4169-952B-D4060A35B02C}" type="presParOf" srcId="{204A49F3-3082-4C37-89A4-CC0CED3CC65F}" destId="{05BEC95C-83D3-4839-BDA6-B22CC0E0AC59}" srcOrd="0" destOrd="0" presId="urn:microsoft.com/office/officeart/2005/8/layout/hProcess4"/>
    <dgm:cxn modelId="{5E0A818C-B683-4ADD-8B26-E25B9FEECAFC}" type="presParOf" srcId="{204A49F3-3082-4C37-89A4-CC0CED3CC65F}" destId="{CAF6C244-1C89-4C05-9003-3A170AF5159B}" srcOrd="1" destOrd="0" presId="urn:microsoft.com/office/officeart/2005/8/layout/hProcess4"/>
    <dgm:cxn modelId="{6757DD2B-9B07-4FEB-B7C9-779EACF1F1B8}" type="presParOf" srcId="{204A49F3-3082-4C37-89A4-CC0CED3CC65F}" destId="{1BEEA6CD-A2CD-4D96-AE23-DFF4E9416FDB}" srcOrd="2" destOrd="0" presId="urn:microsoft.com/office/officeart/2005/8/layout/hProcess4"/>
    <dgm:cxn modelId="{54844610-06E2-4F53-B40D-2054AE8F68CF}" type="presParOf" srcId="{204A49F3-3082-4C37-89A4-CC0CED3CC65F}" destId="{E3F98BF6-0C57-4CBE-939D-C7C7C157A75F}" srcOrd="3" destOrd="0" presId="urn:microsoft.com/office/officeart/2005/8/layout/hProcess4"/>
    <dgm:cxn modelId="{57FD390B-D26D-496B-AB1E-DB6CB7860318}" type="presParOf" srcId="{204A49F3-3082-4C37-89A4-CC0CED3CC65F}" destId="{85967F31-A24D-419C-BAFF-1D96BACEB0E0}" srcOrd="4" destOrd="0" presId="urn:microsoft.com/office/officeart/2005/8/layout/hProcess4"/>
    <dgm:cxn modelId="{D5F3DFF3-B4CD-43FC-9066-0216357D57B6}" type="presParOf" srcId="{5AA2EB03-7A3E-46AF-82AA-141A8B277CA3}" destId="{C94C54F0-56F5-4C91-8600-9D16C8C83597}" srcOrd="3" destOrd="0" presId="urn:microsoft.com/office/officeart/2005/8/layout/hProcess4"/>
    <dgm:cxn modelId="{38FD81F2-484F-41D1-97A5-5192364B1B01}" type="presParOf" srcId="{5AA2EB03-7A3E-46AF-82AA-141A8B277CA3}" destId="{57D9B517-6DF6-47B3-B3C6-5112B7D5FA16}" srcOrd="4" destOrd="0" presId="urn:microsoft.com/office/officeart/2005/8/layout/hProcess4"/>
    <dgm:cxn modelId="{408B7C3C-FF77-4094-8F13-647593F82ED9}" type="presParOf" srcId="{57D9B517-6DF6-47B3-B3C6-5112B7D5FA16}" destId="{4FCB384F-963F-47DD-9DE0-92B79B28A6E5}" srcOrd="0" destOrd="0" presId="urn:microsoft.com/office/officeart/2005/8/layout/hProcess4"/>
    <dgm:cxn modelId="{D762DB66-4F0A-47C4-8B07-033E4BBC77A7}" type="presParOf" srcId="{57D9B517-6DF6-47B3-B3C6-5112B7D5FA16}" destId="{6BF82E71-57D0-4233-AF23-5BC21A55C210}" srcOrd="1" destOrd="0" presId="urn:microsoft.com/office/officeart/2005/8/layout/hProcess4"/>
    <dgm:cxn modelId="{F86E53E5-9DE5-449C-A742-2F4AD5826808}" type="presParOf" srcId="{57D9B517-6DF6-47B3-B3C6-5112B7D5FA16}" destId="{D02120B2-51A5-42B3-ADEB-B16E77530354}" srcOrd="2" destOrd="0" presId="urn:microsoft.com/office/officeart/2005/8/layout/hProcess4"/>
    <dgm:cxn modelId="{63EB4037-04E8-489F-A9FD-DD914DF3DDA0}" type="presParOf" srcId="{57D9B517-6DF6-47B3-B3C6-5112B7D5FA16}" destId="{732554E7-984A-4B38-9F9E-0B10773C0510}" srcOrd="3" destOrd="0" presId="urn:microsoft.com/office/officeart/2005/8/layout/hProcess4"/>
    <dgm:cxn modelId="{ED4FBD70-8238-46E0-8ACF-6D04FA5F6A63}" type="presParOf" srcId="{57D9B517-6DF6-47B3-B3C6-5112B7D5FA16}" destId="{C88196D7-A34D-45E4-B518-B5782CA7D40D}" srcOrd="4" destOrd="0" presId="urn:microsoft.com/office/officeart/2005/8/layout/hProcess4"/>
  </dgm:cxnLst>
  <dgm:bg/>
  <dgm:whole/>
  <dgm:extLst>
    <a:ext uri="http://schemas.microsoft.com/office/drawing/2008/diagram">
      <dsp:dataModelExt xmlns:dsp="http://schemas.microsoft.com/office/drawing/2008/diagram" relId="rId131"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B128569A-F621-4400-ACB9-8B37CB3C9FA7}" type="doc">
      <dgm:prSet loTypeId="urn:microsoft.com/office/officeart/2005/8/layout/orgChart1" loCatId="hierarchy" qsTypeId="urn:microsoft.com/office/officeart/2005/8/quickstyle/simple5" qsCatId="simple" csTypeId="urn:microsoft.com/office/officeart/2005/8/colors/accent1_2#16" csCatId="accent1" phldr="1"/>
      <dgm:spPr/>
      <dgm:t>
        <a:bodyPr/>
        <a:lstStyle/>
        <a:p>
          <a:endParaRPr lang="sk-SK"/>
        </a:p>
      </dgm:t>
    </dgm:pt>
    <dgm:pt modelId="{DB6D9ACF-B3FE-4A5D-BA81-0DA7F89F2312}">
      <dgm:prSet phldrT="[Text]"/>
      <dgm:spPr/>
      <dgm:t>
        <a:bodyPr/>
        <a:lstStyle/>
        <a:p>
          <a:r>
            <a:rPr lang="sk-SK">
              <a:latin typeface="Times New Roman" panose="02020603050405020304" pitchFamily="18" charset="0"/>
              <a:cs typeface="Times New Roman" panose="02020603050405020304" pitchFamily="18" charset="0"/>
            </a:rPr>
            <a:t>Všetky ŽoNFP, ktoré splnili podmienky poskytnutia príspevku</a:t>
          </a:r>
        </a:p>
      </dgm:t>
    </dgm:pt>
    <dgm:pt modelId="{6301B8FF-7517-4F38-96C9-419D2CC989E6}" type="parTrans" cxnId="{E24D51CB-AD46-4ABD-8D7C-FD29EC235212}">
      <dgm:prSet/>
      <dgm:spPr/>
      <dgm:t>
        <a:bodyPr/>
        <a:lstStyle/>
        <a:p>
          <a:endParaRPr lang="sk-SK"/>
        </a:p>
      </dgm:t>
    </dgm:pt>
    <dgm:pt modelId="{E582F54B-BEDE-4866-A737-D7CE57FA9EA0}" type="sibTrans" cxnId="{E24D51CB-AD46-4ABD-8D7C-FD29EC235212}">
      <dgm:prSet/>
      <dgm:spPr/>
      <dgm:t>
        <a:bodyPr/>
        <a:lstStyle/>
        <a:p>
          <a:endParaRPr lang="sk-SK"/>
        </a:p>
      </dgm:t>
    </dgm:pt>
    <dgm:pt modelId="{832E5ACD-86AF-429C-8CBD-85E9809BF068}" type="asst">
      <dgm:prSet phldrT="[Text]"/>
      <dgm:spPr/>
      <dgm:t>
        <a:bodyPr/>
        <a:lstStyle/>
        <a:p>
          <a:r>
            <a:rPr lang="sk-SK">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gm:t>
    </dgm:pt>
    <dgm:pt modelId="{4CF3BC68-5A4E-40DD-B979-311BC7BF48AA}" type="parTrans" cxnId="{5A35534E-86D4-4B9D-A8F6-60E5E0334DDF}">
      <dgm:prSet/>
      <dgm:spPr/>
      <dgm:t>
        <a:bodyPr/>
        <a:lstStyle/>
        <a:p>
          <a:endParaRPr lang="sk-SK"/>
        </a:p>
      </dgm:t>
    </dgm:pt>
    <dgm:pt modelId="{C590D425-B0B9-43F3-8AA8-1D509CB03A4A}" type="sibTrans" cxnId="{5A35534E-86D4-4B9D-A8F6-60E5E0334DDF}">
      <dgm:prSet/>
      <dgm:spPr/>
      <dgm:t>
        <a:bodyPr/>
        <a:lstStyle/>
        <a:p>
          <a:endParaRPr lang="sk-SK"/>
        </a:p>
      </dgm:t>
    </dgm:pt>
    <dgm:pt modelId="{DC51CB02-7821-40A3-9502-35E35C86947A}">
      <dgm:prSet phldrT="[Text]"/>
      <dgm:spPr/>
      <dgm:t>
        <a:bodyPr/>
        <a:lstStyle/>
        <a:p>
          <a:r>
            <a:rPr lang="sk-SK">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gm:t>
    </dgm:pt>
    <dgm:pt modelId="{FF62AA93-FA4B-4C0E-A9CD-7BFD2A14D626}" type="parTrans" cxnId="{BD2E9124-91DE-454E-92C7-619F9CB693D9}">
      <dgm:prSet/>
      <dgm:spPr/>
      <dgm:t>
        <a:bodyPr/>
        <a:lstStyle/>
        <a:p>
          <a:endParaRPr lang="sk-SK"/>
        </a:p>
      </dgm:t>
    </dgm:pt>
    <dgm:pt modelId="{AE286405-0995-432A-AC9B-20695D824D27}" type="sibTrans" cxnId="{BD2E9124-91DE-454E-92C7-619F9CB693D9}">
      <dgm:prSet/>
      <dgm:spPr/>
      <dgm:t>
        <a:bodyPr/>
        <a:lstStyle/>
        <a:p>
          <a:endParaRPr lang="sk-SK"/>
        </a:p>
      </dgm:t>
    </dgm:pt>
    <dgm:pt modelId="{8BD55A37-D5E9-44FD-81A4-0CE625685763}">
      <dgm:prSet phldrT="[Text]"/>
      <dgm:spPr/>
      <dgm:t>
        <a:bodyPr/>
        <a:lstStyle/>
        <a:p>
          <a:r>
            <a:rPr lang="sk-SK">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gm:t>
    </dgm:pt>
    <dgm:pt modelId="{E44BB69C-6045-4F4D-82D0-F06C4570B127}" type="parTrans" cxnId="{62BA8D5B-F9EC-4D5E-8242-F66E82A70C18}">
      <dgm:prSet/>
      <dgm:spPr/>
      <dgm:t>
        <a:bodyPr/>
        <a:lstStyle/>
        <a:p>
          <a:endParaRPr lang="sk-SK"/>
        </a:p>
      </dgm:t>
    </dgm:pt>
    <dgm:pt modelId="{05585676-0872-4CD3-A181-64CFFA73896D}" type="sibTrans" cxnId="{62BA8D5B-F9EC-4D5E-8242-F66E82A70C18}">
      <dgm:prSet/>
      <dgm:spPr/>
      <dgm:t>
        <a:bodyPr/>
        <a:lstStyle/>
        <a:p>
          <a:endParaRPr lang="sk-SK"/>
        </a:p>
      </dgm:t>
    </dgm:pt>
    <dgm:pt modelId="{A7F4979C-8160-49BD-88A2-5338C675DC03}" type="pres">
      <dgm:prSet presAssocID="{B128569A-F621-4400-ACB9-8B37CB3C9FA7}" presName="hierChild1" presStyleCnt="0">
        <dgm:presLayoutVars>
          <dgm:orgChart val="1"/>
          <dgm:chPref val="1"/>
          <dgm:dir/>
          <dgm:animOne val="branch"/>
          <dgm:animLvl val="lvl"/>
          <dgm:resizeHandles/>
        </dgm:presLayoutVars>
      </dgm:prSet>
      <dgm:spPr/>
      <dgm:t>
        <a:bodyPr/>
        <a:lstStyle/>
        <a:p>
          <a:endParaRPr lang="sk-SK"/>
        </a:p>
      </dgm:t>
    </dgm:pt>
    <dgm:pt modelId="{4F1DFC28-EDF9-4EF8-8F41-C0F8E4E364B7}" type="pres">
      <dgm:prSet presAssocID="{DB6D9ACF-B3FE-4A5D-BA81-0DA7F89F2312}" presName="hierRoot1" presStyleCnt="0">
        <dgm:presLayoutVars>
          <dgm:hierBranch val="init"/>
        </dgm:presLayoutVars>
      </dgm:prSet>
      <dgm:spPr/>
    </dgm:pt>
    <dgm:pt modelId="{4B25C817-1C1F-4C51-848D-BE4AA7552E09}" type="pres">
      <dgm:prSet presAssocID="{DB6D9ACF-B3FE-4A5D-BA81-0DA7F89F2312}" presName="rootComposite1" presStyleCnt="0"/>
      <dgm:spPr/>
    </dgm:pt>
    <dgm:pt modelId="{43ACE45C-F163-49BE-90C1-41F7BB716C30}" type="pres">
      <dgm:prSet presAssocID="{DB6D9ACF-B3FE-4A5D-BA81-0DA7F89F2312}" presName="rootText1" presStyleLbl="node0" presStyleIdx="0" presStyleCnt="1">
        <dgm:presLayoutVars>
          <dgm:chPref val="3"/>
        </dgm:presLayoutVars>
      </dgm:prSet>
      <dgm:spPr/>
      <dgm:t>
        <a:bodyPr/>
        <a:lstStyle/>
        <a:p>
          <a:endParaRPr lang="sk-SK"/>
        </a:p>
      </dgm:t>
    </dgm:pt>
    <dgm:pt modelId="{E3BFD6D2-0DB5-448E-9289-E445FBBE4E58}" type="pres">
      <dgm:prSet presAssocID="{DB6D9ACF-B3FE-4A5D-BA81-0DA7F89F2312}" presName="rootConnector1" presStyleLbl="node1" presStyleIdx="0" presStyleCnt="0"/>
      <dgm:spPr/>
      <dgm:t>
        <a:bodyPr/>
        <a:lstStyle/>
        <a:p>
          <a:endParaRPr lang="sk-SK"/>
        </a:p>
      </dgm:t>
    </dgm:pt>
    <dgm:pt modelId="{5DFEEF62-D321-4D10-9948-2273AABA72AB}" type="pres">
      <dgm:prSet presAssocID="{DB6D9ACF-B3FE-4A5D-BA81-0DA7F89F2312}" presName="hierChild2" presStyleCnt="0"/>
      <dgm:spPr/>
    </dgm:pt>
    <dgm:pt modelId="{98AD3747-2D4E-4E09-ADAE-1DBDCD17D6A2}" type="pres">
      <dgm:prSet presAssocID="{FF62AA93-FA4B-4C0E-A9CD-7BFD2A14D626}" presName="Name37" presStyleLbl="parChTrans1D2" presStyleIdx="0" presStyleCnt="3"/>
      <dgm:spPr/>
      <dgm:t>
        <a:bodyPr/>
        <a:lstStyle/>
        <a:p>
          <a:endParaRPr lang="sk-SK"/>
        </a:p>
      </dgm:t>
    </dgm:pt>
    <dgm:pt modelId="{77E750B0-035D-4C68-A1C4-F669695201F1}" type="pres">
      <dgm:prSet presAssocID="{DC51CB02-7821-40A3-9502-35E35C86947A}" presName="hierRoot2" presStyleCnt="0">
        <dgm:presLayoutVars>
          <dgm:hierBranch val="init"/>
        </dgm:presLayoutVars>
      </dgm:prSet>
      <dgm:spPr/>
    </dgm:pt>
    <dgm:pt modelId="{F2658768-3DEF-4F44-8698-5E8DAE8CA471}" type="pres">
      <dgm:prSet presAssocID="{DC51CB02-7821-40A3-9502-35E35C86947A}" presName="rootComposite" presStyleCnt="0"/>
      <dgm:spPr/>
    </dgm:pt>
    <dgm:pt modelId="{04D70E44-22D3-49C3-882C-6CAD1BF98561}" type="pres">
      <dgm:prSet presAssocID="{DC51CB02-7821-40A3-9502-35E35C86947A}" presName="rootText" presStyleLbl="node2" presStyleIdx="0" presStyleCnt="2">
        <dgm:presLayoutVars>
          <dgm:chPref val="3"/>
        </dgm:presLayoutVars>
      </dgm:prSet>
      <dgm:spPr/>
      <dgm:t>
        <a:bodyPr/>
        <a:lstStyle/>
        <a:p>
          <a:endParaRPr lang="sk-SK"/>
        </a:p>
      </dgm:t>
    </dgm:pt>
    <dgm:pt modelId="{5B036851-C18A-4134-B277-C9DE1C7A7A0D}" type="pres">
      <dgm:prSet presAssocID="{DC51CB02-7821-40A3-9502-35E35C86947A}" presName="rootConnector" presStyleLbl="node2" presStyleIdx="0" presStyleCnt="2"/>
      <dgm:spPr/>
      <dgm:t>
        <a:bodyPr/>
        <a:lstStyle/>
        <a:p>
          <a:endParaRPr lang="sk-SK"/>
        </a:p>
      </dgm:t>
    </dgm:pt>
    <dgm:pt modelId="{49BFDFC3-5366-431E-AF0C-45B3CA5D4B7D}" type="pres">
      <dgm:prSet presAssocID="{DC51CB02-7821-40A3-9502-35E35C86947A}" presName="hierChild4" presStyleCnt="0"/>
      <dgm:spPr/>
    </dgm:pt>
    <dgm:pt modelId="{A4CD4A4B-F22A-474C-B017-21213369AAA3}" type="pres">
      <dgm:prSet presAssocID="{DC51CB02-7821-40A3-9502-35E35C86947A}" presName="hierChild5" presStyleCnt="0"/>
      <dgm:spPr/>
    </dgm:pt>
    <dgm:pt modelId="{0AE0432E-94B3-4D7E-B19B-3FD33B1002D8}" type="pres">
      <dgm:prSet presAssocID="{E44BB69C-6045-4F4D-82D0-F06C4570B127}" presName="Name37" presStyleLbl="parChTrans1D2" presStyleIdx="1" presStyleCnt="3"/>
      <dgm:spPr/>
      <dgm:t>
        <a:bodyPr/>
        <a:lstStyle/>
        <a:p>
          <a:endParaRPr lang="sk-SK"/>
        </a:p>
      </dgm:t>
    </dgm:pt>
    <dgm:pt modelId="{0F703678-C55F-4391-95F9-933EE56D465D}" type="pres">
      <dgm:prSet presAssocID="{8BD55A37-D5E9-44FD-81A4-0CE625685763}" presName="hierRoot2" presStyleCnt="0">
        <dgm:presLayoutVars>
          <dgm:hierBranch val="init"/>
        </dgm:presLayoutVars>
      </dgm:prSet>
      <dgm:spPr/>
    </dgm:pt>
    <dgm:pt modelId="{9A158B37-9048-40DD-B4DD-198B8CF86715}" type="pres">
      <dgm:prSet presAssocID="{8BD55A37-D5E9-44FD-81A4-0CE625685763}" presName="rootComposite" presStyleCnt="0"/>
      <dgm:spPr/>
    </dgm:pt>
    <dgm:pt modelId="{E1799EC2-6D17-436F-85D6-D84F96374390}" type="pres">
      <dgm:prSet presAssocID="{8BD55A37-D5E9-44FD-81A4-0CE625685763}" presName="rootText" presStyleLbl="node2" presStyleIdx="1" presStyleCnt="2">
        <dgm:presLayoutVars>
          <dgm:chPref val="3"/>
        </dgm:presLayoutVars>
      </dgm:prSet>
      <dgm:spPr/>
      <dgm:t>
        <a:bodyPr/>
        <a:lstStyle/>
        <a:p>
          <a:endParaRPr lang="sk-SK"/>
        </a:p>
      </dgm:t>
    </dgm:pt>
    <dgm:pt modelId="{3DC89633-C508-41A5-9B88-A2CC389B7025}" type="pres">
      <dgm:prSet presAssocID="{8BD55A37-D5E9-44FD-81A4-0CE625685763}" presName="rootConnector" presStyleLbl="node2" presStyleIdx="1" presStyleCnt="2"/>
      <dgm:spPr/>
      <dgm:t>
        <a:bodyPr/>
        <a:lstStyle/>
        <a:p>
          <a:endParaRPr lang="sk-SK"/>
        </a:p>
      </dgm:t>
    </dgm:pt>
    <dgm:pt modelId="{76DD6F6F-6057-4644-9EB1-601251CB7DD8}" type="pres">
      <dgm:prSet presAssocID="{8BD55A37-D5E9-44FD-81A4-0CE625685763}" presName="hierChild4" presStyleCnt="0"/>
      <dgm:spPr/>
    </dgm:pt>
    <dgm:pt modelId="{85AFD266-1F3A-4C58-950C-8772423A7E51}" type="pres">
      <dgm:prSet presAssocID="{8BD55A37-D5E9-44FD-81A4-0CE625685763}" presName="hierChild5" presStyleCnt="0"/>
      <dgm:spPr/>
    </dgm:pt>
    <dgm:pt modelId="{1E858197-6181-448E-BA62-96C61C4A11F8}" type="pres">
      <dgm:prSet presAssocID="{DB6D9ACF-B3FE-4A5D-BA81-0DA7F89F2312}" presName="hierChild3" presStyleCnt="0"/>
      <dgm:spPr/>
    </dgm:pt>
    <dgm:pt modelId="{4B4FB526-FD47-4B92-B251-32E3FB635523}" type="pres">
      <dgm:prSet presAssocID="{4CF3BC68-5A4E-40DD-B979-311BC7BF48AA}" presName="Name111" presStyleLbl="parChTrans1D2" presStyleIdx="2" presStyleCnt="3"/>
      <dgm:spPr/>
      <dgm:t>
        <a:bodyPr/>
        <a:lstStyle/>
        <a:p>
          <a:endParaRPr lang="sk-SK"/>
        </a:p>
      </dgm:t>
    </dgm:pt>
    <dgm:pt modelId="{5AECBCFD-AA23-4DC3-A941-760694D7B314}" type="pres">
      <dgm:prSet presAssocID="{832E5ACD-86AF-429C-8CBD-85E9809BF068}" presName="hierRoot3" presStyleCnt="0">
        <dgm:presLayoutVars>
          <dgm:hierBranch val="init"/>
        </dgm:presLayoutVars>
      </dgm:prSet>
      <dgm:spPr/>
    </dgm:pt>
    <dgm:pt modelId="{854210AD-8606-4C0C-B3C1-B234D0A39E90}" type="pres">
      <dgm:prSet presAssocID="{832E5ACD-86AF-429C-8CBD-85E9809BF068}" presName="rootComposite3" presStyleCnt="0"/>
      <dgm:spPr/>
    </dgm:pt>
    <dgm:pt modelId="{AC35AD36-3A16-42CC-8B92-F7F6F50B8708}" type="pres">
      <dgm:prSet presAssocID="{832E5ACD-86AF-429C-8CBD-85E9809BF068}" presName="rootText3" presStyleLbl="asst1" presStyleIdx="0" presStyleCnt="1">
        <dgm:presLayoutVars>
          <dgm:chPref val="3"/>
        </dgm:presLayoutVars>
      </dgm:prSet>
      <dgm:spPr/>
      <dgm:t>
        <a:bodyPr/>
        <a:lstStyle/>
        <a:p>
          <a:endParaRPr lang="sk-SK"/>
        </a:p>
      </dgm:t>
    </dgm:pt>
    <dgm:pt modelId="{64FD147C-2460-4785-BADA-D2A355533271}" type="pres">
      <dgm:prSet presAssocID="{832E5ACD-86AF-429C-8CBD-85E9809BF068}" presName="rootConnector3" presStyleLbl="asst1" presStyleIdx="0" presStyleCnt="1"/>
      <dgm:spPr/>
      <dgm:t>
        <a:bodyPr/>
        <a:lstStyle/>
        <a:p>
          <a:endParaRPr lang="sk-SK"/>
        </a:p>
      </dgm:t>
    </dgm:pt>
    <dgm:pt modelId="{F1954953-1BA5-45DB-8A32-F5A423C20512}" type="pres">
      <dgm:prSet presAssocID="{832E5ACD-86AF-429C-8CBD-85E9809BF068}" presName="hierChild6" presStyleCnt="0"/>
      <dgm:spPr/>
    </dgm:pt>
    <dgm:pt modelId="{46D1C035-6CB9-4E33-900B-866BA201AB3F}" type="pres">
      <dgm:prSet presAssocID="{832E5ACD-86AF-429C-8CBD-85E9809BF068}" presName="hierChild7" presStyleCnt="0"/>
      <dgm:spPr/>
    </dgm:pt>
  </dgm:ptLst>
  <dgm:cxnLst>
    <dgm:cxn modelId="{A14494DB-E831-4412-91A1-0725DD89725C}" type="presOf" srcId="{8BD55A37-D5E9-44FD-81A4-0CE625685763}" destId="{3DC89633-C508-41A5-9B88-A2CC389B7025}" srcOrd="1" destOrd="0" presId="urn:microsoft.com/office/officeart/2005/8/layout/orgChart1"/>
    <dgm:cxn modelId="{5A35534E-86D4-4B9D-A8F6-60E5E0334DDF}" srcId="{DB6D9ACF-B3FE-4A5D-BA81-0DA7F89F2312}" destId="{832E5ACD-86AF-429C-8CBD-85E9809BF068}" srcOrd="0" destOrd="0" parTransId="{4CF3BC68-5A4E-40DD-B979-311BC7BF48AA}" sibTransId="{C590D425-B0B9-43F3-8AA8-1D509CB03A4A}"/>
    <dgm:cxn modelId="{DC3B51CE-291E-446F-AE8C-A3ED162ED768}" type="presOf" srcId="{8BD55A37-D5E9-44FD-81A4-0CE625685763}" destId="{E1799EC2-6D17-436F-85D6-D84F96374390}" srcOrd="0" destOrd="0" presId="urn:microsoft.com/office/officeart/2005/8/layout/orgChart1"/>
    <dgm:cxn modelId="{3F44AE68-C904-4AA3-B8D1-CBE2754F3D87}" type="presOf" srcId="{DC51CB02-7821-40A3-9502-35E35C86947A}" destId="{04D70E44-22D3-49C3-882C-6CAD1BF98561}" srcOrd="0" destOrd="0" presId="urn:microsoft.com/office/officeart/2005/8/layout/orgChart1"/>
    <dgm:cxn modelId="{2D7897D1-9044-4471-941D-154B95EC340B}" type="presOf" srcId="{E44BB69C-6045-4F4D-82D0-F06C4570B127}" destId="{0AE0432E-94B3-4D7E-B19B-3FD33B1002D8}" srcOrd="0" destOrd="0" presId="urn:microsoft.com/office/officeart/2005/8/layout/orgChart1"/>
    <dgm:cxn modelId="{71633695-5977-4265-82DC-3EC79AE52FE2}" type="presOf" srcId="{DB6D9ACF-B3FE-4A5D-BA81-0DA7F89F2312}" destId="{43ACE45C-F163-49BE-90C1-41F7BB716C30}" srcOrd="0" destOrd="0" presId="urn:microsoft.com/office/officeart/2005/8/layout/orgChart1"/>
    <dgm:cxn modelId="{DACB93BC-E602-4D54-A76F-74C7F70B54ED}" type="presOf" srcId="{FF62AA93-FA4B-4C0E-A9CD-7BFD2A14D626}" destId="{98AD3747-2D4E-4E09-ADAE-1DBDCD17D6A2}" srcOrd="0" destOrd="0" presId="urn:microsoft.com/office/officeart/2005/8/layout/orgChart1"/>
    <dgm:cxn modelId="{62BA8D5B-F9EC-4D5E-8242-F66E82A70C18}" srcId="{DB6D9ACF-B3FE-4A5D-BA81-0DA7F89F2312}" destId="{8BD55A37-D5E9-44FD-81A4-0CE625685763}" srcOrd="2" destOrd="0" parTransId="{E44BB69C-6045-4F4D-82D0-F06C4570B127}" sibTransId="{05585676-0872-4CD3-A181-64CFFA73896D}"/>
    <dgm:cxn modelId="{274445DF-C777-46CB-8B20-27862A854183}" type="presOf" srcId="{832E5ACD-86AF-429C-8CBD-85E9809BF068}" destId="{AC35AD36-3A16-42CC-8B92-F7F6F50B8708}" srcOrd="0" destOrd="0" presId="urn:microsoft.com/office/officeart/2005/8/layout/orgChart1"/>
    <dgm:cxn modelId="{BD2E9124-91DE-454E-92C7-619F9CB693D9}" srcId="{DB6D9ACF-B3FE-4A5D-BA81-0DA7F89F2312}" destId="{DC51CB02-7821-40A3-9502-35E35C86947A}" srcOrd="1" destOrd="0" parTransId="{FF62AA93-FA4B-4C0E-A9CD-7BFD2A14D626}" sibTransId="{AE286405-0995-432A-AC9B-20695D824D27}"/>
    <dgm:cxn modelId="{E24D51CB-AD46-4ABD-8D7C-FD29EC235212}" srcId="{B128569A-F621-4400-ACB9-8B37CB3C9FA7}" destId="{DB6D9ACF-B3FE-4A5D-BA81-0DA7F89F2312}" srcOrd="0" destOrd="0" parTransId="{6301B8FF-7517-4F38-96C9-419D2CC989E6}" sibTransId="{E582F54B-BEDE-4866-A737-D7CE57FA9EA0}"/>
    <dgm:cxn modelId="{C777BFFB-8F49-480B-9A40-808E1B46A585}" type="presOf" srcId="{DC51CB02-7821-40A3-9502-35E35C86947A}" destId="{5B036851-C18A-4134-B277-C9DE1C7A7A0D}" srcOrd="1" destOrd="0" presId="urn:microsoft.com/office/officeart/2005/8/layout/orgChart1"/>
    <dgm:cxn modelId="{4B117167-4DBA-4FF1-AC00-47AED30005AC}" type="presOf" srcId="{DB6D9ACF-B3FE-4A5D-BA81-0DA7F89F2312}" destId="{E3BFD6D2-0DB5-448E-9289-E445FBBE4E58}" srcOrd="1" destOrd="0" presId="urn:microsoft.com/office/officeart/2005/8/layout/orgChart1"/>
    <dgm:cxn modelId="{131AD05C-0AC5-40B4-8705-0B7F56E03E1A}" type="presOf" srcId="{B128569A-F621-4400-ACB9-8B37CB3C9FA7}" destId="{A7F4979C-8160-49BD-88A2-5338C675DC03}" srcOrd="0" destOrd="0" presId="urn:microsoft.com/office/officeart/2005/8/layout/orgChart1"/>
    <dgm:cxn modelId="{1789DAEC-EBD6-415D-9C6E-26A64EA90CCA}" type="presOf" srcId="{4CF3BC68-5A4E-40DD-B979-311BC7BF48AA}" destId="{4B4FB526-FD47-4B92-B251-32E3FB635523}" srcOrd="0" destOrd="0" presId="urn:microsoft.com/office/officeart/2005/8/layout/orgChart1"/>
    <dgm:cxn modelId="{82EBC333-D079-403A-A88C-518FE5BFBEDD}" type="presOf" srcId="{832E5ACD-86AF-429C-8CBD-85E9809BF068}" destId="{64FD147C-2460-4785-BADA-D2A355533271}" srcOrd="1" destOrd="0" presId="urn:microsoft.com/office/officeart/2005/8/layout/orgChart1"/>
    <dgm:cxn modelId="{7D653179-22BF-44AF-BAE4-96071F2FD370}" type="presParOf" srcId="{A7F4979C-8160-49BD-88A2-5338C675DC03}" destId="{4F1DFC28-EDF9-4EF8-8F41-C0F8E4E364B7}" srcOrd="0" destOrd="0" presId="urn:microsoft.com/office/officeart/2005/8/layout/orgChart1"/>
    <dgm:cxn modelId="{E123BFF1-09BA-4709-B6E5-0C2B6A03661B}" type="presParOf" srcId="{4F1DFC28-EDF9-4EF8-8F41-C0F8E4E364B7}" destId="{4B25C817-1C1F-4C51-848D-BE4AA7552E09}" srcOrd="0" destOrd="0" presId="urn:microsoft.com/office/officeart/2005/8/layout/orgChart1"/>
    <dgm:cxn modelId="{0018FC85-1ACD-4705-92E4-FB5824B21A8C}" type="presParOf" srcId="{4B25C817-1C1F-4C51-848D-BE4AA7552E09}" destId="{43ACE45C-F163-49BE-90C1-41F7BB716C30}" srcOrd="0" destOrd="0" presId="urn:microsoft.com/office/officeart/2005/8/layout/orgChart1"/>
    <dgm:cxn modelId="{C9E192AE-877D-4C3D-A5AD-4A197BF40568}" type="presParOf" srcId="{4B25C817-1C1F-4C51-848D-BE4AA7552E09}" destId="{E3BFD6D2-0DB5-448E-9289-E445FBBE4E58}" srcOrd="1" destOrd="0" presId="urn:microsoft.com/office/officeart/2005/8/layout/orgChart1"/>
    <dgm:cxn modelId="{BC5EEC31-960C-4ACC-8F47-E5433FA1201A}" type="presParOf" srcId="{4F1DFC28-EDF9-4EF8-8F41-C0F8E4E364B7}" destId="{5DFEEF62-D321-4D10-9948-2273AABA72AB}" srcOrd="1" destOrd="0" presId="urn:microsoft.com/office/officeart/2005/8/layout/orgChart1"/>
    <dgm:cxn modelId="{AC25AFB2-1B8F-44D7-9567-AB8C066E9172}" type="presParOf" srcId="{5DFEEF62-D321-4D10-9948-2273AABA72AB}" destId="{98AD3747-2D4E-4E09-ADAE-1DBDCD17D6A2}" srcOrd="0" destOrd="0" presId="urn:microsoft.com/office/officeart/2005/8/layout/orgChart1"/>
    <dgm:cxn modelId="{E7927237-1331-4798-8E33-F5809BB5F179}" type="presParOf" srcId="{5DFEEF62-D321-4D10-9948-2273AABA72AB}" destId="{77E750B0-035D-4C68-A1C4-F669695201F1}" srcOrd="1" destOrd="0" presId="urn:microsoft.com/office/officeart/2005/8/layout/orgChart1"/>
    <dgm:cxn modelId="{0835853C-A456-4C96-94E9-943CEAD9AB82}" type="presParOf" srcId="{77E750B0-035D-4C68-A1C4-F669695201F1}" destId="{F2658768-3DEF-4F44-8698-5E8DAE8CA471}" srcOrd="0" destOrd="0" presId="urn:microsoft.com/office/officeart/2005/8/layout/orgChart1"/>
    <dgm:cxn modelId="{DB43C415-4607-4425-8F2F-C7C7C7306255}" type="presParOf" srcId="{F2658768-3DEF-4F44-8698-5E8DAE8CA471}" destId="{04D70E44-22D3-49C3-882C-6CAD1BF98561}" srcOrd="0" destOrd="0" presId="urn:microsoft.com/office/officeart/2005/8/layout/orgChart1"/>
    <dgm:cxn modelId="{EC3A5ED8-98BA-4225-9BF1-9EC3567B85AE}" type="presParOf" srcId="{F2658768-3DEF-4F44-8698-5E8DAE8CA471}" destId="{5B036851-C18A-4134-B277-C9DE1C7A7A0D}" srcOrd="1" destOrd="0" presId="urn:microsoft.com/office/officeart/2005/8/layout/orgChart1"/>
    <dgm:cxn modelId="{BE2EB9FB-5587-4137-A15F-080D271227A6}" type="presParOf" srcId="{77E750B0-035D-4C68-A1C4-F669695201F1}" destId="{49BFDFC3-5366-431E-AF0C-45B3CA5D4B7D}" srcOrd="1" destOrd="0" presId="urn:microsoft.com/office/officeart/2005/8/layout/orgChart1"/>
    <dgm:cxn modelId="{1D676A04-0CAB-4471-9030-B4E66764F59C}" type="presParOf" srcId="{77E750B0-035D-4C68-A1C4-F669695201F1}" destId="{A4CD4A4B-F22A-474C-B017-21213369AAA3}" srcOrd="2" destOrd="0" presId="urn:microsoft.com/office/officeart/2005/8/layout/orgChart1"/>
    <dgm:cxn modelId="{B13F7F31-CB79-44DC-9EAA-B02EEE438006}" type="presParOf" srcId="{5DFEEF62-D321-4D10-9948-2273AABA72AB}" destId="{0AE0432E-94B3-4D7E-B19B-3FD33B1002D8}" srcOrd="2" destOrd="0" presId="urn:microsoft.com/office/officeart/2005/8/layout/orgChart1"/>
    <dgm:cxn modelId="{DA8D731B-DE81-42D9-9BC3-97DED32525FC}" type="presParOf" srcId="{5DFEEF62-D321-4D10-9948-2273AABA72AB}" destId="{0F703678-C55F-4391-95F9-933EE56D465D}" srcOrd="3" destOrd="0" presId="urn:microsoft.com/office/officeart/2005/8/layout/orgChart1"/>
    <dgm:cxn modelId="{C0EB3F0E-3722-4835-A8BB-D589C5883CB8}" type="presParOf" srcId="{0F703678-C55F-4391-95F9-933EE56D465D}" destId="{9A158B37-9048-40DD-B4DD-198B8CF86715}" srcOrd="0" destOrd="0" presId="urn:microsoft.com/office/officeart/2005/8/layout/orgChart1"/>
    <dgm:cxn modelId="{5BD2F6B3-AFC9-420D-9540-B157B13A4A3C}" type="presParOf" srcId="{9A158B37-9048-40DD-B4DD-198B8CF86715}" destId="{E1799EC2-6D17-436F-85D6-D84F96374390}" srcOrd="0" destOrd="0" presId="urn:microsoft.com/office/officeart/2005/8/layout/orgChart1"/>
    <dgm:cxn modelId="{2C148979-0CB3-4A24-97AB-C24744F81D75}" type="presParOf" srcId="{9A158B37-9048-40DD-B4DD-198B8CF86715}" destId="{3DC89633-C508-41A5-9B88-A2CC389B7025}" srcOrd="1" destOrd="0" presId="urn:microsoft.com/office/officeart/2005/8/layout/orgChart1"/>
    <dgm:cxn modelId="{7310FB7D-C697-4E67-8A45-249A79C8AE47}" type="presParOf" srcId="{0F703678-C55F-4391-95F9-933EE56D465D}" destId="{76DD6F6F-6057-4644-9EB1-601251CB7DD8}" srcOrd="1" destOrd="0" presId="urn:microsoft.com/office/officeart/2005/8/layout/orgChart1"/>
    <dgm:cxn modelId="{23AA43C0-0A88-4BCD-B354-65C951CE5677}" type="presParOf" srcId="{0F703678-C55F-4391-95F9-933EE56D465D}" destId="{85AFD266-1F3A-4C58-950C-8772423A7E51}" srcOrd="2" destOrd="0" presId="urn:microsoft.com/office/officeart/2005/8/layout/orgChart1"/>
    <dgm:cxn modelId="{A99B65E6-8BC2-45A9-875F-CD73F21A9ACE}" type="presParOf" srcId="{4F1DFC28-EDF9-4EF8-8F41-C0F8E4E364B7}" destId="{1E858197-6181-448E-BA62-96C61C4A11F8}" srcOrd="2" destOrd="0" presId="urn:microsoft.com/office/officeart/2005/8/layout/orgChart1"/>
    <dgm:cxn modelId="{5152244A-EB90-4392-8322-70EDF74F147A}" type="presParOf" srcId="{1E858197-6181-448E-BA62-96C61C4A11F8}" destId="{4B4FB526-FD47-4B92-B251-32E3FB635523}" srcOrd="0" destOrd="0" presId="urn:microsoft.com/office/officeart/2005/8/layout/orgChart1"/>
    <dgm:cxn modelId="{0E84B06A-433C-4E2D-9092-1A7DBE2F05C0}" type="presParOf" srcId="{1E858197-6181-448E-BA62-96C61C4A11F8}" destId="{5AECBCFD-AA23-4DC3-A941-760694D7B314}" srcOrd="1" destOrd="0" presId="urn:microsoft.com/office/officeart/2005/8/layout/orgChart1"/>
    <dgm:cxn modelId="{9E2CD458-5D24-48E9-A6B6-6965C55DCAE4}" type="presParOf" srcId="{5AECBCFD-AA23-4DC3-A941-760694D7B314}" destId="{854210AD-8606-4C0C-B3C1-B234D0A39E90}" srcOrd="0" destOrd="0" presId="urn:microsoft.com/office/officeart/2005/8/layout/orgChart1"/>
    <dgm:cxn modelId="{67AE6980-3650-4C59-8C15-73B27C5CA949}" type="presParOf" srcId="{854210AD-8606-4C0C-B3C1-B234D0A39E90}" destId="{AC35AD36-3A16-42CC-8B92-F7F6F50B8708}" srcOrd="0" destOrd="0" presId="urn:microsoft.com/office/officeart/2005/8/layout/orgChart1"/>
    <dgm:cxn modelId="{A32B5357-1CDD-485A-B52B-08AE40C565AF}" type="presParOf" srcId="{854210AD-8606-4C0C-B3C1-B234D0A39E90}" destId="{64FD147C-2460-4785-BADA-D2A355533271}" srcOrd="1" destOrd="0" presId="urn:microsoft.com/office/officeart/2005/8/layout/orgChart1"/>
    <dgm:cxn modelId="{7C512786-3760-42AF-A59B-7CD5F49D03F6}" type="presParOf" srcId="{5AECBCFD-AA23-4DC3-A941-760694D7B314}" destId="{F1954953-1BA5-45DB-8A32-F5A423C20512}" srcOrd="1" destOrd="0" presId="urn:microsoft.com/office/officeart/2005/8/layout/orgChart1"/>
    <dgm:cxn modelId="{C1117E5D-402F-4957-88C4-B546D680CB09}" type="presParOf" srcId="{5AECBCFD-AA23-4DC3-A941-760694D7B314}" destId="{46D1C035-6CB9-4E33-900B-866BA201AB3F}" srcOrd="2" destOrd="0" presId="urn:microsoft.com/office/officeart/2005/8/layout/orgChart1"/>
  </dgm:cxnLst>
  <dgm:bg/>
  <dgm:whole/>
  <dgm:extLst>
    <a:ext uri="http://schemas.microsoft.com/office/drawing/2008/diagram">
      <dsp:dataModelExt xmlns:dsp="http://schemas.microsoft.com/office/drawing/2008/diagram" relId="rId136"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17"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2E5E60E3-34B2-4623-87AA-12D4280B923D}" type="presOf" srcId="{C1C7D818-A1DB-4FDF-A430-6E92E3CA0360}" destId="{17ADB840-86AC-4959-B708-5ABE0B9DEF30}" srcOrd="1" destOrd="0" presId="urn:microsoft.com/office/officeart/2005/8/layout/hierarchy2"/>
    <dgm:cxn modelId="{5979CA74-023C-472E-9CFC-592D7C161997}" type="presOf" srcId="{C1C7D818-A1DB-4FDF-A430-6E92E3CA0360}" destId="{831CF964-E826-43B1-97D3-B44AADB9A50D}" srcOrd="0" destOrd="0" presId="urn:microsoft.com/office/officeart/2005/8/layout/hierarchy2"/>
    <dgm:cxn modelId="{BA4ECB4F-3992-4CF3-9B84-F88B38B5F80E}" type="presOf" srcId="{30A0B025-3374-4C58-A7F0-70A334662FAF}" destId="{CD893B77-A6C7-492D-94F7-066042F3EB31}" srcOrd="1" destOrd="0" presId="urn:microsoft.com/office/officeart/2005/8/layout/hierarchy2"/>
    <dgm:cxn modelId="{6B7956F6-4665-4D5C-8E4E-372E3929B5E4}" type="presOf" srcId="{9F20ED4A-8D5B-4459-B06E-A6FB89154D72}" destId="{440436AE-7D42-4003-8640-C3EE46331A78}" srcOrd="0" destOrd="0" presId="urn:microsoft.com/office/officeart/2005/8/layout/hierarchy2"/>
    <dgm:cxn modelId="{26CB744B-5B6E-45ED-87CA-DD85319FA4CB}" type="presOf" srcId="{289FDB6C-CB9A-4574-BF63-4F99DE508285}" destId="{EFF7D9CC-C01B-4BBF-A1EF-AE17F5354893}" srcOrd="0" destOrd="0" presId="urn:microsoft.com/office/officeart/2005/8/layout/hierarchy2"/>
    <dgm:cxn modelId="{6530332A-3947-4DF0-8368-41879C6325CE}" type="presOf" srcId="{05280444-4272-4AF1-B9D5-F5ACD5A2398C}" destId="{1192D187-D36E-4682-B3CF-82B1E7C9260A}" srcOrd="0"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71A9A2B5-110A-4505-94F9-A58FB716663A}" srcId="{9F20ED4A-8D5B-4459-B06E-A6FB89154D72}" destId="{1FB07975-1809-41BE-823E-00F687A9C9AE}" srcOrd="0" destOrd="0" parTransId="{498DED41-6652-4234-99B4-D87C0CA75172}" sibTransId="{57655C78-D192-4AB5-8AD0-D30210632DB1}"/>
    <dgm:cxn modelId="{03161FBB-0AE9-48C7-9A24-EEE70BA56120}" type="presOf" srcId="{F7BBDD2D-3DE1-4601-BA61-C82D2860DC53}" destId="{BA3C6808-DE42-407A-B610-DD7D61F0FC57}" srcOrd="0" destOrd="0" presId="urn:microsoft.com/office/officeart/2005/8/layout/hierarchy2"/>
    <dgm:cxn modelId="{4E6E5DB0-E7B5-44C4-ACF6-EF351694B0F9}" srcId="{1FB07975-1809-41BE-823E-00F687A9C9AE}" destId="{F9A6987B-81E0-4912-8313-B10B603C10B6}" srcOrd="0" destOrd="0" parTransId="{30A0B025-3374-4C58-A7F0-70A334662FAF}" sibTransId="{7A14C26E-0805-4191-805C-48520B00F226}"/>
    <dgm:cxn modelId="{57AD77B2-9ED6-45E0-A0AB-68CF5D9E7354}" srcId="{1FB07975-1809-41BE-823E-00F687A9C9AE}" destId="{3ADF9EDA-A930-45C3-89C3-6425F12E1AD8}" srcOrd="1" destOrd="0" parTransId="{05280444-4272-4AF1-B9D5-F5ACD5A2398C}" sibTransId="{47A9994C-4703-4776-B984-3C4BA767F630}"/>
    <dgm:cxn modelId="{59C594F3-3ABA-4E42-B2AB-BF14B0779F54}" type="presOf" srcId="{30A0B025-3374-4C58-A7F0-70A334662FAF}" destId="{A5018DFF-9129-4181-94A1-8DD8BC07B264}" srcOrd="0" destOrd="0" presId="urn:microsoft.com/office/officeart/2005/8/layout/hierarchy2"/>
    <dgm:cxn modelId="{2FACDB41-8EA1-43DC-A02F-3220AB392742}" srcId="{1FB07975-1809-41BE-823E-00F687A9C9AE}" destId="{F7BBDD2D-3DE1-4601-BA61-C82D2860DC53}" srcOrd="2" destOrd="0" parTransId="{289FDB6C-CB9A-4574-BF63-4F99DE508285}" sibTransId="{057FCFB5-61C8-4119-97D8-A6CBE6A3B02E}"/>
    <dgm:cxn modelId="{E11C9374-B0BF-4906-B127-B97D0D4C97E5}" type="presOf" srcId="{289FDB6C-CB9A-4574-BF63-4F99DE508285}" destId="{B7B89713-155D-4BB5-98ED-CF8F88E19897}" srcOrd="1" destOrd="0" presId="urn:microsoft.com/office/officeart/2005/8/layout/hierarchy2"/>
    <dgm:cxn modelId="{20A9C483-D830-4B7A-B234-5DA3C968EAD6}" type="presOf" srcId="{05280444-4272-4AF1-B9D5-F5ACD5A2398C}" destId="{8C5CE2EC-6652-4EE3-9FDF-29954333A968}" srcOrd="1" destOrd="0" presId="urn:microsoft.com/office/officeart/2005/8/layout/hierarchy2"/>
    <dgm:cxn modelId="{7CC18BBD-7EBE-426A-8599-F879E823AA17}" type="presOf" srcId="{F9A6987B-81E0-4912-8313-B10B603C10B6}" destId="{7CAC738C-9777-4CCF-B563-4F57A6059ED4}" srcOrd="0" destOrd="0" presId="urn:microsoft.com/office/officeart/2005/8/layout/hierarchy2"/>
    <dgm:cxn modelId="{EB777BB4-227F-43C1-A9E0-4625CE29C65E}" type="presOf" srcId="{1FB07975-1809-41BE-823E-00F687A9C9AE}" destId="{42F9E24E-38F3-40C6-886E-5C1CDB34D127}" srcOrd="0" destOrd="0" presId="urn:microsoft.com/office/officeart/2005/8/layout/hierarchy2"/>
    <dgm:cxn modelId="{ED99F83A-B1D3-48B9-B4B7-CDB2A74923DF}" type="presOf" srcId="{2D3D240F-3D75-4E47-BEC1-CD25D65AED31}" destId="{D77DEDDD-E71A-4BC8-8E2B-323A5FDE1E2D}" srcOrd="0" destOrd="0" presId="urn:microsoft.com/office/officeart/2005/8/layout/hierarchy2"/>
    <dgm:cxn modelId="{41D0B32D-6E89-4DBE-84F1-88C7973C80CA}" type="presOf" srcId="{3ADF9EDA-A930-45C3-89C3-6425F12E1AD8}" destId="{0E43AB82-3B63-43A6-926B-564A825EA6A1}" srcOrd="0" destOrd="0" presId="urn:microsoft.com/office/officeart/2005/8/layout/hierarchy2"/>
    <dgm:cxn modelId="{260F6126-9D8B-4A25-A6A2-B5EBC1AD803B}" type="presParOf" srcId="{440436AE-7D42-4003-8640-C3EE46331A78}" destId="{17E31ED7-7404-478C-9E1C-179F9E645CD4}" srcOrd="0" destOrd="0" presId="urn:microsoft.com/office/officeart/2005/8/layout/hierarchy2"/>
    <dgm:cxn modelId="{4F570235-9894-402B-983D-3A79514563E3}" type="presParOf" srcId="{17E31ED7-7404-478C-9E1C-179F9E645CD4}" destId="{42F9E24E-38F3-40C6-886E-5C1CDB34D127}" srcOrd="0" destOrd="0" presId="urn:microsoft.com/office/officeart/2005/8/layout/hierarchy2"/>
    <dgm:cxn modelId="{8601A996-14C0-4DFE-990C-7CC5A4611E8A}" type="presParOf" srcId="{17E31ED7-7404-478C-9E1C-179F9E645CD4}" destId="{D498B6B5-5863-4C19-89E5-123308DE29B4}" srcOrd="1" destOrd="0" presId="urn:microsoft.com/office/officeart/2005/8/layout/hierarchy2"/>
    <dgm:cxn modelId="{F8AB8D9C-B77E-4065-8E39-507EF383F6DB}" type="presParOf" srcId="{D498B6B5-5863-4C19-89E5-123308DE29B4}" destId="{A5018DFF-9129-4181-94A1-8DD8BC07B264}" srcOrd="0" destOrd="0" presId="urn:microsoft.com/office/officeart/2005/8/layout/hierarchy2"/>
    <dgm:cxn modelId="{75A64390-7661-4BAB-B0B6-4DC56EA2A879}" type="presParOf" srcId="{A5018DFF-9129-4181-94A1-8DD8BC07B264}" destId="{CD893B77-A6C7-492D-94F7-066042F3EB31}" srcOrd="0" destOrd="0" presId="urn:microsoft.com/office/officeart/2005/8/layout/hierarchy2"/>
    <dgm:cxn modelId="{AF0F985A-F78C-4D38-B84E-60CBF2EE277E}" type="presParOf" srcId="{D498B6B5-5863-4C19-89E5-123308DE29B4}" destId="{605B82BD-7F56-4F1F-A7A0-C1DC1CE94CD0}" srcOrd="1" destOrd="0" presId="urn:microsoft.com/office/officeart/2005/8/layout/hierarchy2"/>
    <dgm:cxn modelId="{B83A1D26-061D-406B-A938-5E5990ECF3DB}" type="presParOf" srcId="{605B82BD-7F56-4F1F-A7A0-C1DC1CE94CD0}" destId="{7CAC738C-9777-4CCF-B563-4F57A6059ED4}" srcOrd="0" destOrd="0" presId="urn:microsoft.com/office/officeart/2005/8/layout/hierarchy2"/>
    <dgm:cxn modelId="{AC0F3151-3AB6-488E-A15B-3B88147C56A9}" type="presParOf" srcId="{605B82BD-7F56-4F1F-A7A0-C1DC1CE94CD0}" destId="{176BB893-2D78-4832-805D-DCDE08810867}" srcOrd="1" destOrd="0" presId="urn:microsoft.com/office/officeart/2005/8/layout/hierarchy2"/>
    <dgm:cxn modelId="{69EF24F5-8A44-4C11-9F73-072C8FFE6743}" type="presParOf" srcId="{D498B6B5-5863-4C19-89E5-123308DE29B4}" destId="{1192D187-D36E-4682-B3CF-82B1E7C9260A}" srcOrd="2" destOrd="0" presId="urn:microsoft.com/office/officeart/2005/8/layout/hierarchy2"/>
    <dgm:cxn modelId="{4A6E7C23-8CF5-4DBC-B794-D76AE9C47027}" type="presParOf" srcId="{1192D187-D36E-4682-B3CF-82B1E7C9260A}" destId="{8C5CE2EC-6652-4EE3-9FDF-29954333A968}" srcOrd="0" destOrd="0" presId="urn:microsoft.com/office/officeart/2005/8/layout/hierarchy2"/>
    <dgm:cxn modelId="{AF7194E7-9BAD-4665-BDD2-84D55BAC1314}" type="presParOf" srcId="{D498B6B5-5863-4C19-89E5-123308DE29B4}" destId="{A0D3C26B-409B-4037-9540-E62A95FB348A}" srcOrd="3" destOrd="0" presId="urn:microsoft.com/office/officeart/2005/8/layout/hierarchy2"/>
    <dgm:cxn modelId="{848D230E-9F83-431E-AFF5-83EF7B284DEB}" type="presParOf" srcId="{A0D3C26B-409B-4037-9540-E62A95FB348A}" destId="{0E43AB82-3B63-43A6-926B-564A825EA6A1}" srcOrd="0" destOrd="0" presId="urn:microsoft.com/office/officeart/2005/8/layout/hierarchy2"/>
    <dgm:cxn modelId="{8B41726A-DEB4-4084-92B3-91ACCDE7A284}" type="presParOf" srcId="{A0D3C26B-409B-4037-9540-E62A95FB348A}" destId="{3A0A8DC3-A95C-4548-B98F-EF2750ACC9CD}" srcOrd="1" destOrd="0" presId="urn:microsoft.com/office/officeart/2005/8/layout/hierarchy2"/>
    <dgm:cxn modelId="{F699827C-F741-42C7-B4DF-45087161DABE}" type="presParOf" srcId="{D498B6B5-5863-4C19-89E5-123308DE29B4}" destId="{EFF7D9CC-C01B-4BBF-A1EF-AE17F5354893}" srcOrd="4" destOrd="0" presId="urn:microsoft.com/office/officeart/2005/8/layout/hierarchy2"/>
    <dgm:cxn modelId="{5DEA712D-DFE8-4F09-B772-BABFB9BCFCC2}" type="presParOf" srcId="{EFF7D9CC-C01B-4BBF-A1EF-AE17F5354893}" destId="{B7B89713-155D-4BB5-98ED-CF8F88E19897}" srcOrd="0" destOrd="0" presId="urn:microsoft.com/office/officeart/2005/8/layout/hierarchy2"/>
    <dgm:cxn modelId="{442BF542-1B81-4336-B25A-861038A481E7}" type="presParOf" srcId="{D498B6B5-5863-4C19-89E5-123308DE29B4}" destId="{8112CE23-A9B6-4E66-940E-AF4A7ACA217D}" srcOrd="5" destOrd="0" presId="urn:microsoft.com/office/officeart/2005/8/layout/hierarchy2"/>
    <dgm:cxn modelId="{6F9730AF-832F-4B5E-94A9-44A44C8C8AFD}" type="presParOf" srcId="{8112CE23-A9B6-4E66-940E-AF4A7ACA217D}" destId="{BA3C6808-DE42-407A-B610-DD7D61F0FC57}" srcOrd="0" destOrd="0" presId="urn:microsoft.com/office/officeart/2005/8/layout/hierarchy2"/>
    <dgm:cxn modelId="{E8CBAF57-3CBF-43DB-BAA7-AEDD92F26A94}" type="presParOf" srcId="{8112CE23-A9B6-4E66-940E-AF4A7ACA217D}" destId="{064655D0-673E-40A7-8490-62C031596317}" srcOrd="1" destOrd="0" presId="urn:microsoft.com/office/officeart/2005/8/layout/hierarchy2"/>
    <dgm:cxn modelId="{36B88AA9-92BC-4269-83AE-43E86DB6A01D}" type="presParOf" srcId="{D498B6B5-5863-4C19-89E5-123308DE29B4}" destId="{831CF964-E826-43B1-97D3-B44AADB9A50D}" srcOrd="6" destOrd="0" presId="urn:microsoft.com/office/officeart/2005/8/layout/hierarchy2"/>
    <dgm:cxn modelId="{CBBD7AD9-04D4-433E-9D17-B97389576161}" type="presParOf" srcId="{831CF964-E826-43B1-97D3-B44AADB9A50D}" destId="{17ADB840-86AC-4959-B708-5ABE0B9DEF30}" srcOrd="0" destOrd="0" presId="urn:microsoft.com/office/officeart/2005/8/layout/hierarchy2"/>
    <dgm:cxn modelId="{E4CA2729-43E3-4C28-8BDA-F75940BCDDA9}" type="presParOf" srcId="{D498B6B5-5863-4C19-89E5-123308DE29B4}" destId="{203FAC5C-8255-47C1-B73C-55AAB89EBAF6}" srcOrd="7" destOrd="0" presId="urn:microsoft.com/office/officeart/2005/8/layout/hierarchy2"/>
    <dgm:cxn modelId="{91D78FED-E794-4998-9F20-9323170F1C42}" type="presParOf" srcId="{203FAC5C-8255-47C1-B73C-55AAB89EBAF6}" destId="{D77DEDDD-E71A-4BC8-8E2B-323A5FDE1E2D}" srcOrd="0" destOrd="0" presId="urn:microsoft.com/office/officeart/2005/8/layout/hierarchy2"/>
    <dgm:cxn modelId="{074E8025-5EB8-495D-A263-B61C55BB9695}"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141"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18"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1BFA6C6D-3937-42FB-B27E-24E3B274003C}" srcId="{84B98E40-1235-4625-88E6-1B3D03E64A7C}" destId="{21FF79F3-4708-48EA-B45F-B6B6FAC44811}" srcOrd="2" destOrd="0" parTransId="{32351E8E-FBEC-4A28-900B-221FC15A8364}" sibTransId="{B9F74CFF-35C4-41E3-BA81-D4DC8169D76D}"/>
    <dgm:cxn modelId="{E438B213-2C1E-4BE2-AF2E-05963F82F357}" type="presOf" srcId="{2C762137-593E-4773-9BF0-77E3D29074D2}" destId="{20C8F477-87AC-41F7-B480-0B24850E9394}" srcOrd="0" destOrd="0" presId="urn:microsoft.com/office/officeart/2009/3/layout/HorizontalOrganizationChart"/>
    <dgm:cxn modelId="{C5CF669A-EF42-4AA8-AD8E-30657F61A95E}" srcId="{84B98E40-1235-4625-88E6-1B3D03E64A7C}" destId="{F7C68FC2-9784-41FF-ADDC-F5290E58DA32}" srcOrd="0" destOrd="0" parTransId="{0F669386-ED1D-4103-BBAE-03DE3F205CD9}" sibTransId="{40E2532B-FA83-4677-90DC-0A49F84F3BAA}"/>
    <dgm:cxn modelId="{F8E63BE8-AC39-4DC1-9FC7-2A55BF4B82BB}" srcId="{84B98E40-1235-4625-88E6-1B3D03E64A7C}" destId="{AF9FF3D4-E159-474F-AEF4-68677A8E3E6C}" srcOrd="1" destOrd="0" parTransId="{D649D024-B028-4D79-A6AA-CC5E3C27B35D}" sibTransId="{0776033F-0509-4CDD-AFD1-D0804025CDAF}"/>
    <dgm:cxn modelId="{72A8EE7D-A3F4-4493-A890-85A85366D276}" type="presOf" srcId="{7326291B-1C63-4191-894B-0D7AC1676219}" destId="{9EABEC91-C29E-4A79-BAD5-A34B02B32342}" srcOrd="1" destOrd="0" presId="urn:microsoft.com/office/officeart/2009/3/layout/HorizontalOrganizationChart"/>
    <dgm:cxn modelId="{AA28ABBB-6ED9-46A7-A2FE-B698E935577E}" type="presOf" srcId="{F7C68FC2-9784-41FF-ADDC-F5290E58DA32}" destId="{7BEE8A27-1D68-426E-A927-1D764EF4E003}" srcOrd="0" destOrd="0" presId="urn:microsoft.com/office/officeart/2009/3/layout/HorizontalOrganizationChart"/>
    <dgm:cxn modelId="{3E495EFD-51E9-4E7A-ABFF-9670E84B0A48}" type="presOf" srcId="{32351E8E-FBEC-4A28-900B-221FC15A8364}" destId="{033E40DE-CAC0-47CD-9596-9DC3321C6A36}" srcOrd="0" destOrd="0" presId="urn:microsoft.com/office/officeart/2009/3/layout/HorizontalOrganizationChart"/>
    <dgm:cxn modelId="{CE66E071-259F-467E-BE3A-1061E58F8DB4}" type="presOf" srcId="{52378FC2-CBD8-403A-AD87-00EBE718EA8D}" destId="{DEC8B82D-0BC4-472B-A447-1353F6496838}" srcOrd="0" destOrd="0" presId="urn:microsoft.com/office/officeart/2009/3/layout/HorizontalOrganizationChart"/>
    <dgm:cxn modelId="{2F7F44A7-86F5-4701-B048-4D6609CFC840}" type="presOf" srcId="{21FF79F3-4708-48EA-B45F-B6B6FAC44811}" destId="{768E0722-BE78-4A3B-80F5-12F88735C7A5}" srcOrd="0" destOrd="0" presId="urn:microsoft.com/office/officeart/2009/3/layout/HorizontalOrganizationChart"/>
    <dgm:cxn modelId="{53AE50ED-81A1-4EEA-90FF-3BE953F981A8}" type="presOf" srcId="{445EB964-E0BA-4A5D-9C54-F6BC75F54428}" destId="{952D323D-8C5C-472E-80E1-37E378556BC2}" srcOrd="0" destOrd="0" presId="urn:microsoft.com/office/officeart/2009/3/layout/HorizontalOrganizationChart"/>
    <dgm:cxn modelId="{18D5E573-A34E-4AAE-AED4-1E83F30E34F7}" type="presOf" srcId="{F7C68FC2-9784-41FF-ADDC-F5290E58DA32}" destId="{60A33E77-5A38-4D1F-BA68-FD1428B0B92D}" srcOrd="1" destOrd="0" presId="urn:microsoft.com/office/officeart/2009/3/layout/HorizontalOrganizationChart"/>
    <dgm:cxn modelId="{40C94B63-DFD9-4A43-8457-0FA7D2F78B36}" type="presOf" srcId="{D649D024-B028-4D79-A6AA-CC5E3C27B35D}" destId="{D806081A-E5DB-44D6-807B-5AE11411C907}" srcOrd="0" destOrd="0" presId="urn:microsoft.com/office/officeart/2009/3/layout/HorizontalOrganizationChart"/>
    <dgm:cxn modelId="{9E27A550-D133-4862-A88C-2C3C11FF1596}" type="presOf" srcId="{1CC64076-418B-445A-9D7A-BFAEA9E91A90}" destId="{A1078D78-B03B-4243-A9F8-C10A6A9FD365}" srcOrd="0" destOrd="0" presId="urn:microsoft.com/office/officeart/2009/3/layout/HorizontalOrganizationChart"/>
    <dgm:cxn modelId="{BFC2039C-A2A8-469B-B3E6-24B55B26DD64}" type="presOf" srcId="{21FF79F3-4708-48EA-B45F-B6B6FAC44811}" destId="{FA3CF19C-FD93-4F6A-940B-CFF77E302008}" srcOrd="1" destOrd="0" presId="urn:microsoft.com/office/officeart/2009/3/layout/HorizontalOrganizationChart"/>
    <dgm:cxn modelId="{FECFCB55-2F0D-42B1-8013-A5E0A5042BB5}" srcId="{2C762137-593E-4773-9BF0-77E3D29074D2}" destId="{61229014-43B7-4156-9AC9-3F870334541A}" srcOrd="0" destOrd="0" parTransId="{1913697A-5F99-4996-B676-1BA31C45435E}" sibTransId="{357F45D4-C0B3-4EEA-9088-B009178EC17A}"/>
    <dgm:cxn modelId="{A54468C2-60AF-4ECE-A8D9-55C4558EF363}" type="presOf" srcId="{84B98E40-1235-4625-88E6-1B3D03E64A7C}" destId="{E34647F5-55CD-4586-810F-D80D70BDDA00}" srcOrd="0" destOrd="0" presId="urn:microsoft.com/office/officeart/2009/3/layout/HorizontalOrganizationChart"/>
    <dgm:cxn modelId="{C389B262-52BF-4AA5-A824-BF12713AD219}" type="presOf" srcId="{AF9FF3D4-E159-474F-AEF4-68677A8E3E6C}" destId="{D9FC4FC7-80B4-4A27-AA44-0C75AE66ED8A}" srcOrd="1" destOrd="0" presId="urn:microsoft.com/office/officeart/2009/3/layout/HorizontalOrganizationChart"/>
    <dgm:cxn modelId="{D0504C22-B031-4507-965E-7448488FBC9D}" srcId="{61229014-43B7-4156-9AC9-3F870334541A}" destId="{52378FC2-CBD8-403A-AD87-00EBE718EA8D}" srcOrd="0" destOrd="0" parTransId="{0194EEC5-349B-4085-A2B8-B3065EF6780C}" sibTransId="{9F6B1027-6F9B-4A17-B696-06A8F198BE49}"/>
    <dgm:cxn modelId="{7DE85B4C-4369-4E3C-8640-AEF63A1F4108}" srcId="{61229014-43B7-4156-9AC9-3F870334541A}" destId="{7326291B-1C63-4191-894B-0D7AC1676219}" srcOrd="2" destOrd="0" parTransId="{1CC64076-418B-445A-9D7A-BFAEA9E91A90}" sibTransId="{92B0235C-175C-4442-8A7A-BB6A06F6D653}"/>
    <dgm:cxn modelId="{5D0B007A-D45F-49AC-9B12-7232DDE95513}" type="presOf" srcId="{0F669386-ED1D-4103-BBAE-03DE3F205CD9}" destId="{6939AE35-1CF7-462E-B1D5-E37730B7709A}" srcOrd="0" destOrd="0" presId="urn:microsoft.com/office/officeart/2009/3/layout/HorizontalOrganizationChart"/>
    <dgm:cxn modelId="{491F2364-5763-4CCF-84A8-BFE97E032F7F}" type="presOf" srcId="{7326291B-1C63-4191-894B-0D7AC1676219}" destId="{BA9E7B32-24EF-4CE9-A79E-BC5ECD9277FE}" srcOrd="0" destOrd="0" presId="urn:microsoft.com/office/officeart/2009/3/layout/HorizontalOrganizationChart"/>
    <dgm:cxn modelId="{FD3B112E-89A1-4ABF-81AD-9DD7F8CC5743}" type="presOf" srcId="{52378FC2-CBD8-403A-AD87-00EBE718EA8D}" destId="{3252FFAB-3744-463B-B1ED-DE6FA70F0B34}" srcOrd="1" destOrd="0" presId="urn:microsoft.com/office/officeart/2009/3/layout/HorizontalOrganizationChart"/>
    <dgm:cxn modelId="{5D38241B-CA2F-42E7-B92B-87B06B1BD271}" type="presOf" srcId="{0194EEC5-349B-4085-A2B8-B3065EF6780C}" destId="{C5E03ABF-4E38-4AE1-A688-A9156FDA1E82}" srcOrd="0"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6A253EDA-0D4F-49BF-91C8-49B0103B12F7}" type="presOf" srcId="{AF9FF3D4-E159-474F-AEF4-68677A8E3E6C}" destId="{0229DB44-A561-47AD-8D62-3686DFB75D0E}" srcOrd="0" destOrd="0" presId="urn:microsoft.com/office/officeart/2009/3/layout/HorizontalOrganizationChart"/>
    <dgm:cxn modelId="{8E8B3BC5-9031-4A17-A71E-A570BEC3E090}" type="presOf" srcId="{61229014-43B7-4156-9AC9-3F870334541A}" destId="{39DDE941-ABEA-42AD-AF01-8CA53DE00903}" srcOrd="0" destOrd="0" presId="urn:microsoft.com/office/officeart/2009/3/layout/HorizontalOrganizationChart"/>
    <dgm:cxn modelId="{642CCC96-153E-4377-BAC3-BAFC32970DEE}" type="presOf" srcId="{61229014-43B7-4156-9AC9-3F870334541A}" destId="{2AFB02D2-FAC6-4261-808E-CCB9AE1EF0C8}" srcOrd="1" destOrd="0" presId="urn:microsoft.com/office/officeart/2009/3/layout/HorizontalOrganizationChart"/>
    <dgm:cxn modelId="{D8AF688B-E6E2-49DA-B1F8-A151A46F5B16}" type="presOf" srcId="{84B98E40-1235-4625-88E6-1B3D03E64A7C}" destId="{E9A068F0-30DA-497B-8910-73B9DC219EA2}" srcOrd="1" destOrd="0" presId="urn:microsoft.com/office/officeart/2009/3/layout/HorizontalOrganizationChart"/>
    <dgm:cxn modelId="{14969A44-B049-4218-927B-53237C7A5CB9}" type="presParOf" srcId="{20C8F477-87AC-41F7-B480-0B24850E9394}" destId="{0E682000-86EF-4088-AA6A-F9AD5B1AA280}" srcOrd="0" destOrd="0" presId="urn:microsoft.com/office/officeart/2009/3/layout/HorizontalOrganizationChart"/>
    <dgm:cxn modelId="{6DA61B57-2682-4361-8955-62A03B7F6093}" type="presParOf" srcId="{0E682000-86EF-4088-AA6A-F9AD5B1AA280}" destId="{DAA90C01-D1B6-4AB2-AFD9-13CF55989794}" srcOrd="0" destOrd="0" presId="urn:microsoft.com/office/officeart/2009/3/layout/HorizontalOrganizationChart"/>
    <dgm:cxn modelId="{10416F53-2D99-493D-8634-C4D7BCB41AA2}" type="presParOf" srcId="{DAA90C01-D1B6-4AB2-AFD9-13CF55989794}" destId="{39DDE941-ABEA-42AD-AF01-8CA53DE00903}" srcOrd="0" destOrd="0" presId="urn:microsoft.com/office/officeart/2009/3/layout/HorizontalOrganizationChart"/>
    <dgm:cxn modelId="{236B960C-07D7-4A07-BD2D-099E2A12FF4E}" type="presParOf" srcId="{DAA90C01-D1B6-4AB2-AFD9-13CF55989794}" destId="{2AFB02D2-FAC6-4261-808E-CCB9AE1EF0C8}" srcOrd="1" destOrd="0" presId="urn:microsoft.com/office/officeart/2009/3/layout/HorizontalOrganizationChart"/>
    <dgm:cxn modelId="{AC4737C7-AAAD-473D-AD62-F3FAF5EE4494}" type="presParOf" srcId="{0E682000-86EF-4088-AA6A-F9AD5B1AA280}" destId="{EC2024E0-12B9-4E0E-AEF5-75F18ADC96C9}" srcOrd="1" destOrd="0" presId="urn:microsoft.com/office/officeart/2009/3/layout/HorizontalOrganizationChart"/>
    <dgm:cxn modelId="{2B58E0EA-F5D3-47E6-A228-14E8E13779C9}" type="presParOf" srcId="{EC2024E0-12B9-4E0E-AEF5-75F18ADC96C9}" destId="{952D323D-8C5C-472E-80E1-37E378556BC2}" srcOrd="0" destOrd="0" presId="urn:microsoft.com/office/officeart/2009/3/layout/HorizontalOrganizationChart"/>
    <dgm:cxn modelId="{2441D285-5363-49B3-9DB8-9B0A5AF82E61}" type="presParOf" srcId="{EC2024E0-12B9-4E0E-AEF5-75F18ADC96C9}" destId="{0C0F6173-5A05-4685-A5D8-1756A99B7DE2}" srcOrd="1" destOrd="0" presId="urn:microsoft.com/office/officeart/2009/3/layout/HorizontalOrganizationChart"/>
    <dgm:cxn modelId="{EF6DA270-BD41-4FC1-BE56-44DF34132CE1}" type="presParOf" srcId="{0C0F6173-5A05-4685-A5D8-1756A99B7DE2}" destId="{95E3845C-5B11-46BA-A936-08DBE74242F1}" srcOrd="0" destOrd="0" presId="urn:microsoft.com/office/officeart/2009/3/layout/HorizontalOrganizationChart"/>
    <dgm:cxn modelId="{E0597683-377C-46D0-8ECA-230A51EB66BB}" type="presParOf" srcId="{95E3845C-5B11-46BA-A936-08DBE74242F1}" destId="{E34647F5-55CD-4586-810F-D80D70BDDA00}" srcOrd="0" destOrd="0" presId="urn:microsoft.com/office/officeart/2009/3/layout/HorizontalOrganizationChart"/>
    <dgm:cxn modelId="{F0991317-878D-4E2C-9764-BB9C16045C33}" type="presParOf" srcId="{95E3845C-5B11-46BA-A936-08DBE74242F1}" destId="{E9A068F0-30DA-497B-8910-73B9DC219EA2}" srcOrd="1" destOrd="0" presId="urn:microsoft.com/office/officeart/2009/3/layout/HorizontalOrganizationChart"/>
    <dgm:cxn modelId="{56A2ADD0-9EFD-47DD-98B4-0E409BA45D2B}" type="presParOf" srcId="{0C0F6173-5A05-4685-A5D8-1756A99B7DE2}" destId="{7CC473A8-9684-49CB-A160-70A59B17C7E6}" srcOrd="1" destOrd="0" presId="urn:microsoft.com/office/officeart/2009/3/layout/HorizontalOrganizationChart"/>
    <dgm:cxn modelId="{DF80924E-B00F-4689-B804-B6A3D27C1781}" type="presParOf" srcId="{7CC473A8-9684-49CB-A160-70A59B17C7E6}" destId="{6939AE35-1CF7-462E-B1D5-E37730B7709A}" srcOrd="0" destOrd="0" presId="urn:microsoft.com/office/officeart/2009/3/layout/HorizontalOrganizationChart"/>
    <dgm:cxn modelId="{43A5A82B-3F4A-4F67-A95F-5FEC0A923BD3}" type="presParOf" srcId="{7CC473A8-9684-49CB-A160-70A59B17C7E6}" destId="{BC87BCA7-E683-4BF2-8D9E-49884EEB6AC0}" srcOrd="1" destOrd="0" presId="urn:microsoft.com/office/officeart/2009/3/layout/HorizontalOrganizationChart"/>
    <dgm:cxn modelId="{3A303DE1-F7FD-4A63-AB3E-91EFD65237B6}" type="presParOf" srcId="{BC87BCA7-E683-4BF2-8D9E-49884EEB6AC0}" destId="{18800D8D-6898-437E-A9BA-423C82541506}" srcOrd="0" destOrd="0" presId="urn:microsoft.com/office/officeart/2009/3/layout/HorizontalOrganizationChart"/>
    <dgm:cxn modelId="{B1993180-B7B2-485C-A170-729CB7480FC7}" type="presParOf" srcId="{18800D8D-6898-437E-A9BA-423C82541506}" destId="{7BEE8A27-1D68-426E-A927-1D764EF4E003}" srcOrd="0" destOrd="0" presId="urn:microsoft.com/office/officeart/2009/3/layout/HorizontalOrganizationChart"/>
    <dgm:cxn modelId="{357E91D3-2EBC-4DA8-8056-7CA88E69A1F4}" type="presParOf" srcId="{18800D8D-6898-437E-A9BA-423C82541506}" destId="{60A33E77-5A38-4D1F-BA68-FD1428B0B92D}" srcOrd="1" destOrd="0" presId="urn:microsoft.com/office/officeart/2009/3/layout/HorizontalOrganizationChart"/>
    <dgm:cxn modelId="{738653F0-B696-486E-BCE6-78859057F814}" type="presParOf" srcId="{BC87BCA7-E683-4BF2-8D9E-49884EEB6AC0}" destId="{C9D25951-B30B-457E-B8FF-5A33069D0729}" srcOrd="1" destOrd="0" presId="urn:microsoft.com/office/officeart/2009/3/layout/HorizontalOrganizationChart"/>
    <dgm:cxn modelId="{291F01F7-C5CC-4829-A060-CBCED390C78D}" type="presParOf" srcId="{BC87BCA7-E683-4BF2-8D9E-49884EEB6AC0}" destId="{A665234C-2D50-4F07-9598-723E4486743C}" srcOrd="2" destOrd="0" presId="urn:microsoft.com/office/officeart/2009/3/layout/HorizontalOrganizationChart"/>
    <dgm:cxn modelId="{65F75A44-9CE7-4729-B13F-F3F644936EFA}" type="presParOf" srcId="{7CC473A8-9684-49CB-A160-70A59B17C7E6}" destId="{033E40DE-CAC0-47CD-9596-9DC3321C6A36}" srcOrd="2" destOrd="0" presId="urn:microsoft.com/office/officeart/2009/3/layout/HorizontalOrganizationChart"/>
    <dgm:cxn modelId="{170621C2-5A58-4DE8-A4E3-FCF52897A985}" type="presParOf" srcId="{7CC473A8-9684-49CB-A160-70A59B17C7E6}" destId="{78E7A230-48D0-4D42-9A4C-C857A87A8A9C}" srcOrd="3" destOrd="0" presId="urn:microsoft.com/office/officeart/2009/3/layout/HorizontalOrganizationChart"/>
    <dgm:cxn modelId="{B2600020-6A15-46A0-AB0C-AC33DA053ACE}" type="presParOf" srcId="{78E7A230-48D0-4D42-9A4C-C857A87A8A9C}" destId="{2557DDEA-2316-4E98-9228-02E8E5674B7E}" srcOrd="0" destOrd="0" presId="urn:microsoft.com/office/officeart/2009/3/layout/HorizontalOrganizationChart"/>
    <dgm:cxn modelId="{B9738EC2-8F9D-4371-A032-56D38CE445B6}" type="presParOf" srcId="{2557DDEA-2316-4E98-9228-02E8E5674B7E}" destId="{768E0722-BE78-4A3B-80F5-12F88735C7A5}" srcOrd="0" destOrd="0" presId="urn:microsoft.com/office/officeart/2009/3/layout/HorizontalOrganizationChart"/>
    <dgm:cxn modelId="{B86BBCD0-8DB1-47EF-897D-BC36946A96AC}" type="presParOf" srcId="{2557DDEA-2316-4E98-9228-02E8E5674B7E}" destId="{FA3CF19C-FD93-4F6A-940B-CFF77E302008}" srcOrd="1" destOrd="0" presId="urn:microsoft.com/office/officeart/2009/3/layout/HorizontalOrganizationChart"/>
    <dgm:cxn modelId="{035C231B-B748-45FB-8237-D74D432559EF}" type="presParOf" srcId="{78E7A230-48D0-4D42-9A4C-C857A87A8A9C}" destId="{4320B6BB-C495-4E2B-A0B4-43BCEB2B4077}" srcOrd="1" destOrd="0" presId="urn:microsoft.com/office/officeart/2009/3/layout/HorizontalOrganizationChart"/>
    <dgm:cxn modelId="{6958B2D5-507E-4FF1-8FB0-944F062BECD5}" type="presParOf" srcId="{78E7A230-48D0-4D42-9A4C-C857A87A8A9C}" destId="{4611B139-DFE4-4568-A45B-312909C6CAE3}" srcOrd="2" destOrd="0" presId="urn:microsoft.com/office/officeart/2009/3/layout/HorizontalOrganizationChart"/>
    <dgm:cxn modelId="{C46FD33D-1FAE-4F7B-85DF-A6BC50DD2D3F}" type="presParOf" srcId="{0C0F6173-5A05-4685-A5D8-1756A99B7DE2}" destId="{3803354C-6CBC-4C36-9898-A094178CBE9E}" srcOrd="2" destOrd="0" presId="urn:microsoft.com/office/officeart/2009/3/layout/HorizontalOrganizationChart"/>
    <dgm:cxn modelId="{E2D84E43-D7D1-4D18-B721-E26FF2951936}" type="presParOf" srcId="{3803354C-6CBC-4C36-9898-A094178CBE9E}" destId="{D806081A-E5DB-44D6-807B-5AE11411C907}" srcOrd="0" destOrd="0" presId="urn:microsoft.com/office/officeart/2009/3/layout/HorizontalOrganizationChart"/>
    <dgm:cxn modelId="{EE93F134-9032-42FE-BF0E-0ADC2D2722EE}" type="presParOf" srcId="{3803354C-6CBC-4C36-9898-A094178CBE9E}" destId="{4D4CBCCC-B347-414C-9B4E-D5BD89F61F26}" srcOrd="1" destOrd="0" presId="urn:microsoft.com/office/officeart/2009/3/layout/HorizontalOrganizationChart"/>
    <dgm:cxn modelId="{49AB4FDB-21F0-4A46-B126-5D217BE82AF1}" type="presParOf" srcId="{4D4CBCCC-B347-414C-9B4E-D5BD89F61F26}" destId="{2FC56ECE-50B7-426D-9D59-C6CA4D09DFED}" srcOrd="0" destOrd="0" presId="urn:microsoft.com/office/officeart/2009/3/layout/HorizontalOrganizationChart"/>
    <dgm:cxn modelId="{D1A527A9-DB54-458D-AF70-E11B9442649C}" type="presParOf" srcId="{2FC56ECE-50B7-426D-9D59-C6CA4D09DFED}" destId="{0229DB44-A561-47AD-8D62-3686DFB75D0E}" srcOrd="0" destOrd="0" presId="urn:microsoft.com/office/officeart/2009/3/layout/HorizontalOrganizationChart"/>
    <dgm:cxn modelId="{A2D5EE71-ECB4-450A-8B2F-A0BE3B130246}" type="presParOf" srcId="{2FC56ECE-50B7-426D-9D59-C6CA4D09DFED}" destId="{D9FC4FC7-80B4-4A27-AA44-0C75AE66ED8A}" srcOrd="1" destOrd="0" presId="urn:microsoft.com/office/officeart/2009/3/layout/HorizontalOrganizationChart"/>
    <dgm:cxn modelId="{0C956E47-C9E9-4937-A020-2EC74AB3F56A}" type="presParOf" srcId="{4D4CBCCC-B347-414C-9B4E-D5BD89F61F26}" destId="{FBA37337-CDDD-499A-823C-600844320159}" srcOrd="1" destOrd="0" presId="urn:microsoft.com/office/officeart/2009/3/layout/HorizontalOrganizationChart"/>
    <dgm:cxn modelId="{7481C066-AFB4-45E3-8778-2D37E96E7E13}" type="presParOf" srcId="{4D4CBCCC-B347-414C-9B4E-D5BD89F61F26}" destId="{4F72646B-16E7-44E6-BC97-2A9D86EE9E45}" srcOrd="2" destOrd="0" presId="urn:microsoft.com/office/officeart/2009/3/layout/HorizontalOrganizationChart"/>
    <dgm:cxn modelId="{FDBAC4ED-A83F-407F-94FA-C766133A3E0C}" type="presParOf" srcId="{EC2024E0-12B9-4E0E-AEF5-75F18ADC96C9}" destId="{A1078D78-B03B-4243-A9F8-C10A6A9FD365}" srcOrd="2" destOrd="0" presId="urn:microsoft.com/office/officeart/2009/3/layout/HorizontalOrganizationChart"/>
    <dgm:cxn modelId="{17C74A98-BEE9-446A-90C6-9314793F4B46}" type="presParOf" srcId="{EC2024E0-12B9-4E0E-AEF5-75F18ADC96C9}" destId="{6AC6BEF7-088C-4A8C-B670-5E2AF15169CE}" srcOrd="3" destOrd="0" presId="urn:microsoft.com/office/officeart/2009/3/layout/HorizontalOrganizationChart"/>
    <dgm:cxn modelId="{A864A2D8-DF49-4DC8-A0E8-7AFB1FE4952B}" type="presParOf" srcId="{6AC6BEF7-088C-4A8C-B670-5E2AF15169CE}" destId="{FAA9A139-7864-4001-AF08-CDAA829E5ED0}" srcOrd="0" destOrd="0" presId="urn:microsoft.com/office/officeart/2009/3/layout/HorizontalOrganizationChart"/>
    <dgm:cxn modelId="{0A910CD4-86A1-4F36-B1C0-2B1F39C5DD92}" type="presParOf" srcId="{FAA9A139-7864-4001-AF08-CDAA829E5ED0}" destId="{BA9E7B32-24EF-4CE9-A79E-BC5ECD9277FE}" srcOrd="0" destOrd="0" presId="urn:microsoft.com/office/officeart/2009/3/layout/HorizontalOrganizationChart"/>
    <dgm:cxn modelId="{278ACBC9-0C95-4532-AFCF-5C3E6865FA92}" type="presParOf" srcId="{FAA9A139-7864-4001-AF08-CDAA829E5ED0}" destId="{9EABEC91-C29E-4A79-BAD5-A34B02B32342}" srcOrd="1" destOrd="0" presId="urn:microsoft.com/office/officeart/2009/3/layout/HorizontalOrganizationChart"/>
    <dgm:cxn modelId="{0B3A13FA-D006-4593-BFDA-4AD032027F10}" type="presParOf" srcId="{6AC6BEF7-088C-4A8C-B670-5E2AF15169CE}" destId="{71111C2C-B6AD-40D5-9989-BA5792067379}" srcOrd="1" destOrd="0" presId="urn:microsoft.com/office/officeart/2009/3/layout/HorizontalOrganizationChart"/>
    <dgm:cxn modelId="{B03E949A-AF21-4056-944E-C865BA90D868}" type="presParOf" srcId="{6AC6BEF7-088C-4A8C-B670-5E2AF15169CE}" destId="{4DB038D6-F973-446C-AC43-D9DB7470E409}" srcOrd="2" destOrd="0" presId="urn:microsoft.com/office/officeart/2009/3/layout/HorizontalOrganizationChart"/>
    <dgm:cxn modelId="{FFBE5BD1-9BDA-45A9-B35B-02998FCCD864}" type="presParOf" srcId="{0E682000-86EF-4088-AA6A-F9AD5B1AA280}" destId="{CC0BDA2C-44E2-46B3-B85D-038AD6FC962B}" srcOrd="2" destOrd="0" presId="urn:microsoft.com/office/officeart/2009/3/layout/HorizontalOrganizationChart"/>
    <dgm:cxn modelId="{6BEDC14A-DE32-4CE6-9338-4870217C5D8C}" type="presParOf" srcId="{CC0BDA2C-44E2-46B3-B85D-038AD6FC962B}" destId="{C5E03ABF-4E38-4AE1-A688-A9156FDA1E82}" srcOrd="0" destOrd="0" presId="urn:microsoft.com/office/officeart/2009/3/layout/HorizontalOrganizationChart"/>
    <dgm:cxn modelId="{B3E084A3-A9D6-4E21-8210-7DB994B0E045}" type="presParOf" srcId="{CC0BDA2C-44E2-46B3-B85D-038AD6FC962B}" destId="{95686ED6-864F-4178-99C8-97F447C1B3B6}" srcOrd="1" destOrd="0" presId="urn:microsoft.com/office/officeart/2009/3/layout/HorizontalOrganizationChart"/>
    <dgm:cxn modelId="{F206C8BF-3E9D-40FE-BCF3-A1D82D81E672}" type="presParOf" srcId="{95686ED6-864F-4178-99C8-97F447C1B3B6}" destId="{39302932-19AA-4686-8000-E6B370091F16}" srcOrd="0" destOrd="0" presId="urn:microsoft.com/office/officeart/2009/3/layout/HorizontalOrganizationChart"/>
    <dgm:cxn modelId="{76559497-8FFE-4419-A490-396722D681F3}" type="presParOf" srcId="{39302932-19AA-4686-8000-E6B370091F16}" destId="{DEC8B82D-0BC4-472B-A447-1353F6496838}" srcOrd="0" destOrd="0" presId="urn:microsoft.com/office/officeart/2009/3/layout/HorizontalOrganizationChart"/>
    <dgm:cxn modelId="{59301642-00EF-4438-9971-52A48ECAFE92}" type="presParOf" srcId="{39302932-19AA-4686-8000-E6B370091F16}" destId="{3252FFAB-3744-463B-B1ED-DE6FA70F0B34}" srcOrd="1" destOrd="0" presId="urn:microsoft.com/office/officeart/2009/3/layout/HorizontalOrganizationChart"/>
    <dgm:cxn modelId="{10942F30-A8AB-441E-973F-ADEB93FC7839}" type="presParOf" srcId="{95686ED6-864F-4178-99C8-97F447C1B3B6}" destId="{117E40E7-1A6B-4AED-AF21-0B93D4190C03}" srcOrd="1" destOrd="0" presId="urn:microsoft.com/office/officeart/2009/3/layout/HorizontalOrganizationChart"/>
    <dgm:cxn modelId="{91E36259-90D2-4E9D-ABA8-ADE7DA940A7F}"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146"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19"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2F461C3D-51E4-47D5-8A53-3172CC9B4488}" type="presOf" srcId="{087D825C-27D5-44CA-843B-94AD71A045B3}" destId="{BA8EAAD8-C9F6-45A2-9396-26CB3C03B0E9}" srcOrd="0" destOrd="0" presId="urn:microsoft.com/office/officeart/2005/8/layout/process1"/>
    <dgm:cxn modelId="{CB16249A-F360-4AE2-8B4E-33AFFAE625A5}" type="presOf" srcId="{F567EE29-267C-4DA0-B724-AC0F701B297B}" destId="{BC2F0B48-5F8B-4FB6-B313-88EA2C8D707D}" srcOrd="0"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6231A107-25A8-4B65-995C-4BB7EC4E4C5C}" srcId="{DDCF8B81-F445-4554-A205-A41AADF85684}" destId="{087D825C-27D5-44CA-843B-94AD71A045B3}" srcOrd="1" destOrd="0" parTransId="{8C660B2A-5B2F-4EE6-BB11-066A507F2EDB}" sibTransId="{484483F8-CAFF-41C3-99E8-25B2DACA1EDA}"/>
    <dgm:cxn modelId="{16FD9966-5E5D-4D11-BFAF-EABAA93050DB}" type="presOf" srcId="{6318CD4F-435C-479B-8D3A-CA96D04E9997}" destId="{6537D6DB-675B-490E-BD07-2F1EB6950F8F}" srcOrd="1" destOrd="0" presId="urn:microsoft.com/office/officeart/2005/8/layout/process1"/>
    <dgm:cxn modelId="{7FA4F07A-E570-4436-AFF6-A98EF17AC6EC}" type="presOf" srcId="{DDCF8B81-F445-4554-A205-A41AADF85684}" destId="{33FFD636-DB83-44D8-B4CA-C50AC785D62E}" srcOrd="0" destOrd="0" presId="urn:microsoft.com/office/officeart/2005/8/layout/process1"/>
    <dgm:cxn modelId="{869D24B8-2781-4BDF-8AA5-3904B8695E3A}" type="presOf" srcId="{6318CD4F-435C-479B-8D3A-CA96D04E9997}" destId="{E1BAF07B-614F-4967-A905-47488716BFF4}" srcOrd="0" destOrd="0" presId="urn:microsoft.com/office/officeart/2005/8/layout/process1"/>
    <dgm:cxn modelId="{1665BD5D-ED5A-444E-954D-B71ACA24B0F9}" type="presParOf" srcId="{33FFD636-DB83-44D8-B4CA-C50AC785D62E}" destId="{BC2F0B48-5F8B-4FB6-B313-88EA2C8D707D}" srcOrd="0" destOrd="0" presId="urn:microsoft.com/office/officeart/2005/8/layout/process1"/>
    <dgm:cxn modelId="{5B44DCD5-93D6-4D7A-AD9A-DFE39E7FE2A2}" type="presParOf" srcId="{33FFD636-DB83-44D8-B4CA-C50AC785D62E}" destId="{E1BAF07B-614F-4967-A905-47488716BFF4}" srcOrd="1" destOrd="0" presId="urn:microsoft.com/office/officeart/2005/8/layout/process1"/>
    <dgm:cxn modelId="{43C33469-87A0-4E31-A7D5-4084CA677B99}" type="presParOf" srcId="{E1BAF07B-614F-4967-A905-47488716BFF4}" destId="{6537D6DB-675B-490E-BD07-2F1EB6950F8F}" srcOrd="0" destOrd="0" presId="urn:microsoft.com/office/officeart/2005/8/layout/process1"/>
    <dgm:cxn modelId="{7AE3A880-9FB0-4E4D-9644-1C170D350278}"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151"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20"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D55C4983-2E98-41D3-8680-F5EB67C5057F}" type="presOf" srcId="{23C25427-FA36-43CB-ADC8-5BA2F1D6FDE2}" destId="{ED20286A-AD77-4135-ABCC-3FE943F27219}" srcOrd="1" destOrd="0" presId="urn:microsoft.com/office/officeart/2005/8/layout/process1"/>
    <dgm:cxn modelId="{1C0DA10B-D5E0-4369-AF4C-E4BA2E166BD2}" type="presOf" srcId="{5D17E1D5-716C-4848-8B0A-31CD69C2711A}" destId="{BE0EDFA5-649D-4947-B804-3FEF9396317E}" srcOrd="0" destOrd="0" presId="urn:microsoft.com/office/officeart/2005/8/layout/process1"/>
    <dgm:cxn modelId="{A0595037-8C4C-4543-B818-A61F664A480D}" type="presOf" srcId="{6D9277D2-1DFC-4E4B-B57E-59F97A0F78CD}" destId="{45E6A9EC-2D15-4F60-AF75-2C0026B61B8A}" srcOrd="0" destOrd="0" presId="urn:microsoft.com/office/officeart/2005/8/layout/process1"/>
    <dgm:cxn modelId="{7655AF4F-CDBC-4E12-8CA2-B5478E2A2272}" type="presOf" srcId="{A8550D8D-06B3-46F8-BE9B-80A19C43973C}" destId="{898C6A51-F838-45D7-B0B7-91928D1E0526}" srcOrd="0" destOrd="0" presId="urn:microsoft.com/office/officeart/2005/8/layout/process1"/>
    <dgm:cxn modelId="{562BF767-6391-4AE0-ABB7-608DEAD7F632}" srcId="{02E8BF92-4BCC-43DB-BD1B-BA1D96022B52}" destId="{A8550D8D-06B3-46F8-BE9B-80A19C43973C}" srcOrd="2" destOrd="0" parTransId="{9A708F27-890E-4B74-8022-59523C79B100}" sibTransId="{F4BD7995-8FAC-43E8-A831-341C94DEE687}"/>
    <dgm:cxn modelId="{BDFC4ADD-8010-4055-B559-8F08BE254DB8}" srcId="{02E8BF92-4BCC-43DB-BD1B-BA1D96022B52}" destId="{6D9277D2-1DFC-4E4B-B57E-59F97A0F78CD}" srcOrd="1" destOrd="0" parTransId="{FAB72E6F-B68F-4ADD-8CEE-49EE8916E5BE}" sibTransId="{CCC2129C-68DF-4B20-93E5-9586CFAD0546}"/>
    <dgm:cxn modelId="{E6AD7310-6DA4-43FA-8E64-F64A1E10045E}" type="presOf" srcId="{23C25427-FA36-43CB-ADC8-5BA2F1D6FDE2}" destId="{C35B2586-4908-45E7-B6EE-AB790F016076}" srcOrd="0"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00B37E3A-FBAE-4E47-B923-E518299E2327}" type="presOf" srcId="{02E8BF92-4BCC-43DB-BD1B-BA1D96022B52}" destId="{7F199B5C-EC02-4464-B48C-2608A6F93DC1}" srcOrd="0" destOrd="0" presId="urn:microsoft.com/office/officeart/2005/8/layout/process1"/>
    <dgm:cxn modelId="{74F8DA2A-2F57-4005-8470-6DD4B0D8D171}" type="presOf" srcId="{CCC2129C-68DF-4B20-93E5-9586CFAD0546}" destId="{2302C603-BAC2-432E-9FE9-DC7A7E2CA7D6}" srcOrd="0" destOrd="0" presId="urn:microsoft.com/office/officeart/2005/8/layout/process1"/>
    <dgm:cxn modelId="{74249131-4B34-465B-8E01-5B88816BC872}" type="presOf" srcId="{CCC2129C-68DF-4B20-93E5-9586CFAD0546}" destId="{B0C76E19-B13E-4F10-B52A-10D9C7653C50}" srcOrd="1" destOrd="0" presId="urn:microsoft.com/office/officeart/2005/8/layout/process1"/>
    <dgm:cxn modelId="{6B0C6532-472E-44FA-ACE0-25C7A8253CA8}" type="presParOf" srcId="{7F199B5C-EC02-4464-B48C-2608A6F93DC1}" destId="{BE0EDFA5-649D-4947-B804-3FEF9396317E}" srcOrd="0" destOrd="0" presId="urn:microsoft.com/office/officeart/2005/8/layout/process1"/>
    <dgm:cxn modelId="{3102D15A-B830-49F0-8D0C-519849ACA261}" type="presParOf" srcId="{7F199B5C-EC02-4464-B48C-2608A6F93DC1}" destId="{C35B2586-4908-45E7-B6EE-AB790F016076}" srcOrd="1" destOrd="0" presId="urn:microsoft.com/office/officeart/2005/8/layout/process1"/>
    <dgm:cxn modelId="{3ECE9352-28EE-4208-AC76-DCE06A7D3B50}" type="presParOf" srcId="{C35B2586-4908-45E7-B6EE-AB790F016076}" destId="{ED20286A-AD77-4135-ABCC-3FE943F27219}" srcOrd="0" destOrd="0" presId="urn:microsoft.com/office/officeart/2005/8/layout/process1"/>
    <dgm:cxn modelId="{2EFCB4DD-73C7-4669-A1D9-ECC4161DA676}" type="presParOf" srcId="{7F199B5C-EC02-4464-B48C-2608A6F93DC1}" destId="{45E6A9EC-2D15-4F60-AF75-2C0026B61B8A}" srcOrd="2" destOrd="0" presId="urn:microsoft.com/office/officeart/2005/8/layout/process1"/>
    <dgm:cxn modelId="{62F35809-4FD4-4AA6-AC21-7BFF6B2F6FBB}" type="presParOf" srcId="{7F199B5C-EC02-4464-B48C-2608A6F93DC1}" destId="{2302C603-BAC2-432E-9FE9-DC7A7E2CA7D6}" srcOrd="3" destOrd="0" presId="urn:microsoft.com/office/officeart/2005/8/layout/process1"/>
    <dgm:cxn modelId="{B28FE990-C7C1-4C2C-A702-3F3B8298DDB6}" type="presParOf" srcId="{2302C603-BAC2-432E-9FE9-DC7A7E2CA7D6}" destId="{B0C76E19-B13E-4F10-B52A-10D9C7653C50}" srcOrd="0" destOrd="0" presId="urn:microsoft.com/office/officeart/2005/8/layout/process1"/>
    <dgm:cxn modelId="{AF20FC3C-53B8-46AC-9E06-13B1852DEFBE}"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156"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21"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endParaRPr lang="sk-SK"/>
        </a:p>
      </dgm:t>
    </dgm:pt>
    <dgm:pt modelId="{AAFDBC7D-670A-463F-8285-9D5FCFC2F8FE}" type="sibTrans" cxnId="{41C314B8-F058-4EAF-A2CC-84269241E2EC}">
      <dgm:prSet/>
      <dgm:spPr/>
      <dgm:t>
        <a:bodyPr/>
        <a:lstStyle/>
        <a:p>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endParaRPr lang="sk-SK"/>
        </a:p>
      </dgm:t>
    </dgm:pt>
    <dgm:pt modelId="{0C364FF1-29E3-4F40-AB82-86C4A0A8C6F5}" type="sibTrans" cxnId="{49FFCB19-D8DB-4C58-ABCC-643EDE5F2BB8}">
      <dgm:prSet/>
      <dgm:spPr/>
      <dgm:t>
        <a:bodyPr/>
        <a:lstStyle/>
        <a:p>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gm:t>
    </dgm:pt>
    <dgm:pt modelId="{1B2C1FF9-B19F-4970-83E7-3082E1C7DA30}" type="parTrans" cxnId="{06C3C58F-EEF9-47D5-96FD-A241A7A352CF}">
      <dgm:prSet/>
      <dgm:spPr/>
      <dgm:t>
        <a:bodyPr/>
        <a:lstStyle/>
        <a:p>
          <a:endParaRPr lang="sk-SK"/>
        </a:p>
      </dgm:t>
    </dgm:pt>
    <dgm:pt modelId="{22B78418-7454-4959-9841-36DF334BAD0F}" type="sibTrans" cxnId="{06C3C58F-EEF9-47D5-96FD-A241A7A352CF}">
      <dgm:prSet/>
      <dgm:spPr/>
      <dgm:t>
        <a:bodyPr/>
        <a:lstStyle/>
        <a:p>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endParaRPr lang="sk-SK"/>
        </a:p>
      </dgm:t>
    </dgm:pt>
    <dgm:pt modelId="{0024234A-BE40-4C70-B9E0-97E84142571E}" type="sibTrans" cxnId="{BF887CF6-3CCC-48E7-91E5-3CBA13743FE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2"/>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2"/>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2"/>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2"/>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2"/>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2"/>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2"/>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2"/>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2"/>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2"/>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2"/>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2"/>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4765850F-CAD5-4F92-B054-5ABDAA69702C}" type="presOf" srcId="{58339698-9B34-4B1C-B6CB-9D85BBB8DC88}" destId="{3C24602F-739A-4A41-83C2-FD4DDB649A43}" srcOrd="1" destOrd="0" presId="urn:microsoft.com/office/officeart/2005/8/layout/hierarchy5"/>
    <dgm:cxn modelId="{41C314B8-F058-4EAF-A2CC-84269241E2EC}" srcId="{E4CF8B7B-BAAD-4BC9-B0E9-1197BD4E21A3}" destId="{819E9790-B9B0-4E20-8599-4613BC08C63B}" srcOrd="0" destOrd="0" parTransId="{080CE536-5278-49DC-B051-41A13C01F847}" sibTransId="{AAFDBC7D-670A-463F-8285-9D5FCFC2F8FE}"/>
    <dgm:cxn modelId="{3588ADA3-2606-47F2-B838-B51D83987E83}" type="presOf" srcId="{B3AD6999-6D2F-4CE8-8F43-1ACF42844D03}" destId="{25B94E88-5678-49B1-B1AF-6259629B977E}" srcOrd="1" destOrd="0" presId="urn:microsoft.com/office/officeart/2005/8/layout/hierarchy5"/>
    <dgm:cxn modelId="{C05CDC0C-9F97-44FC-B341-9CAFD98EDD50}" type="presOf" srcId="{E4CF8B7B-BAAD-4BC9-B0E9-1197BD4E21A3}" destId="{FFD1E179-1C02-475B-B1C9-1F84DD5B0B53}" srcOrd="0" destOrd="0" presId="urn:microsoft.com/office/officeart/2005/8/layout/hierarchy5"/>
    <dgm:cxn modelId="{3AEE66D2-5891-4F53-9734-7E809F472F8C}" type="presOf" srcId="{86971321-9FA5-4497-B0DF-6AFC6919DEC9}" destId="{CE6F9805-CD42-4066-8BC6-1A5DA7E148DC}" srcOrd="1" destOrd="0" presId="urn:microsoft.com/office/officeart/2005/8/layout/hierarchy5"/>
    <dgm:cxn modelId="{E613F2D0-53DC-4CD9-8D73-34BD1B0FC0A5}" type="presOf" srcId="{E4A011C3-E9A3-4404-8885-30407BFE4F87}" destId="{22F108C5-1AD4-4959-BB9A-653877F4F9BA}" srcOrd="0" destOrd="0" presId="urn:microsoft.com/office/officeart/2005/8/layout/hierarchy5"/>
    <dgm:cxn modelId="{CA4B8FAD-7E30-4CC4-B18A-509B64008D12}" type="presOf" srcId="{3B03ADFE-6244-4F26-B1E0-EBD9DD7B0454}" destId="{6DFC72CE-1E05-4B24-9436-C256157B293D}" srcOrd="0" destOrd="0" presId="urn:microsoft.com/office/officeart/2005/8/layout/hierarchy5"/>
    <dgm:cxn modelId="{9129C538-DFA2-4C55-BD4F-BA26A78A32B1}" type="presOf" srcId="{0C1CE4C0-E185-4341-A761-36A6036C0F15}" destId="{2EC89471-AB93-42C0-9C06-16FFECEB3B3E}" srcOrd="0" destOrd="0" presId="urn:microsoft.com/office/officeart/2005/8/layout/hierarchy5"/>
    <dgm:cxn modelId="{01D24771-1A10-479F-B338-5BB6C4EF7B98}" type="presOf" srcId="{58339698-9B34-4B1C-B6CB-9D85BBB8DC88}" destId="{42333FC6-BB87-490A-A3A4-667559264987}"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E5BA8231-FBC8-48B2-BFDE-033A5A13A094}" srcId="{3B03ADFE-6244-4F26-B1E0-EBD9DD7B0454}" destId="{6B756D5B-F6CE-4139-A80A-50ED57EBAB5D}" srcOrd="0" destOrd="0" parTransId="{B3AD6999-6D2F-4CE8-8F43-1ACF42844D03}" sibTransId="{E21D1587-F30A-4702-B071-B6AC0EDDD235}"/>
    <dgm:cxn modelId="{6DC579C0-9953-457E-9B41-FA831939AC63}" type="presOf" srcId="{0C1CE4C0-E185-4341-A761-36A6036C0F15}" destId="{976DF92B-139A-4935-BC78-46761D9D6906}" srcOrd="1" destOrd="0" presId="urn:microsoft.com/office/officeart/2005/8/layout/hierarchy5"/>
    <dgm:cxn modelId="{2E5317A7-DC2C-4B80-B674-95355E371588}" type="presOf" srcId="{DE0F5B3D-96C3-4C19-BC2E-9E831BD33581}" destId="{E5221418-266B-45AC-8670-4339EA026590}" srcOrd="0" destOrd="0" presId="urn:microsoft.com/office/officeart/2005/8/layout/hierarchy5"/>
    <dgm:cxn modelId="{CFFA9DBE-630E-46DA-B788-22110FF1B221}" type="presOf" srcId="{E4A011C3-E9A3-4404-8885-30407BFE4F87}" destId="{09ADB426-4675-4602-A171-7BCF1FEFF7FE}" srcOrd="1" destOrd="0" presId="urn:microsoft.com/office/officeart/2005/8/layout/hierarchy5"/>
    <dgm:cxn modelId="{1D81DF9F-CCD0-4578-B7CF-6397FF285077}" type="presOf" srcId="{6B756D5B-F6CE-4139-A80A-50ED57EBAB5D}" destId="{CBB74F52-46D1-4A57-9467-63B04889449A}" srcOrd="0" destOrd="0" presId="urn:microsoft.com/office/officeart/2005/8/layout/hierarchy5"/>
    <dgm:cxn modelId="{06C3C58F-EEF9-47D5-96FD-A241A7A352CF}" srcId="{E4CF8B7B-BAAD-4BC9-B0E9-1197BD4E21A3}" destId="{E4A011C3-E9A3-4404-8885-30407BFE4F87}" srcOrd="2" destOrd="0" parTransId="{1B2C1FF9-B19F-4970-83E7-3082E1C7DA30}" sibTransId="{22B78418-7454-4959-9841-36DF334BAD0F}"/>
    <dgm:cxn modelId="{F01E5153-2D64-4FA1-BF7B-E8B2178345C5}" type="presOf" srcId="{ACDDA0CF-969B-42D1-8CCD-5B4B015D2625}" destId="{77D67C4C-5D7C-4BD5-95E4-FD879A7B8A0E}" srcOrd="0" destOrd="0" presId="urn:microsoft.com/office/officeart/2005/8/layout/hierarchy5"/>
    <dgm:cxn modelId="{26606BBD-FD0C-4F14-9D3E-F687A6B6C88C}" type="presOf" srcId="{213FCE09-FA7E-4202-819F-971D08978DEA}" destId="{B532B90A-11FB-4447-AF5A-1B8BA28AB80F}" srcOrd="0" destOrd="0" presId="urn:microsoft.com/office/officeart/2005/8/layout/hierarchy5"/>
    <dgm:cxn modelId="{529167DF-6605-44F6-926F-748EECDB59CA}" type="presOf" srcId="{DE0F5B3D-96C3-4C19-BC2E-9E831BD33581}" destId="{27EC8BF3-2791-4300-8F42-6BF6D94A9F8E}" srcOrd="1"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EDE433FF-8436-439E-9049-F27226577723}" srcId="{FB6F5BA1-6705-4826-B996-0A8368815D6C}" destId="{213FCE09-FA7E-4202-819F-971D08978DEA}" srcOrd="0" destOrd="0" parTransId="{86971321-9FA5-4497-B0DF-6AFC6919DEC9}" sibTransId="{0DD38988-35DE-4960-B6F2-061DB7AED9F8}"/>
    <dgm:cxn modelId="{40C368A1-D379-4FE7-8787-31B3108A8D62}" type="presOf" srcId="{86971321-9FA5-4497-B0DF-6AFC6919DEC9}" destId="{00605370-0F04-4F12-BF9D-D757366801F9}" srcOrd="0" destOrd="0" presId="urn:microsoft.com/office/officeart/2005/8/layout/hierarchy5"/>
    <dgm:cxn modelId="{CEB24174-06D7-4EBB-A9DD-75ED26F587D2}" type="presOf" srcId="{819E9790-B9B0-4E20-8599-4613BC08C63B}" destId="{0D31CD98-29FF-4224-A29E-10C285D51CA6}" srcOrd="0"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28D8E3B8-E8D7-4607-A029-F3BA36A42F16}" type="presOf" srcId="{FB6F5BA1-6705-4826-B996-0A8368815D6C}" destId="{1E51B4D9-F719-493C-B222-3DEA320BAF8A}" srcOrd="0" destOrd="0" presId="urn:microsoft.com/office/officeart/2005/8/layout/hierarchy5"/>
    <dgm:cxn modelId="{F0600CF9-B3FA-46B2-9D70-C56775630CF8}" srcId="{819E9790-B9B0-4E20-8599-4613BC08C63B}" destId="{3B03ADFE-6244-4F26-B1E0-EBD9DD7B0454}" srcOrd="1" destOrd="0" parTransId="{ACDDA0CF-969B-42D1-8CCD-5B4B015D2625}" sibTransId="{5925484D-09E9-4888-B79D-74BFD58C7ADA}"/>
    <dgm:cxn modelId="{07B1555B-57F4-4725-9D56-B1FA3B656DF2}" type="presOf" srcId="{ACDDA0CF-969B-42D1-8CCD-5B4B015D2625}" destId="{57449D9D-C9DD-43EB-89AB-2C4FD0E3F68B}" srcOrd="1" destOrd="0" presId="urn:microsoft.com/office/officeart/2005/8/layout/hierarchy5"/>
    <dgm:cxn modelId="{EB557AFB-03DF-425D-A1A2-B395F8375C23}" type="presOf" srcId="{B3AD6999-6D2F-4CE8-8F43-1ACF42844D03}" destId="{420C5760-F6D4-4E33-9E92-CC5FC2347AA4}" srcOrd="0" destOrd="0" presId="urn:microsoft.com/office/officeart/2005/8/layout/hierarchy5"/>
    <dgm:cxn modelId="{561AAABA-A28F-43D5-8F42-315B1C6094E9}" type="presParOf" srcId="{FFD1E179-1C02-475B-B1C9-1F84DD5B0B53}" destId="{829D0807-3902-4F3F-B66C-8556A3299D2F}" srcOrd="0" destOrd="0" presId="urn:microsoft.com/office/officeart/2005/8/layout/hierarchy5"/>
    <dgm:cxn modelId="{6B2C023C-410D-4061-857D-BF2417A6E506}" type="presParOf" srcId="{829D0807-3902-4F3F-B66C-8556A3299D2F}" destId="{68A33365-3A9F-4D24-8D00-6ED510526340}" srcOrd="0" destOrd="0" presId="urn:microsoft.com/office/officeart/2005/8/layout/hierarchy5"/>
    <dgm:cxn modelId="{C8B0D781-6338-4A4F-87BD-061DC01422D9}" type="presParOf" srcId="{829D0807-3902-4F3F-B66C-8556A3299D2F}" destId="{EE38AF92-E425-4C92-8325-4239B3B392E0}" srcOrd="1" destOrd="0" presId="urn:microsoft.com/office/officeart/2005/8/layout/hierarchy5"/>
    <dgm:cxn modelId="{5C986FEB-21C0-4D0B-9955-49E4718E5D99}" type="presParOf" srcId="{EE38AF92-E425-4C92-8325-4239B3B392E0}" destId="{A2768B73-5292-4E00-BD92-BD8FC8A53BBB}" srcOrd="0" destOrd="0" presId="urn:microsoft.com/office/officeart/2005/8/layout/hierarchy5"/>
    <dgm:cxn modelId="{EC306E4D-F1CC-4B3B-BDED-B0FF2EAECE18}" type="presParOf" srcId="{A2768B73-5292-4E00-BD92-BD8FC8A53BBB}" destId="{0D31CD98-29FF-4224-A29E-10C285D51CA6}" srcOrd="0" destOrd="0" presId="urn:microsoft.com/office/officeart/2005/8/layout/hierarchy5"/>
    <dgm:cxn modelId="{9EA7BBCF-C49E-4367-A93F-82CBB6C6F0D7}" type="presParOf" srcId="{A2768B73-5292-4E00-BD92-BD8FC8A53BBB}" destId="{2BE3835A-8206-430A-85D9-FAD9488B04F6}" srcOrd="1" destOrd="0" presId="urn:microsoft.com/office/officeart/2005/8/layout/hierarchy5"/>
    <dgm:cxn modelId="{4DECC6FC-1DCB-4AEA-8BFB-4A74EFFDF60B}" type="presParOf" srcId="{2BE3835A-8206-430A-85D9-FAD9488B04F6}" destId="{E5221418-266B-45AC-8670-4339EA026590}" srcOrd="0" destOrd="0" presId="urn:microsoft.com/office/officeart/2005/8/layout/hierarchy5"/>
    <dgm:cxn modelId="{A318BBBD-6630-45D6-B123-F3306CE82A5E}" type="presParOf" srcId="{E5221418-266B-45AC-8670-4339EA026590}" destId="{27EC8BF3-2791-4300-8F42-6BF6D94A9F8E}" srcOrd="0" destOrd="0" presId="urn:microsoft.com/office/officeart/2005/8/layout/hierarchy5"/>
    <dgm:cxn modelId="{11DE2CB1-42D3-4835-903B-33C71FE4E3CF}" type="presParOf" srcId="{2BE3835A-8206-430A-85D9-FAD9488B04F6}" destId="{95B78803-1A45-4A75-AEF9-E108492F88DB}" srcOrd="1" destOrd="0" presId="urn:microsoft.com/office/officeart/2005/8/layout/hierarchy5"/>
    <dgm:cxn modelId="{C878FC9F-6FB9-496C-9591-BC38951DF5FC}" type="presParOf" srcId="{95B78803-1A45-4A75-AEF9-E108492F88DB}" destId="{1E51B4D9-F719-493C-B222-3DEA320BAF8A}" srcOrd="0" destOrd="0" presId="urn:microsoft.com/office/officeart/2005/8/layout/hierarchy5"/>
    <dgm:cxn modelId="{037E560C-A1C6-496D-A03C-5D68F98AD5FF}" type="presParOf" srcId="{95B78803-1A45-4A75-AEF9-E108492F88DB}" destId="{CE4B4A94-0A6B-4E0B-8BE4-C67700DFF264}" srcOrd="1" destOrd="0" presId="urn:microsoft.com/office/officeart/2005/8/layout/hierarchy5"/>
    <dgm:cxn modelId="{4326922F-DE43-437F-9317-D798EF0C73C9}" type="presParOf" srcId="{CE4B4A94-0A6B-4E0B-8BE4-C67700DFF264}" destId="{00605370-0F04-4F12-BF9D-D757366801F9}" srcOrd="0" destOrd="0" presId="urn:microsoft.com/office/officeart/2005/8/layout/hierarchy5"/>
    <dgm:cxn modelId="{49867736-A64B-48D0-BFD7-07C4FBD7A702}" type="presParOf" srcId="{00605370-0F04-4F12-BF9D-D757366801F9}" destId="{CE6F9805-CD42-4066-8BC6-1A5DA7E148DC}" srcOrd="0" destOrd="0" presId="urn:microsoft.com/office/officeart/2005/8/layout/hierarchy5"/>
    <dgm:cxn modelId="{7A8DA155-B9F3-4702-8DD6-FDC5522120E3}" type="presParOf" srcId="{CE4B4A94-0A6B-4E0B-8BE4-C67700DFF264}" destId="{4DFDF8C0-510C-411E-85F9-F5F736BC5D15}" srcOrd="1" destOrd="0" presId="urn:microsoft.com/office/officeart/2005/8/layout/hierarchy5"/>
    <dgm:cxn modelId="{7C1DCE94-B02E-4F64-8465-E48FAA3DF752}" type="presParOf" srcId="{4DFDF8C0-510C-411E-85F9-F5F736BC5D15}" destId="{B532B90A-11FB-4447-AF5A-1B8BA28AB80F}" srcOrd="0" destOrd="0" presId="urn:microsoft.com/office/officeart/2005/8/layout/hierarchy5"/>
    <dgm:cxn modelId="{53D61834-10CF-435E-B79F-178DE2213EDA}" type="presParOf" srcId="{4DFDF8C0-510C-411E-85F9-F5F736BC5D15}" destId="{7A5AF608-2689-4140-8FF8-C0577E2B8C6D}" srcOrd="1" destOrd="0" presId="urn:microsoft.com/office/officeart/2005/8/layout/hierarchy5"/>
    <dgm:cxn modelId="{08B9F6AE-CE8A-4DAF-B368-18835BB2CCDE}" type="presParOf" srcId="{2BE3835A-8206-430A-85D9-FAD9488B04F6}" destId="{77D67C4C-5D7C-4BD5-95E4-FD879A7B8A0E}" srcOrd="2" destOrd="0" presId="urn:microsoft.com/office/officeart/2005/8/layout/hierarchy5"/>
    <dgm:cxn modelId="{F8D4B086-E462-4DF2-AE58-126A7C907CD9}" type="presParOf" srcId="{77D67C4C-5D7C-4BD5-95E4-FD879A7B8A0E}" destId="{57449D9D-C9DD-43EB-89AB-2C4FD0E3F68B}" srcOrd="0" destOrd="0" presId="urn:microsoft.com/office/officeart/2005/8/layout/hierarchy5"/>
    <dgm:cxn modelId="{0A6FBD64-FF33-4148-AB03-1B2AC510B1F5}" type="presParOf" srcId="{2BE3835A-8206-430A-85D9-FAD9488B04F6}" destId="{C83EE591-D75A-4DB6-861E-BC2175B01F35}" srcOrd="3" destOrd="0" presId="urn:microsoft.com/office/officeart/2005/8/layout/hierarchy5"/>
    <dgm:cxn modelId="{99EC8609-A3A3-462C-B5F9-4C6A03CF5E12}" type="presParOf" srcId="{C83EE591-D75A-4DB6-861E-BC2175B01F35}" destId="{6DFC72CE-1E05-4B24-9436-C256157B293D}" srcOrd="0" destOrd="0" presId="urn:microsoft.com/office/officeart/2005/8/layout/hierarchy5"/>
    <dgm:cxn modelId="{4EF81C79-3182-4C24-8020-45BB787361E4}" type="presParOf" srcId="{C83EE591-D75A-4DB6-861E-BC2175B01F35}" destId="{29143D13-11E3-4D6E-A4EE-B6C70B6946CD}" srcOrd="1" destOrd="0" presId="urn:microsoft.com/office/officeart/2005/8/layout/hierarchy5"/>
    <dgm:cxn modelId="{B12428D1-892F-42FD-8D99-A1FC2A88E5F3}" type="presParOf" srcId="{29143D13-11E3-4D6E-A4EE-B6C70B6946CD}" destId="{420C5760-F6D4-4E33-9E92-CC5FC2347AA4}" srcOrd="0" destOrd="0" presId="urn:microsoft.com/office/officeart/2005/8/layout/hierarchy5"/>
    <dgm:cxn modelId="{1F5E151D-63DE-4F18-A1CF-62A966AEC5AD}" type="presParOf" srcId="{420C5760-F6D4-4E33-9E92-CC5FC2347AA4}" destId="{25B94E88-5678-49B1-B1AF-6259629B977E}" srcOrd="0" destOrd="0" presId="urn:microsoft.com/office/officeart/2005/8/layout/hierarchy5"/>
    <dgm:cxn modelId="{3F423B00-000E-4581-8AA4-1CBA70A406E2}" type="presParOf" srcId="{29143D13-11E3-4D6E-A4EE-B6C70B6946CD}" destId="{F3EED942-85FC-475D-B81A-4D8444AB37DD}" srcOrd="1" destOrd="0" presId="urn:microsoft.com/office/officeart/2005/8/layout/hierarchy5"/>
    <dgm:cxn modelId="{B6063650-D0D6-48D2-8054-3A862DA8AF6D}" type="presParOf" srcId="{F3EED942-85FC-475D-B81A-4D8444AB37DD}" destId="{CBB74F52-46D1-4A57-9467-63B04889449A}" srcOrd="0" destOrd="0" presId="urn:microsoft.com/office/officeart/2005/8/layout/hierarchy5"/>
    <dgm:cxn modelId="{53A0D412-3A74-49C2-A48D-758BDB94B189}" type="presParOf" srcId="{F3EED942-85FC-475D-B81A-4D8444AB37DD}" destId="{000B29D7-E7D2-4932-9513-357CC248786E}" srcOrd="1" destOrd="0" presId="urn:microsoft.com/office/officeart/2005/8/layout/hierarchy5"/>
    <dgm:cxn modelId="{B677FA7B-4117-467F-B11A-1CC1C043F2C6}" type="presParOf" srcId="{FFD1E179-1C02-475B-B1C9-1F84DD5B0B53}" destId="{8437D2B0-06CE-4657-AEA7-9425E128DFE3}" srcOrd="1" destOrd="0" presId="urn:microsoft.com/office/officeart/2005/8/layout/hierarchy5"/>
    <dgm:cxn modelId="{71AC3EA0-E11B-4B40-858A-6A9B04C13890}" type="presParOf" srcId="{8437D2B0-06CE-4657-AEA7-9425E128DFE3}" destId="{7BD12BC2-CC31-4CA6-B968-86443A351B93}" srcOrd="0" destOrd="0" presId="urn:microsoft.com/office/officeart/2005/8/layout/hierarchy5"/>
    <dgm:cxn modelId="{47212C8E-7770-46C6-97DA-A20070001B29}" type="presParOf" srcId="{7BD12BC2-CC31-4CA6-B968-86443A351B93}" destId="{42333FC6-BB87-490A-A3A4-667559264987}" srcOrd="0" destOrd="0" presId="urn:microsoft.com/office/officeart/2005/8/layout/hierarchy5"/>
    <dgm:cxn modelId="{A8D5A462-71EE-44F7-915B-268EB81C2C5B}" type="presParOf" srcId="{7BD12BC2-CC31-4CA6-B968-86443A351B93}" destId="{3C24602F-739A-4A41-83C2-FD4DDB649A43}" srcOrd="1" destOrd="0" presId="urn:microsoft.com/office/officeart/2005/8/layout/hierarchy5"/>
    <dgm:cxn modelId="{B7B13392-9382-4866-8056-6E947B14D2F5}" type="presParOf" srcId="{8437D2B0-06CE-4657-AEA7-9425E128DFE3}" destId="{1454292B-BC22-45E1-A956-E7FB9AC1DA3D}" srcOrd="1" destOrd="0" presId="urn:microsoft.com/office/officeart/2005/8/layout/hierarchy5"/>
    <dgm:cxn modelId="{9CAFA412-9537-4D11-B835-46EDA8233D30}" type="presParOf" srcId="{1454292B-BC22-45E1-A956-E7FB9AC1DA3D}" destId="{B0F40B4D-3E29-4029-8C51-55A0A363D08F}" srcOrd="0" destOrd="0" presId="urn:microsoft.com/office/officeart/2005/8/layout/hierarchy5"/>
    <dgm:cxn modelId="{2E8C9B72-E2FB-4BE6-90D2-32A20F1AB15A}" type="presParOf" srcId="{8437D2B0-06CE-4657-AEA7-9425E128DFE3}" destId="{A344D1AA-D199-4B36-AFCB-B3F6F1CFEE87}" srcOrd="2" destOrd="0" presId="urn:microsoft.com/office/officeart/2005/8/layout/hierarchy5"/>
    <dgm:cxn modelId="{A08E358F-69E8-40C9-88D8-FC43DD0E94FF}" type="presParOf" srcId="{A344D1AA-D199-4B36-AFCB-B3F6F1CFEE87}" destId="{22F108C5-1AD4-4959-BB9A-653877F4F9BA}" srcOrd="0" destOrd="0" presId="urn:microsoft.com/office/officeart/2005/8/layout/hierarchy5"/>
    <dgm:cxn modelId="{E724B515-0B29-4AD4-9E2B-902F1F79E43E}" type="presParOf" srcId="{A344D1AA-D199-4B36-AFCB-B3F6F1CFEE87}" destId="{09ADB426-4675-4602-A171-7BCF1FEFF7FE}" srcOrd="1" destOrd="0" presId="urn:microsoft.com/office/officeart/2005/8/layout/hierarchy5"/>
    <dgm:cxn modelId="{5307985E-07EC-42FE-AF06-4440B690993A}" type="presParOf" srcId="{8437D2B0-06CE-4657-AEA7-9425E128DFE3}" destId="{0F2A277D-FE31-4837-8988-6A7B3676B425}" srcOrd="3" destOrd="0" presId="urn:microsoft.com/office/officeart/2005/8/layout/hierarchy5"/>
    <dgm:cxn modelId="{F0195AE7-46CF-4202-B9CB-2ED889657656}" type="presParOf" srcId="{0F2A277D-FE31-4837-8988-6A7B3676B425}" destId="{39E3D758-4115-4417-95D9-AB4D5DA7CA48}" srcOrd="0" destOrd="0" presId="urn:microsoft.com/office/officeart/2005/8/layout/hierarchy5"/>
    <dgm:cxn modelId="{6B219E12-F0A2-4AB4-8990-A598DCA19587}" type="presParOf" srcId="{8437D2B0-06CE-4657-AEA7-9425E128DFE3}" destId="{84F6BAD5-6BD5-4B58-AC05-4E046CFEC0BC}" srcOrd="4" destOrd="0" presId="urn:microsoft.com/office/officeart/2005/8/layout/hierarchy5"/>
    <dgm:cxn modelId="{E12E934F-05FE-49EC-A3A0-3554D3A417AF}" type="presParOf" srcId="{84F6BAD5-6BD5-4B58-AC05-4E046CFEC0BC}" destId="{2EC89471-AB93-42C0-9C06-16FFECEB3B3E}" srcOrd="0" destOrd="0" presId="urn:microsoft.com/office/officeart/2005/8/layout/hierarchy5"/>
    <dgm:cxn modelId="{B3B3EDA8-C3B3-45F0-B23E-8F41993C2458}"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161"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2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Zastavenie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Začatie konania</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67847756-C277-4C00-BD3D-AD0CC51AB3E3}" type="presOf" srcId="{4EC804CC-9FE3-404B-910B-189DFE13A6D3}" destId="{7E8E03CF-62C8-43C0-9317-AE19A41F8847}" srcOrd="0" destOrd="0" presId="urn:microsoft.com/office/officeart/2005/8/layout/hierarchy5"/>
    <dgm:cxn modelId="{AA21A2A1-2E8F-4554-9CD1-5236EB066DBA}" type="presOf" srcId="{74BA75BF-0177-4FDB-B78E-90BB47E580F4}" destId="{88CB7554-D6B3-4131-A390-44B15EDD0977}" srcOrd="0" destOrd="0" presId="urn:microsoft.com/office/officeart/2005/8/layout/hierarchy5"/>
    <dgm:cxn modelId="{168B11C3-AA38-444D-B376-F86D9CECD082}" type="presOf" srcId="{CC4E2AD5-84EC-450B-9A95-593056BCB906}" destId="{B7BABC7C-586C-4226-99DD-711516406030}" srcOrd="0" destOrd="0" presId="urn:microsoft.com/office/officeart/2005/8/layout/hierarchy5"/>
    <dgm:cxn modelId="{7D75574B-1587-4DAD-B071-FD9F5B6C5378}" type="presOf" srcId="{2AB4E0D8-C0D8-46AA-800B-C4CBC74A76BE}" destId="{989588F2-6412-4B20-A6F0-1BA3822FD76B}" srcOrd="1" destOrd="0" presId="urn:microsoft.com/office/officeart/2005/8/layout/hierarchy5"/>
    <dgm:cxn modelId="{1F2A68E8-DF59-4F1F-8EF8-CC628A2B2850}" type="presOf" srcId="{6BE68E5D-C8C2-4819-B518-4F7ADE6181D0}" destId="{32FB7F9A-62B7-4940-9008-9918D9FE922E}" srcOrd="0" destOrd="0" presId="urn:microsoft.com/office/officeart/2005/8/layout/hierarchy5"/>
    <dgm:cxn modelId="{2E7C7D6E-3BB2-40A9-8F8B-5BCD7AB68C58}" type="presOf" srcId="{EC5905AD-E0CB-4668-BC9B-B630C1F72FE1}" destId="{EA03E1D1-53F1-4F10-BF8C-EBE63A73C9D2}" srcOrd="0" destOrd="0" presId="urn:microsoft.com/office/officeart/2005/8/layout/hierarchy5"/>
    <dgm:cxn modelId="{071A3FDA-6675-4D12-9F77-29477ECC5E06}" type="presOf" srcId="{2AB4E0D8-C0D8-46AA-800B-C4CBC74A76BE}" destId="{31F82807-4254-4B36-A981-28D631594415}"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1A1D5DDC-3C57-4216-B871-CD4DC297A650}" srcId="{CC4E2AD5-84EC-450B-9A95-593056BCB906}" destId="{6BE68E5D-C8C2-4819-B518-4F7ADE6181D0}" srcOrd="3" destOrd="0" parTransId="{D2BE62DF-2E04-483B-A2E7-A41FBCF354B8}" sibTransId="{57EDEFCB-EDC3-4C9A-B64E-AABEFEDE91CD}"/>
    <dgm:cxn modelId="{1257C952-E754-43FC-84C6-4FBD37B97972}" type="presOf" srcId="{F9D6C526-C0FD-4319-8876-023F8058C07D}" destId="{74203028-C6F5-4D41-9A16-58EFA7475944}" srcOrd="1" destOrd="0" presId="urn:microsoft.com/office/officeart/2005/8/layout/hierarchy5"/>
    <dgm:cxn modelId="{632421EF-E7C8-4B0E-8FB8-BF978F8DBC96}" type="presOf" srcId="{769F0801-8619-4E97-A786-799A21D536DF}" destId="{51F4DE41-4A80-4621-944B-B0474FCE2043}" srcOrd="1" destOrd="0" presId="urn:microsoft.com/office/officeart/2005/8/layout/hierarchy5"/>
    <dgm:cxn modelId="{99813F72-8563-4A52-A938-99285DE21B86}" type="presOf" srcId="{A1523E2B-4221-4C06-B525-83C1E97365E7}" destId="{8D38CDDF-D0AF-4342-9487-328C0D3F2678}" srcOrd="0" destOrd="0" presId="urn:microsoft.com/office/officeart/2005/8/layout/hierarchy5"/>
    <dgm:cxn modelId="{2A774E49-ABCC-4511-8A39-EDBF2B931096}" type="presOf" srcId="{A1523E2B-4221-4C06-B525-83C1E97365E7}" destId="{09E69E2A-9FC5-4A68-AC59-A6AC3EAFC577}" srcOrd="1" destOrd="0" presId="urn:microsoft.com/office/officeart/2005/8/layout/hierarchy5"/>
    <dgm:cxn modelId="{20365EE3-2602-45C0-8E5E-338813FA5DDB}" type="presOf" srcId="{9A01D2D3-7E16-4FF3-9512-00AD597285C8}" destId="{AB1736B8-64DD-4B32-99F2-9818227E0D7E}" srcOrd="0"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02BE2B30-E3B1-47C2-980A-3ADD8BDD68E0}" srcId="{9A01D2D3-7E16-4FF3-9512-00AD597285C8}" destId="{FBF7DDD0-472E-492F-864F-2CBC0070EDC2}" srcOrd="1" destOrd="0" parTransId="{A6FD6FC3-757A-4034-83F4-F5815AED78B5}" sibTransId="{B35675E3-E257-49A4-8012-3E42A649B38E}"/>
    <dgm:cxn modelId="{34351863-A39C-4A75-84FD-8CC7678DF220}" type="presOf" srcId="{A6FD6FC3-757A-4034-83F4-F5815AED78B5}" destId="{AD3E104C-AA9C-4F5B-87FE-AD740B3B762A}" srcOrd="0" destOrd="0" presId="urn:microsoft.com/office/officeart/2005/8/layout/hierarchy5"/>
    <dgm:cxn modelId="{91BD3806-C288-474A-8809-B7C1B2694F90}" type="presOf" srcId="{A6FD6FC3-757A-4034-83F4-F5815AED78B5}" destId="{106AE4E6-7E7C-4D71-B4B3-2483ECCAFB7C}" srcOrd="1" destOrd="0" presId="urn:microsoft.com/office/officeart/2005/8/layout/hierarchy5"/>
    <dgm:cxn modelId="{518ECFD1-53A3-404B-A7BB-60DEEE34711A}" type="presOf" srcId="{CE70E4B5-40F0-4EB7-B9DC-015CDA129FEC}" destId="{FE6DFA0A-F2A5-4BB3-BEA2-57CF7F9EBD50}" srcOrd="1" destOrd="0" presId="urn:microsoft.com/office/officeart/2005/8/layout/hierarchy5"/>
    <dgm:cxn modelId="{CAFDBBE5-3E03-4FE9-B2A7-BD4B720ABE48}" type="presOf" srcId="{EC5905AD-E0CB-4668-BC9B-B630C1F72FE1}" destId="{2D5EDB39-10B7-4B69-8E1B-3CD7481A67F9}" srcOrd="1" destOrd="0" presId="urn:microsoft.com/office/officeart/2005/8/layout/hierarchy5"/>
    <dgm:cxn modelId="{8DB15C36-C506-4D7B-8CDD-116AE303F51E}" type="presOf" srcId="{FBF7DDD0-472E-492F-864F-2CBC0070EDC2}" destId="{6123A899-1981-4811-B61B-F5B58EC34ADF}" srcOrd="0" destOrd="0" presId="urn:microsoft.com/office/officeart/2005/8/layout/hierarchy5"/>
    <dgm:cxn modelId="{A3661B2F-4A9A-4CE5-B11A-92CFFA3EB87E}" type="presOf" srcId="{CE70E4B5-40F0-4EB7-B9DC-015CDA129FEC}" destId="{61621494-2F79-48E9-A2F5-C3D01A086EBF}"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28156023-EE94-40D4-8964-21B8D5E7BAB5}" type="presOf" srcId="{769F0801-8619-4E97-A786-799A21D536DF}" destId="{0DBE3391-EB4B-499F-BF3D-FACE7211C1AA}" srcOrd="0" destOrd="0" presId="urn:microsoft.com/office/officeart/2005/8/layout/hierarchy5"/>
    <dgm:cxn modelId="{85C320B0-5505-489B-9EFE-9E7B4002C042}" type="presOf" srcId="{F9D6C526-C0FD-4319-8876-023F8058C07D}" destId="{69CB27F3-E3AB-45C0-BD01-F6B165856594}" srcOrd="0" destOrd="0" presId="urn:microsoft.com/office/officeart/2005/8/layout/hierarchy5"/>
    <dgm:cxn modelId="{CCB94DB0-F5AA-4EA4-B148-F0E6503B04C6}" srcId="{CC4E2AD5-84EC-450B-9A95-593056BCB906}" destId="{769F0801-8619-4E97-A786-799A21D536DF}" srcOrd="1" destOrd="0" parTransId="{7C38E460-CBE6-423F-9B94-0552026BA305}" sibTransId="{9B10D45E-BE64-4AAC-8B14-4E06BA8C7F00}"/>
    <dgm:cxn modelId="{33DB0BD0-744E-4C7F-B289-A8B4902F6EB1}" srcId="{CC4E2AD5-84EC-450B-9A95-593056BCB906}" destId="{F9D6C526-C0FD-4319-8876-023F8058C07D}" srcOrd="2" destOrd="0" parTransId="{2DCB4DA1-17B2-4E75-A6F7-0EB39ECEC00A}" sibTransId="{635A9CFC-DAC1-474B-A98F-26F3D2D5E6A0}"/>
    <dgm:cxn modelId="{406EECF3-9977-4ACC-BC7F-2F0F487E1753}" type="presOf" srcId="{6BE68E5D-C8C2-4819-B518-4F7ADE6181D0}" destId="{C57797D0-A426-4DAF-9E81-24C85E345C6E}" srcOrd="1"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833D1BAF-66AC-4D42-BFB4-17D6BA519EFC}" type="presOf" srcId="{68CC8FF0-BD30-4E33-871E-11CE731DD1D1}" destId="{397D37EC-7E71-424E-9526-502AC82B6044}" srcOrd="0" destOrd="0" presId="urn:microsoft.com/office/officeart/2005/8/layout/hierarchy5"/>
    <dgm:cxn modelId="{EB6EA0CA-BC5A-42AD-81C7-C451DF33973F}" srcId="{4EC804CC-9FE3-404B-910B-189DFE13A6D3}" destId="{68CC8FF0-BD30-4E33-871E-11CE731DD1D1}" srcOrd="0" destOrd="0" parTransId="{CE70E4B5-40F0-4EB7-B9DC-015CDA129FEC}" sibTransId="{36DB1308-AB5D-424E-8F4B-58F2B4CC1C53}"/>
    <dgm:cxn modelId="{13A4C934-7E19-4844-BF64-9A4B220DDAF2}" type="presOf" srcId="{0CC2321A-4AF9-4416-B029-9CE4D2658A71}" destId="{FABA2C1E-4207-482A-BFB4-23EED98FE964}" srcOrd="0" destOrd="0" presId="urn:microsoft.com/office/officeart/2005/8/layout/hierarchy5"/>
    <dgm:cxn modelId="{497A0EB3-BD2D-4641-833B-78B2CDFEC8D0}" type="presParOf" srcId="{B7BABC7C-586C-4226-99DD-711516406030}" destId="{C4665741-0FE5-4A80-8B06-49621A73186C}" srcOrd="0" destOrd="0" presId="urn:microsoft.com/office/officeart/2005/8/layout/hierarchy5"/>
    <dgm:cxn modelId="{9EEA8928-1415-4723-9451-BEB8F31EFB52}" type="presParOf" srcId="{C4665741-0FE5-4A80-8B06-49621A73186C}" destId="{0CA9C538-32D4-493D-BC89-C657D212141A}" srcOrd="0" destOrd="0" presId="urn:microsoft.com/office/officeart/2005/8/layout/hierarchy5"/>
    <dgm:cxn modelId="{04857D0C-9BA5-4061-8D0B-B2D82175F56C}" type="presParOf" srcId="{C4665741-0FE5-4A80-8B06-49621A73186C}" destId="{B94A66F2-A8AE-4484-AAB4-1ED692D9B096}" srcOrd="1" destOrd="0" presId="urn:microsoft.com/office/officeart/2005/8/layout/hierarchy5"/>
    <dgm:cxn modelId="{257645B5-81C2-4394-ABD8-B9E054367AC2}" type="presParOf" srcId="{B94A66F2-A8AE-4484-AAB4-1ED692D9B096}" destId="{4C66C3EF-5E03-434F-83B6-02623492B254}" srcOrd="0" destOrd="0" presId="urn:microsoft.com/office/officeart/2005/8/layout/hierarchy5"/>
    <dgm:cxn modelId="{2D4CCB4C-246C-43D2-88CC-E5BB7FAB2E39}" type="presParOf" srcId="{4C66C3EF-5E03-434F-83B6-02623492B254}" destId="{FABA2C1E-4207-482A-BFB4-23EED98FE964}" srcOrd="0" destOrd="0" presId="urn:microsoft.com/office/officeart/2005/8/layout/hierarchy5"/>
    <dgm:cxn modelId="{09DAB6D6-65A2-4049-9F61-E6DAF6848C06}" type="presParOf" srcId="{4C66C3EF-5E03-434F-83B6-02623492B254}" destId="{B27406FA-3F3C-409E-AC66-965A75497897}" srcOrd="1" destOrd="0" presId="urn:microsoft.com/office/officeart/2005/8/layout/hierarchy5"/>
    <dgm:cxn modelId="{7D6D7085-4211-4D17-A784-F27781C7DF36}" type="presParOf" srcId="{B27406FA-3F3C-409E-AC66-965A75497897}" destId="{8D38CDDF-D0AF-4342-9487-328C0D3F2678}" srcOrd="0" destOrd="0" presId="urn:microsoft.com/office/officeart/2005/8/layout/hierarchy5"/>
    <dgm:cxn modelId="{5B29EA6F-E075-4873-97EB-6BB6E9E0CC08}" type="presParOf" srcId="{8D38CDDF-D0AF-4342-9487-328C0D3F2678}" destId="{09E69E2A-9FC5-4A68-AC59-A6AC3EAFC577}" srcOrd="0" destOrd="0" presId="urn:microsoft.com/office/officeart/2005/8/layout/hierarchy5"/>
    <dgm:cxn modelId="{6DF8AAC0-712E-4627-B454-54DFCF22CD9A}" type="presParOf" srcId="{B27406FA-3F3C-409E-AC66-965A75497897}" destId="{19C7E2B7-2AE3-4C79-94D2-8EDDC166CA7F}" srcOrd="1" destOrd="0" presId="urn:microsoft.com/office/officeart/2005/8/layout/hierarchy5"/>
    <dgm:cxn modelId="{8439CDCC-8881-4FAB-8677-0722B035B311}" type="presParOf" srcId="{19C7E2B7-2AE3-4C79-94D2-8EDDC166CA7F}" destId="{AB1736B8-64DD-4B32-99F2-9818227E0D7E}" srcOrd="0" destOrd="0" presId="urn:microsoft.com/office/officeart/2005/8/layout/hierarchy5"/>
    <dgm:cxn modelId="{9B8DCD62-D504-4BF9-B355-9A3132D4186A}" type="presParOf" srcId="{19C7E2B7-2AE3-4C79-94D2-8EDDC166CA7F}" destId="{F84F487D-89AF-4DB3-BA5A-25E981F581F3}" srcOrd="1" destOrd="0" presId="urn:microsoft.com/office/officeart/2005/8/layout/hierarchy5"/>
    <dgm:cxn modelId="{C6F697EE-E54D-44B1-88E8-907B1FA3CA11}" type="presParOf" srcId="{F84F487D-89AF-4DB3-BA5A-25E981F581F3}" destId="{EA03E1D1-53F1-4F10-BF8C-EBE63A73C9D2}" srcOrd="0" destOrd="0" presId="urn:microsoft.com/office/officeart/2005/8/layout/hierarchy5"/>
    <dgm:cxn modelId="{D437A792-1182-44E9-9014-5A4C33FA7307}" type="presParOf" srcId="{EA03E1D1-53F1-4F10-BF8C-EBE63A73C9D2}" destId="{2D5EDB39-10B7-4B69-8E1B-3CD7481A67F9}" srcOrd="0" destOrd="0" presId="urn:microsoft.com/office/officeart/2005/8/layout/hierarchy5"/>
    <dgm:cxn modelId="{D30BCE3B-CD63-4376-A1F0-A1965A68ED59}" type="presParOf" srcId="{F84F487D-89AF-4DB3-BA5A-25E981F581F3}" destId="{41A76406-453B-4934-B118-1AA2212D190E}" srcOrd="1" destOrd="0" presId="urn:microsoft.com/office/officeart/2005/8/layout/hierarchy5"/>
    <dgm:cxn modelId="{07D04863-3FBB-4749-854D-F6A69459ACDD}" type="presParOf" srcId="{41A76406-453B-4934-B118-1AA2212D190E}" destId="{88CB7554-D6B3-4131-A390-44B15EDD0977}" srcOrd="0" destOrd="0" presId="urn:microsoft.com/office/officeart/2005/8/layout/hierarchy5"/>
    <dgm:cxn modelId="{17EBBBA3-8840-4603-8B5C-A94AB6C92413}" type="presParOf" srcId="{41A76406-453B-4934-B118-1AA2212D190E}" destId="{DAB12DB2-EC32-4D9F-9B8C-F4121B66C36D}" srcOrd="1" destOrd="0" presId="urn:microsoft.com/office/officeart/2005/8/layout/hierarchy5"/>
    <dgm:cxn modelId="{C0C4D5C2-1770-4251-A7B2-BA5A191F9CFD}" type="presParOf" srcId="{F84F487D-89AF-4DB3-BA5A-25E981F581F3}" destId="{AD3E104C-AA9C-4F5B-87FE-AD740B3B762A}" srcOrd="2" destOrd="0" presId="urn:microsoft.com/office/officeart/2005/8/layout/hierarchy5"/>
    <dgm:cxn modelId="{8CC92FFC-9E54-4E24-9D18-19603C27DE81}" type="presParOf" srcId="{AD3E104C-AA9C-4F5B-87FE-AD740B3B762A}" destId="{106AE4E6-7E7C-4D71-B4B3-2483ECCAFB7C}" srcOrd="0" destOrd="0" presId="urn:microsoft.com/office/officeart/2005/8/layout/hierarchy5"/>
    <dgm:cxn modelId="{A919B307-37D8-470B-A92C-96CE19C99704}" type="presParOf" srcId="{F84F487D-89AF-4DB3-BA5A-25E981F581F3}" destId="{9DC1C173-B493-4BE7-A964-2576B0B8045A}" srcOrd="3" destOrd="0" presId="urn:microsoft.com/office/officeart/2005/8/layout/hierarchy5"/>
    <dgm:cxn modelId="{0A69DA50-E014-4E6C-80EC-2CBB82A7DFAD}" type="presParOf" srcId="{9DC1C173-B493-4BE7-A964-2576B0B8045A}" destId="{6123A899-1981-4811-B61B-F5B58EC34ADF}" srcOrd="0" destOrd="0" presId="urn:microsoft.com/office/officeart/2005/8/layout/hierarchy5"/>
    <dgm:cxn modelId="{E0846F6A-7581-4C54-925D-319C01366DC6}" type="presParOf" srcId="{9DC1C173-B493-4BE7-A964-2576B0B8045A}" destId="{CA7C1AD9-6072-4165-AC8B-1FB05C6EC434}" srcOrd="1" destOrd="0" presId="urn:microsoft.com/office/officeart/2005/8/layout/hierarchy5"/>
    <dgm:cxn modelId="{09823162-8489-4790-B1FA-D6281D4CB2BF}" type="presParOf" srcId="{B27406FA-3F3C-409E-AC66-965A75497897}" destId="{31F82807-4254-4B36-A981-28D631594415}" srcOrd="2" destOrd="0" presId="urn:microsoft.com/office/officeart/2005/8/layout/hierarchy5"/>
    <dgm:cxn modelId="{33426BDC-AB9C-414F-B7FB-15DBCC391C6B}" type="presParOf" srcId="{31F82807-4254-4B36-A981-28D631594415}" destId="{989588F2-6412-4B20-A6F0-1BA3822FD76B}" srcOrd="0" destOrd="0" presId="urn:microsoft.com/office/officeart/2005/8/layout/hierarchy5"/>
    <dgm:cxn modelId="{B47ACF57-0739-471D-A547-9BEC0FE9DE9B}" type="presParOf" srcId="{B27406FA-3F3C-409E-AC66-965A75497897}" destId="{05ED1DDB-517A-4071-AF5F-59FA09B2F3F1}" srcOrd="3" destOrd="0" presId="urn:microsoft.com/office/officeart/2005/8/layout/hierarchy5"/>
    <dgm:cxn modelId="{303760B6-1E84-48DA-B94B-6CA41A455330}" type="presParOf" srcId="{05ED1DDB-517A-4071-AF5F-59FA09B2F3F1}" destId="{7E8E03CF-62C8-43C0-9317-AE19A41F8847}" srcOrd="0" destOrd="0" presId="urn:microsoft.com/office/officeart/2005/8/layout/hierarchy5"/>
    <dgm:cxn modelId="{50B2A8EB-2DD1-4162-9DA2-4BA314C8E253}" type="presParOf" srcId="{05ED1DDB-517A-4071-AF5F-59FA09B2F3F1}" destId="{5E68CB4E-3431-4B1B-B0BB-5079B4F17A28}" srcOrd="1" destOrd="0" presId="urn:microsoft.com/office/officeart/2005/8/layout/hierarchy5"/>
    <dgm:cxn modelId="{E229A4BE-1872-47FF-9F57-1F5362A4565D}" type="presParOf" srcId="{5E68CB4E-3431-4B1B-B0BB-5079B4F17A28}" destId="{61621494-2F79-48E9-A2F5-C3D01A086EBF}" srcOrd="0" destOrd="0" presId="urn:microsoft.com/office/officeart/2005/8/layout/hierarchy5"/>
    <dgm:cxn modelId="{74D54A80-11B7-4C64-9417-1EB7C7D5960C}" type="presParOf" srcId="{61621494-2F79-48E9-A2F5-C3D01A086EBF}" destId="{FE6DFA0A-F2A5-4BB3-BEA2-57CF7F9EBD50}" srcOrd="0" destOrd="0" presId="urn:microsoft.com/office/officeart/2005/8/layout/hierarchy5"/>
    <dgm:cxn modelId="{16993C8F-06B3-4D02-97F6-A01D96EEF108}" type="presParOf" srcId="{5E68CB4E-3431-4B1B-B0BB-5079B4F17A28}" destId="{8C270462-5DCC-4BE6-A287-BBF96FDA693B}" srcOrd="1" destOrd="0" presId="urn:microsoft.com/office/officeart/2005/8/layout/hierarchy5"/>
    <dgm:cxn modelId="{8851077F-4E65-4991-879E-5595AFE1AC0B}" type="presParOf" srcId="{8C270462-5DCC-4BE6-A287-BBF96FDA693B}" destId="{397D37EC-7E71-424E-9526-502AC82B6044}" srcOrd="0" destOrd="0" presId="urn:microsoft.com/office/officeart/2005/8/layout/hierarchy5"/>
    <dgm:cxn modelId="{266AFD42-382C-440D-9DEA-A1AA9F246197}" type="presParOf" srcId="{8C270462-5DCC-4BE6-A287-BBF96FDA693B}" destId="{9548773A-E91C-4708-B7A3-4AA161CF706D}" srcOrd="1" destOrd="0" presId="urn:microsoft.com/office/officeart/2005/8/layout/hierarchy5"/>
    <dgm:cxn modelId="{8BDD1059-4557-4905-902A-3CB6474C4474}" type="presParOf" srcId="{B7BABC7C-586C-4226-99DD-711516406030}" destId="{020E1132-9235-4B81-9DB1-108668B2869D}" srcOrd="1" destOrd="0" presId="urn:microsoft.com/office/officeart/2005/8/layout/hierarchy5"/>
    <dgm:cxn modelId="{9764096E-B61D-4F18-A0FB-01C603BD9B08}" type="presParOf" srcId="{020E1132-9235-4B81-9DB1-108668B2869D}" destId="{23FD5147-0F1C-4E2D-8147-AE4372871EAA}" srcOrd="0" destOrd="0" presId="urn:microsoft.com/office/officeart/2005/8/layout/hierarchy5"/>
    <dgm:cxn modelId="{2DBB4824-C215-420F-925C-EBA15D1772D2}" type="presParOf" srcId="{23FD5147-0F1C-4E2D-8147-AE4372871EAA}" destId="{0DBE3391-EB4B-499F-BF3D-FACE7211C1AA}" srcOrd="0" destOrd="0" presId="urn:microsoft.com/office/officeart/2005/8/layout/hierarchy5"/>
    <dgm:cxn modelId="{99DA17F4-3568-4AC1-98AC-BEFE45DFB2E1}" type="presParOf" srcId="{23FD5147-0F1C-4E2D-8147-AE4372871EAA}" destId="{51F4DE41-4A80-4621-944B-B0474FCE2043}" srcOrd="1" destOrd="0" presId="urn:microsoft.com/office/officeart/2005/8/layout/hierarchy5"/>
    <dgm:cxn modelId="{16854699-C948-4CC5-BD96-07B7061A51EC}" type="presParOf" srcId="{020E1132-9235-4B81-9DB1-108668B2869D}" destId="{49B53456-80DD-47F0-A0C4-E6C05181FC54}" srcOrd="1" destOrd="0" presId="urn:microsoft.com/office/officeart/2005/8/layout/hierarchy5"/>
    <dgm:cxn modelId="{65EE7DAA-4D85-4A00-8EC9-AE2F9A4A00F6}" type="presParOf" srcId="{49B53456-80DD-47F0-A0C4-E6C05181FC54}" destId="{C02F579F-0890-448A-BFDB-FC3715AF5B28}" srcOrd="0" destOrd="0" presId="urn:microsoft.com/office/officeart/2005/8/layout/hierarchy5"/>
    <dgm:cxn modelId="{54780DA0-99E8-4081-ABC1-DDDF4EF6017E}" type="presParOf" srcId="{020E1132-9235-4B81-9DB1-108668B2869D}" destId="{FA2A0261-9B00-422E-A0E1-1843DEBD48E0}" srcOrd="2" destOrd="0" presId="urn:microsoft.com/office/officeart/2005/8/layout/hierarchy5"/>
    <dgm:cxn modelId="{EAEEE0C0-C8BC-4D5E-BF69-5C3C65EEEC02}" type="presParOf" srcId="{FA2A0261-9B00-422E-A0E1-1843DEBD48E0}" destId="{69CB27F3-E3AB-45C0-BD01-F6B165856594}" srcOrd="0" destOrd="0" presId="urn:microsoft.com/office/officeart/2005/8/layout/hierarchy5"/>
    <dgm:cxn modelId="{61D9B5E8-A4B4-47D9-A17B-53769F6A0AFB}" type="presParOf" srcId="{FA2A0261-9B00-422E-A0E1-1843DEBD48E0}" destId="{74203028-C6F5-4D41-9A16-58EFA7475944}" srcOrd="1" destOrd="0" presId="urn:microsoft.com/office/officeart/2005/8/layout/hierarchy5"/>
    <dgm:cxn modelId="{EC7F3BE5-B4D5-4E96-AD3A-0317B355E856}" type="presParOf" srcId="{020E1132-9235-4B81-9DB1-108668B2869D}" destId="{F98028A4-207B-40E2-8704-DBD05D626EEB}" srcOrd="3" destOrd="0" presId="urn:microsoft.com/office/officeart/2005/8/layout/hierarchy5"/>
    <dgm:cxn modelId="{C0AE351A-945B-4A58-9CC6-F4FBD8FED532}" type="presParOf" srcId="{F98028A4-207B-40E2-8704-DBD05D626EEB}" destId="{6217D80A-88E6-47CF-AF21-AC1DC342FDD9}" srcOrd="0" destOrd="0" presId="urn:microsoft.com/office/officeart/2005/8/layout/hierarchy5"/>
    <dgm:cxn modelId="{6D43422F-7BD9-474D-87D2-7FF72FD99BA6}" type="presParOf" srcId="{020E1132-9235-4B81-9DB1-108668B2869D}" destId="{42DB89BC-72EE-4C3B-94EC-314D7D461BDC}" srcOrd="4" destOrd="0" presId="urn:microsoft.com/office/officeart/2005/8/layout/hierarchy5"/>
    <dgm:cxn modelId="{74571335-AE23-4816-B57D-FB1A3BA95D6C}" type="presParOf" srcId="{42DB89BC-72EE-4C3B-94EC-314D7D461BDC}" destId="{32FB7F9A-62B7-4940-9008-9918D9FE922E}" srcOrd="0" destOrd="0" presId="urn:microsoft.com/office/officeart/2005/8/layout/hierarchy5"/>
    <dgm:cxn modelId="{DB0637C2-234C-4413-B23F-57EF1414AFEB}"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66"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D51C2AE1-D995-4A64-AC58-B91E4C4861B9}" type="doc">
      <dgm:prSet loTypeId="urn:microsoft.com/office/officeart/2005/8/layout/arrow2" loCatId="process" qsTypeId="urn:microsoft.com/office/officeart/2005/8/quickstyle/simple1#2" qsCatId="simple" csTypeId="urn:microsoft.com/office/officeart/2005/8/colors/accent1_2#23" csCatId="accent1" phldr="1"/>
      <dgm:spPr/>
      <dgm:t>
        <a:bodyPr/>
        <a:lstStyle/>
        <a:p>
          <a:endParaRPr lang="sk-SK"/>
        </a:p>
      </dgm:t>
    </dgm:pt>
    <dgm:pt modelId="{E30EEB01-E6A4-4DCB-9FD0-C5971C3963FF}">
      <dgm:prSet phldrT="[Text]" custT="1"/>
      <dgm:spPr/>
      <dgm:t>
        <a:bodyPr/>
        <a:lstStyle/>
        <a:p>
          <a:r>
            <a:rPr lang="sk-SK" sz="600" i="1">
              <a:solidFill>
                <a:schemeClr val="accent2">
                  <a:lumMod val="50000"/>
                </a:schemeClr>
              </a:solidFill>
            </a:rPr>
            <a:t>Účinná zmluva o NFP/ právoplatné Rozhodnutie o schválení NFP v prípadoch, ak prijímateľ a RO je tá istá osoba </a:t>
          </a:r>
        </a:p>
      </dgm:t>
    </dgm:pt>
    <dgm:pt modelId="{3917ED12-A178-4C70-A8C6-D4764DE4A904}" type="parTrans" cxnId="{622A4F08-4969-4C1E-ADE0-99487DF28448}">
      <dgm:prSet/>
      <dgm:spPr/>
      <dgm:t>
        <a:bodyPr/>
        <a:lstStyle/>
        <a:p>
          <a:endParaRPr lang="sk-SK" sz="600"/>
        </a:p>
      </dgm:t>
    </dgm:pt>
    <dgm:pt modelId="{7CA0ECC1-4999-4C11-AC8F-5A3DC6A14E55}" type="sibTrans" cxnId="{622A4F08-4969-4C1E-ADE0-99487DF28448}">
      <dgm:prSet/>
      <dgm:spPr/>
      <dgm:t>
        <a:bodyPr/>
        <a:lstStyle/>
        <a:p>
          <a:endParaRPr lang="sk-SK" sz="600"/>
        </a:p>
      </dgm:t>
    </dgm:pt>
    <dgm:pt modelId="{C6F3FEA4-A34E-470C-991F-329780AC7A7D}">
      <dgm:prSet phldrT="[Text]" custT="1"/>
      <dgm:spPr/>
      <dgm:t>
        <a:bodyPr/>
        <a:lstStyle/>
        <a:p>
          <a:r>
            <a:rPr lang="sk-SK" sz="600" i="1">
              <a:solidFill>
                <a:schemeClr val="accent2">
                  <a:lumMod val="50000"/>
                </a:schemeClr>
              </a:solidFill>
            </a:rPr>
            <a:t>Realizácia projektu (realizácia aktivít projektu + finančné uhrádzanie/preplácanie výdavkov)</a:t>
          </a:r>
        </a:p>
      </dgm:t>
    </dgm:pt>
    <dgm:pt modelId="{390C2F8E-8AA8-4D53-9FD4-E85EA96B37DE}" type="parTrans" cxnId="{5AE88F92-F637-4A09-8B1C-04DABEB809FE}">
      <dgm:prSet/>
      <dgm:spPr/>
      <dgm:t>
        <a:bodyPr/>
        <a:lstStyle/>
        <a:p>
          <a:endParaRPr lang="sk-SK" sz="600"/>
        </a:p>
      </dgm:t>
    </dgm:pt>
    <dgm:pt modelId="{148391E9-E177-4102-83BD-97046BE467BC}" type="sibTrans" cxnId="{5AE88F92-F637-4A09-8B1C-04DABEB809FE}">
      <dgm:prSet/>
      <dgm:spPr/>
      <dgm:t>
        <a:bodyPr/>
        <a:lstStyle/>
        <a:p>
          <a:endParaRPr lang="sk-SK" sz="600"/>
        </a:p>
      </dgm:t>
    </dgm:pt>
    <dgm:pt modelId="{5EBC2E34-D291-4A82-8606-EE31D9F9C9D5}">
      <dgm:prSet phldrT="[Text]" custT="1"/>
      <dgm:spPr/>
      <dgm:t>
        <a:bodyPr/>
        <a:lstStyle/>
        <a:p>
          <a:r>
            <a:rPr lang="sk-SK" sz="600" i="1">
              <a:solidFill>
                <a:schemeClr val="accent2">
                  <a:lumMod val="50000"/>
                </a:schemeClr>
              </a:solidFill>
            </a:rPr>
            <a:t>Začatie plynutia udržateľnosti  projektu po ukončení realizácie projektu</a:t>
          </a:r>
        </a:p>
      </dgm:t>
    </dgm:pt>
    <dgm:pt modelId="{700ECD0D-9FFD-4E20-AAA6-96C5709BA13B}" type="parTrans" cxnId="{586C87D2-0CA8-45E2-AF01-EB8832E8D1FC}">
      <dgm:prSet/>
      <dgm:spPr/>
      <dgm:t>
        <a:bodyPr/>
        <a:lstStyle/>
        <a:p>
          <a:endParaRPr lang="sk-SK" sz="600"/>
        </a:p>
      </dgm:t>
    </dgm:pt>
    <dgm:pt modelId="{DB3A02E8-3B88-4D20-84EE-332425C56904}" type="sibTrans" cxnId="{586C87D2-0CA8-45E2-AF01-EB8832E8D1FC}">
      <dgm:prSet/>
      <dgm:spPr/>
      <dgm:t>
        <a:bodyPr/>
        <a:lstStyle/>
        <a:p>
          <a:endParaRPr lang="sk-SK" sz="600"/>
        </a:p>
      </dgm:t>
    </dgm:pt>
    <dgm:pt modelId="{9105DCB5-1BF5-4A8B-B631-FC7645A909C8}">
      <dgm:prSet custT="1"/>
      <dgm:spPr/>
      <dgm:t>
        <a:bodyPr/>
        <a:lstStyle/>
        <a:p>
          <a:r>
            <a:rPr lang="sk-SK" sz="600" i="1">
              <a:solidFill>
                <a:schemeClr val="accent2">
                  <a:lumMod val="50000"/>
                </a:schemeClr>
              </a:solidFill>
            </a:rPr>
            <a:t>Úkony  od plánovania výzvy/vyzvania až do vypracovania návrhu zmluvy o NFP/rozhodnutia o schválení NFPv prípadoch, ak prijímateľ a RO je tá istá osoba </a:t>
          </a:r>
        </a:p>
      </dgm:t>
    </dgm:pt>
    <dgm:pt modelId="{72E7DA94-47D4-407B-94CC-C9679FEF5E07}" type="parTrans" cxnId="{1FCE0E48-8D58-4290-912C-CFBA4ECACB19}">
      <dgm:prSet/>
      <dgm:spPr/>
      <dgm:t>
        <a:bodyPr/>
        <a:lstStyle/>
        <a:p>
          <a:endParaRPr lang="sk-SK" sz="600"/>
        </a:p>
      </dgm:t>
    </dgm:pt>
    <dgm:pt modelId="{F7446410-237A-434F-95C3-B59C305F6E06}" type="sibTrans" cxnId="{1FCE0E48-8D58-4290-912C-CFBA4ECACB19}">
      <dgm:prSet/>
      <dgm:spPr/>
      <dgm:t>
        <a:bodyPr/>
        <a:lstStyle/>
        <a:p>
          <a:endParaRPr lang="sk-SK" sz="600"/>
        </a:p>
      </dgm:t>
    </dgm:pt>
    <dgm:pt modelId="{D727AC5F-C3F5-4C8B-AEBB-8CA2B43B3D63}" type="pres">
      <dgm:prSet presAssocID="{D51C2AE1-D995-4A64-AC58-B91E4C4861B9}" presName="arrowDiagram" presStyleCnt="0">
        <dgm:presLayoutVars>
          <dgm:chMax val="5"/>
          <dgm:dir/>
          <dgm:resizeHandles val="exact"/>
        </dgm:presLayoutVars>
      </dgm:prSet>
      <dgm:spPr/>
      <dgm:t>
        <a:bodyPr/>
        <a:lstStyle/>
        <a:p>
          <a:endParaRPr lang="sk-SK"/>
        </a:p>
      </dgm:t>
    </dgm:pt>
    <dgm:pt modelId="{2B550529-C524-4B56-86CB-C4DFFB9A8D20}" type="pres">
      <dgm:prSet presAssocID="{D51C2AE1-D995-4A64-AC58-B91E4C4861B9}" presName="arrow" presStyleLbl="bgShp" presStyleIdx="0" presStyleCnt="1" custLinFactNeighborY="-4167"/>
      <dgm:spPr>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scene3d>
          <a:camera prst="orthographicFront"/>
          <a:lightRig rig="threePt" dir="t"/>
        </a:scene3d>
        <a:sp3d>
          <a:bevelT w="127000" h="127000"/>
          <a:bevelB/>
        </a:sp3d>
      </dgm:spPr>
    </dgm:pt>
    <dgm:pt modelId="{5F01B68A-2598-458E-99AC-881E63C98D21}" type="pres">
      <dgm:prSet presAssocID="{D51C2AE1-D995-4A64-AC58-B91E4C4861B9}" presName="arrowDiagram4" presStyleCnt="0"/>
      <dgm:spPr/>
    </dgm:pt>
    <dgm:pt modelId="{727DF83E-7678-49ED-B0A2-8F58AB6D5D91}" type="pres">
      <dgm:prSet presAssocID="{9105DCB5-1BF5-4A8B-B631-FC7645A909C8}" presName="bullet4a" presStyleLbl="node1" presStyleIdx="0" presStyleCnt="4"/>
      <dgm:spPr/>
    </dgm:pt>
    <dgm:pt modelId="{E142B6E2-7C61-4B2F-99AF-E2DD2582223A}" type="pres">
      <dgm:prSet presAssocID="{9105DCB5-1BF5-4A8B-B631-FC7645A909C8}" presName="textBox4a" presStyleLbl="revTx" presStyleIdx="0" presStyleCnt="4" custScaleY="70433">
        <dgm:presLayoutVars>
          <dgm:bulletEnabled val="1"/>
        </dgm:presLayoutVars>
      </dgm:prSet>
      <dgm:spPr/>
      <dgm:t>
        <a:bodyPr/>
        <a:lstStyle/>
        <a:p>
          <a:endParaRPr lang="sk-SK"/>
        </a:p>
      </dgm:t>
    </dgm:pt>
    <dgm:pt modelId="{DE27D38C-3021-4DFD-B3C0-FBBC800D127C}" type="pres">
      <dgm:prSet presAssocID="{E30EEB01-E6A4-4DCB-9FD0-C5971C3963FF}" presName="bullet4b" presStyleLbl="node1" presStyleIdx="1" presStyleCnt="4"/>
      <dgm:spPr/>
    </dgm:pt>
    <dgm:pt modelId="{D69A44F0-B1D1-4AA7-AAFE-A17C851BA17F}" type="pres">
      <dgm:prSet presAssocID="{E30EEB01-E6A4-4DCB-9FD0-C5971C3963FF}" presName="textBox4b" presStyleLbl="revTx" presStyleIdx="1" presStyleCnt="4" custScaleY="46511">
        <dgm:presLayoutVars>
          <dgm:bulletEnabled val="1"/>
        </dgm:presLayoutVars>
      </dgm:prSet>
      <dgm:spPr/>
      <dgm:t>
        <a:bodyPr/>
        <a:lstStyle/>
        <a:p>
          <a:endParaRPr lang="sk-SK"/>
        </a:p>
      </dgm:t>
    </dgm:pt>
    <dgm:pt modelId="{4353D4FC-FB58-404C-AE44-D5E631012830}" type="pres">
      <dgm:prSet presAssocID="{C6F3FEA4-A34E-470C-991F-329780AC7A7D}" presName="bullet4c" presStyleLbl="node1" presStyleIdx="2" presStyleCnt="4"/>
      <dgm:spPr/>
    </dgm:pt>
    <dgm:pt modelId="{D6E0E7BC-1FF4-468A-A56F-25065F13EC64}" type="pres">
      <dgm:prSet presAssocID="{C6F3FEA4-A34E-470C-991F-329780AC7A7D}" presName="textBox4c" presStyleLbl="revTx" presStyleIdx="2" presStyleCnt="4" custScaleY="33477" custLinFactNeighborX="-1102" custLinFactNeighborY="-13784">
        <dgm:presLayoutVars>
          <dgm:bulletEnabled val="1"/>
        </dgm:presLayoutVars>
      </dgm:prSet>
      <dgm:spPr/>
      <dgm:t>
        <a:bodyPr/>
        <a:lstStyle/>
        <a:p>
          <a:endParaRPr lang="sk-SK"/>
        </a:p>
      </dgm:t>
    </dgm:pt>
    <dgm:pt modelId="{FB271237-096B-4093-A49F-5557FDA4B8D8}" type="pres">
      <dgm:prSet presAssocID="{5EBC2E34-D291-4A82-8606-EE31D9F9C9D5}" presName="bullet4d" presStyleLbl="node1" presStyleIdx="3" presStyleCnt="4"/>
      <dgm:spPr/>
    </dgm:pt>
    <dgm:pt modelId="{C6DFBD77-7D6D-47F1-95D5-B39FC6C3AB19}" type="pres">
      <dgm:prSet presAssocID="{5EBC2E34-D291-4A82-8606-EE31D9F9C9D5}" presName="textBox4d" presStyleLbl="revTx" presStyleIdx="3" presStyleCnt="4" custScaleX="83288" custScaleY="35431" custLinFactNeighborX="-31415" custLinFactNeighborY="-4391">
        <dgm:presLayoutVars>
          <dgm:bulletEnabled val="1"/>
        </dgm:presLayoutVars>
      </dgm:prSet>
      <dgm:spPr/>
      <dgm:t>
        <a:bodyPr/>
        <a:lstStyle/>
        <a:p>
          <a:endParaRPr lang="sk-SK"/>
        </a:p>
      </dgm:t>
    </dgm:pt>
  </dgm:ptLst>
  <dgm:cxnLst>
    <dgm:cxn modelId="{2776627B-9546-4C06-9ED4-672BFCEBE0B2}" type="presOf" srcId="{5EBC2E34-D291-4A82-8606-EE31D9F9C9D5}" destId="{C6DFBD77-7D6D-47F1-95D5-B39FC6C3AB19}" srcOrd="0" destOrd="0" presId="urn:microsoft.com/office/officeart/2005/8/layout/arrow2"/>
    <dgm:cxn modelId="{D0D9F55A-6D4E-4ED7-9FE7-28C581B22477}" type="presOf" srcId="{9105DCB5-1BF5-4A8B-B631-FC7645A909C8}" destId="{E142B6E2-7C61-4B2F-99AF-E2DD2582223A}" srcOrd="0" destOrd="0" presId="urn:microsoft.com/office/officeart/2005/8/layout/arrow2"/>
    <dgm:cxn modelId="{622A4F08-4969-4C1E-ADE0-99487DF28448}" srcId="{D51C2AE1-D995-4A64-AC58-B91E4C4861B9}" destId="{E30EEB01-E6A4-4DCB-9FD0-C5971C3963FF}" srcOrd="1" destOrd="0" parTransId="{3917ED12-A178-4C70-A8C6-D4764DE4A904}" sibTransId="{7CA0ECC1-4999-4C11-AC8F-5A3DC6A14E55}"/>
    <dgm:cxn modelId="{586C87D2-0CA8-45E2-AF01-EB8832E8D1FC}" srcId="{D51C2AE1-D995-4A64-AC58-B91E4C4861B9}" destId="{5EBC2E34-D291-4A82-8606-EE31D9F9C9D5}" srcOrd="3" destOrd="0" parTransId="{700ECD0D-9FFD-4E20-AAA6-96C5709BA13B}" sibTransId="{DB3A02E8-3B88-4D20-84EE-332425C56904}"/>
    <dgm:cxn modelId="{1FCE0E48-8D58-4290-912C-CFBA4ECACB19}" srcId="{D51C2AE1-D995-4A64-AC58-B91E4C4861B9}" destId="{9105DCB5-1BF5-4A8B-B631-FC7645A909C8}" srcOrd="0" destOrd="0" parTransId="{72E7DA94-47D4-407B-94CC-C9679FEF5E07}" sibTransId="{F7446410-237A-434F-95C3-B59C305F6E06}"/>
    <dgm:cxn modelId="{5AE88F92-F637-4A09-8B1C-04DABEB809FE}" srcId="{D51C2AE1-D995-4A64-AC58-B91E4C4861B9}" destId="{C6F3FEA4-A34E-470C-991F-329780AC7A7D}" srcOrd="2" destOrd="0" parTransId="{390C2F8E-8AA8-4D53-9FD4-E85EA96B37DE}" sibTransId="{148391E9-E177-4102-83BD-97046BE467BC}"/>
    <dgm:cxn modelId="{D282411E-1326-4759-8137-A35398723B93}" type="presOf" srcId="{E30EEB01-E6A4-4DCB-9FD0-C5971C3963FF}" destId="{D69A44F0-B1D1-4AA7-AAFE-A17C851BA17F}" srcOrd="0" destOrd="0" presId="urn:microsoft.com/office/officeart/2005/8/layout/arrow2"/>
    <dgm:cxn modelId="{2121A71E-2C85-426C-A274-57F6B62A0471}" type="presOf" srcId="{C6F3FEA4-A34E-470C-991F-329780AC7A7D}" destId="{D6E0E7BC-1FF4-468A-A56F-25065F13EC64}" srcOrd="0" destOrd="0" presId="urn:microsoft.com/office/officeart/2005/8/layout/arrow2"/>
    <dgm:cxn modelId="{A60F8A4F-53B6-406B-B107-0D9A0123B7F9}" type="presOf" srcId="{D51C2AE1-D995-4A64-AC58-B91E4C4861B9}" destId="{D727AC5F-C3F5-4C8B-AEBB-8CA2B43B3D63}" srcOrd="0" destOrd="0" presId="urn:microsoft.com/office/officeart/2005/8/layout/arrow2"/>
    <dgm:cxn modelId="{0FDECF24-3220-473D-A7EC-1DB2D1A60B98}" type="presParOf" srcId="{D727AC5F-C3F5-4C8B-AEBB-8CA2B43B3D63}" destId="{2B550529-C524-4B56-86CB-C4DFFB9A8D20}" srcOrd="0" destOrd="0" presId="urn:microsoft.com/office/officeart/2005/8/layout/arrow2"/>
    <dgm:cxn modelId="{0DD55316-78AB-4142-A9BE-58DF5C52FECA}" type="presParOf" srcId="{D727AC5F-C3F5-4C8B-AEBB-8CA2B43B3D63}" destId="{5F01B68A-2598-458E-99AC-881E63C98D21}" srcOrd="1" destOrd="0" presId="urn:microsoft.com/office/officeart/2005/8/layout/arrow2"/>
    <dgm:cxn modelId="{D6728F29-F0FD-4B8A-A54F-05B106F35B26}" type="presParOf" srcId="{5F01B68A-2598-458E-99AC-881E63C98D21}" destId="{727DF83E-7678-49ED-B0A2-8F58AB6D5D91}" srcOrd="0" destOrd="0" presId="urn:microsoft.com/office/officeart/2005/8/layout/arrow2"/>
    <dgm:cxn modelId="{1B50C45F-DDB1-4A19-9E6B-8135ACD5BB1B}" type="presParOf" srcId="{5F01B68A-2598-458E-99AC-881E63C98D21}" destId="{E142B6E2-7C61-4B2F-99AF-E2DD2582223A}" srcOrd="1" destOrd="0" presId="urn:microsoft.com/office/officeart/2005/8/layout/arrow2"/>
    <dgm:cxn modelId="{D05A6C00-6E8E-48D8-AC8A-B92B9D275C31}" type="presParOf" srcId="{5F01B68A-2598-458E-99AC-881E63C98D21}" destId="{DE27D38C-3021-4DFD-B3C0-FBBC800D127C}" srcOrd="2" destOrd="0" presId="urn:microsoft.com/office/officeart/2005/8/layout/arrow2"/>
    <dgm:cxn modelId="{FD68A3EC-42A9-4475-A921-BD09833BD8BF}" type="presParOf" srcId="{5F01B68A-2598-458E-99AC-881E63C98D21}" destId="{D69A44F0-B1D1-4AA7-AAFE-A17C851BA17F}" srcOrd="3" destOrd="0" presId="urn:microsoft.com/office/officeart/2005/8/layout/arrow2"/>
    <dgm:cxn modelId="{FCAA1923-7C38-441C-83B5-73175F182617}" type="presParOf" srcId="{5F01B68A-2598-458E-99AC-881E63C98D21}" destId="{4353D4FC-FB58-404C-AE44-D5E631012830}" srcOrd="4" destOrd="0" presId="urn:microsoft.com/office/officeart/2005/8/layout/arrow2"/>
    <dgm:cxn modelId="{2C191145-11F4-4A35-AA83-3F402956F4FA}" type="presParOf" srcId="{5F01B68A-2598-458E-99AC-881E63C98D21}" destId="{D6E0E7BC-1FF4-468A-A56F-25065F13EC64}" srcOrd="5" destOrd="0" presId="urn:microsoft.com/office/officeart/2005/8/layout/arrow2"/>
    <dgm:cxn modelId="{70A660E1-2867-44F0-BCFD-86D7006BAFD1}" type="presParOf" srcId="{5F01B68A-2598-458E-99AC-881E63C98D21}" destId="{FB271237-096B-4093-A49F-5557FDA4B8D8}" srcOrd="6" destOrd="0" presId="urn:microsoft.com/office/officeart/2005/8/layout/arrow2"/>
    <dgm:cxn modelId="{060BE6C6-D6D9-47D7-A5AD-D36DB1016452}" type="presParOf" srcId="{5F01B68A-2598-458E-99AC-881E63C98D21}" destId="{C6DFBD77-7D6D-47F1-95D5-B39FC6C3AB19}" srcOrd="7" destOrd="0" presId="urn:microsoft.com/office/officeart/2005/8/layout/arrow2"/>
  </dgm:cxnLst>
  <dgm:bg/>
  <dgm:whole/>
  <dgm:extLst>
    <a:ext uri="http://schemas.microsoft.com/office/drawing/2008/diagram">
      <dsp:dataModelExt xmlns:dsp="http://schemas.microsoft.com/office/drawing/2008/diagram" relId="rId171"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AE0015F6-7E1A-48E7-B6C0-771D31959E1F}" type="doc">
      <dgm:prSet loTypeId="urn:microsoft.com/office/officeart/2005/8/layout/hList3" loCatId="list" qsTypeId="urn:microsoft.com/office/officeart/2005/8/quickstyle/simple1#3" qsCatId="simple" csTypeId="urn:microsoft.com/office/officeart/2005/8/colors/accent1_2#24" csCatId="accent1" phldr="1"/>
      <dgm:spPr/>
      <dgm:t>
        <a:bodyPr/>
        <a:lstStyle/>
        <a:p>
          <a:endParaRPr lang="sk-SK"/>
        </a:p>
      </dgm:t>
    </dgm:pt>
    <dgm:pt modelId="{36C5CB33-15FC-4B9F-B999-32D905C66FB1}">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balanced" dir="t"/>
        </a:scene3d>
        <a:sp3d>
          <a:bevelT w="190500" h="190500"/>
          <a:bevelB/>
        </a:sp3d>
      </dgm:spPr>
      <dgm:t>
        <a:bodyPr/>
        <a:lstStyle/>
        <a:p>
          <a:r>
            <a:rPr lang="sk-SK" sz="2000" b="1" i="1">
              <a:solidFill>
                <a:schemeClr val="accent4">
                  <a:lumMod val="75000"/>
                </a:schemeClr>
              </a:solidFill>
            </a:rPr>
            <a:t>Časové vykonávanie  kontroly na úrovni RO</a:t>
          </a:r>
        </a:p>
      </dgm:t>
    </dgm:pt>
    <dgm:pt modelId="{AB6487FC-1FC4-41B7-BA50-706A5B962FE7}" type="parTrans" cxnId="{85BF52EE-174C-4AE9-97D5-5C5316CF8825}">
      <dgm:prSet/>
      <dgm:spPr/>
      <dgm:t>
        <a:bodyPr/>
        <a:lstStyle/>
        <a:p>
          <a:endParaRPr lang="sk-SK"/>
        </a:p>
      </dgm:t>
    </dgm:pt>
    <dgm:pt modelId="{71AC8452-A136-4468-B016-A08E99D9B555}" type="sibTrans" cxnId="{85BF52EE-174C-4AE9-97D5-5C5316CF8825}">
      <dgm:prSet/>
      <dgm:spPr/>
      <dgm:t>
        <a:bodyPr/>
        <a:lstStyle/>
        <a:p>
          <a:endParaRPr lang="sk-SK"/>
        </a:p>
      </dgm:t>
    </dgm:pt>
    <dgm:pt modelId="{C9AAD6A5-0DEA-4ECA-8C91-190E3BB1C4AD}">
      <dgm:prSet phldrT="[Text]" custT="1"/>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po ukončení realizácie projektu do skončenia účinnosti zmluvy o NFP</a:t>
          </a:r>
        </a:p>
        <a:p>
          <a:r>
            <a:rPr lang="sk-SK" sz="1400" i="1">
              <a:solidFill>
                <a:schemeClr val="accent4">
                  <a:lumMod val="75000"/>
                </a:schemeClr>
              </a:solidFill>
            </a:rPr>
            <a:t>-  </a:t>
          </a:r>
          <a:r>
            <a:rPr lang="sk-SK" sz="1000" i="1">
              <a:solidFill>
                <a:schemeClr val="accent4">
                  <a:lumMod val="75000"/>
                </a:schemeClr>
              </a:solidFill>
            </a:rPr>
            <a:t>základná finančná kontrola</a:t>
          </a:r>
        </a:p>
        <a:p>
          <a:r>
            <a:rPr lang="sk-SK" sz="1000" i="1">
              <a:solidFill>
                <a:schemeClr val="accent4">
                  <a:lumMod val="75000"/>
                </a:schemeClr>
              </a:solidFill>
            </a:rPr>
            <a:t>- administratívna finančná kontrola </a:t>
          </a:r>
        </a:p>
        <a:p>
          <a:r>
            <a:rPr lang="sk-SK" sz="1000" i="1">
              <a:solidFill>
                <a:schemeClr val="accent4">
                  <a:lumMod val="75000"/>
                </a:schemeClr>
              </a:solidFill>
            </a:rPr>
            <a:t>- finančná kontrola na mieste</a:t>
          </a:r>
        </a:p>
      </dgm:t>
    </dgm:pt>
    <dgm:pt modelId="{DEE42A91-7223-4EEF-B846-82C2C7F9FF3A}" type="sibTrans" cxnId="{01BADFFC-978D-4BEE-8812-63E54A32C796}">
      <dgm:prSet/>
      <dgm:spPr/>
      <dgm:t>
        <a:bodyPr/>
        <a:lstStyle/>
        <a:p>
          <a:endParaRPr lang="sk-SK"/>
        </a:p>
      </dgm:t>
    </dgm:pt>
    <dgm:pt modelId="{FBFB6254-1797-40C3-B341-C4F9348CE7C3}" type="parTrans" cxnId="{01BADFFC-978D-4BEE-8812-63E54A32C796}">
      <dgm:prSet/>
      <dgm:spPr/>
      <dgm:t>
        <a:bodyPr/>
        <a:lstStyle/>
        <a:p>
          <a:endParaRPr lang="sk-SK"/>
        </a:p>
      </dgm:t>
    </dgm:pt>
    <dgm:pt modelId="{70C73672-CF73-4B8E-AE19-C04CFC36FAA7}">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pPr algn="ctr"/>
          <a:r>
            <a:rPr lang="sk-SK" sz="1200" b="1" i="1">
              <a:solidFill>
                <a:schemeClr val="accent4">
                  <a:lumMod val="75000"/>
                </a:schemeClr>
              </a:solidFill>
            </a:rPr>
            <a:t>Kontrola od účinnosti zmluvy o NFP do momentu ukončenia realizácie projektu</a:t>
          </a:r>
        </a:p>
        <a:p>
          <a:pPr algn="ctr"/>
          <a:r>
            <a:rPr lang="sk-SK" sz="1400" i="1">
              <a:solidFill>
                <a:schemeClr val="accent4">
                  <a:lumMod val="75000"/>
                </a:schemeClr>
              </a:solidFill>
            </a:rPr>
            <a:t>- </a:t>
          </a:r>
          <a:r>
            <a:rPr lang="sk-SK" sz="1000" i="1">
              <a:solidFill>
                <a:schemeClr val="accent4">
                  <a:lumMod val="75000"/>
                </a:schemeClr>
              </a:solidFill>
            </a:rPr>
            <a:t>základná finančná kontrola</a:t>
          </a:r>
        </a:p>
        <a:p>
          <a:pPr algn="ctr"/>
          <a:r>
            <a:rPr lang="sk-SK" sz="1000" i="1">
              <a:solidFill>
                <a:schemeClr val="accent4">
                  <a:lumMod val="75000"/>
                </a:schemeClr>
              </a:solidFill>
            </a:rPr>
            <a:t>- administratívna finančná kontrola </a:t>
          </a:r>
        </a:p>
        <a:p>
          <a:pPr algn="ctr"/>
          <a:r>
            <a:rPr lang="sk-SK" sz="1000" i="1">
              <a:solidFill>
                <a:schemeClr val="accent4">
                  <a:lumMod val="75000"/>
                </a:schemeClr>
              </a:solidFill>
            </a:rPr>
            <a:t>- finančná kontrola na mieste</a:t>
          </a:r>
        </a:p>
      </dgm:t>
    </dgm:pt>
    <dgm:pt modelId="{9F3962D0-88B8-4180-9F1E-AA7138408B60}" type="sibTrans" cxnId="{02264B80-3C97-49D3-80CF-3C13AEA3E1DD}">
      <dgm:prSet/>
      <dgm:spPr/>
      <dgm:t>
        <a:bodyPr/>
        <a:lstStyle/>
        <a:p>
          <a:endParaRPr lang="sk-SK"/>
        </a:p>
      </dgm:t>
    </dgm:pt>
    <dgm:pt modelId="{72214487-C226-4441-9A66-A543C492EF4A}" type="parTrans" cxnId="{02264B80-3C97-49D3-80CF-3C13AEA3E1DD}">
      <dgm:prSet/>
      <dgm:spPr/>
      <dgm:t>
        <a:bodyPr/>
        <a:lstStyle/>
        <a:p>
          <a:endParaRPr lang="sk-SK"/>
        </a:p>
      </dgm:t>
    </dgm:pt>
    <dgm:pt modelId="{2E2B187E-5051-4BCD-BD91-F1FEC4CF41AE}">
      <dgm:prSet/>
      <dgm:spPr/>
      <dgm:t>
        <a:bodyPr/>
        <a:lstStyle/>
        <a:p>
          <a:endParaRPr lang="sk-SK"/>
        </a:p>
      </dgm:t>
    </dgm:pt>
    <dgm:pt modelId="{301F1E11-B4B5-473E-B845-B241A8468B4E}" type="parTrans" cxnId="{6E535D67-152E-4A7A-88F0-591EB62DFA41}">
      <dgm:prSet/>
      <dgm:spPr/>
      <dgm:t>
        <a:bodyPr/>
        <a:lstStyle/>
        <a:p>
          <a:endParaRPr lang="sk-SK"/>
        </a:p>
      </dgm:t>
    </dgm:pt>
    <dgm:pt modelId="{C173D8AC-917B-4D48-A432-26792D6AA257}" type="sibTrans" cxnId="{6E535D67-152E-4A7A-88F0-591EB62DFA41}">
      <dgm:prSet/>
      <dgm:spPr/>
      <dgm:t>
        <a:bodyPr/>
        <a:lstStyle/>
        <a:p>
          <a:endParaRPr lang="sk-SK"/>
        </a:p>
      </dgm:t>
    </dgm:pt>
    <dgm:pt modelId="{CD8127EC-927C-441F-B283-B2DB07A383CB}">
      <dgm:prSet/>
      <dgm:spPr/>
      <dgm:t>
        <a:bodyPr/>
        <a:lstStyle/>
        <a:p>
          <a:endParaRPr lang="sk-SK"/>
        </a:p>
      </dgm:t>
    </dgm:pt>
    <dgm:pt modelId="{57F8ED4F-4057-410A-8AEC-678EE255E591}" type="parTrans" cxnId="{4CF17B71-751B-480E-ACCD-8C7F021862C0}">
      <dgm:prSet/>
      <dgm:spPr/>
      <dgm:t>
        <a:bodyPr/>
        <a:lstStyle/>
        <a:p>
          <a:endParaRPr lang="sk-SK"/>
        </a:p>
      </dgm:t>
    </dgm:pt>
    <dgm:pt modelId="{1727F87E-7FC2-48E2-9D78-CCC5E1649675}" type="sibTrans" cxnId="{4CF17B71-751B-480E-ACCD-8C7F021862C0}">
      <dgm:prSet/>
      <dgm:spPr/>
      <dgm:t>
        <a:bodyPr/>
        <a:lstStyle/>
        <a:p>
          <a:endParaRPr lang="sk-SK"/>
        </a:p>
      </dgm:t>
    </dgm:pt>
    <dgm:pt modelId="{5C0E71E5-E289-41AD-802B-4FA29501C8FB}">
      <dgm:prSet/>
      <dgm:spPr/>
      <dgm:t>
        <a:bodyPr/>
        <a:lstStyle/>
        <a:p>
          <a:endParaRPr lang="sk-SK"/>
        </a:p>
      </dgm:t>
    </dgm:pt>
    <dgm:pt modelId="{AD675551-5E59-4A0B-8B88-C8180DE67417}" type="parTrans" cxnId="{6EF629FB-7538-498B-8E32-C7B8DBFE367A}">
      <dgm:prSet/>
      <dgm:spPr/>
      <dgm:t>
        <a:bodyPr/>
        <a:lstStyle/>
        <a:p>
          <a:endParaRPr lang="sk-SK"/>
        </a:p>
      </dgm:t>
    </dgm:pt>
    <dgm:pt modelId="{1E36A743-343A-4608-AEB9-E6366A3E9FA4}" type="sibTrans" cxnId="{6EF629FB-7538-498B-8E32-C7B8DBFE367A}">
      <dgm:prSet/>
      <dgm:spPr/>
      <dgm:t>
        <a:bodyPr/>
        <a:lstStyle/>
        <a:p>
          <a:endParaRPr lang="sk-SK"/>
        </a:p>
      </dgm:t>
    </dgm:pt>
    <dgm:pt modelId="{AEF7B322-2EAC-43CB-A35C-C3AC50701205}">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do účinnosti zmluvy o NFP</a:t>
          </a:r>
        </a:p>
        <a:p>
          <a:r>
            <a:rPr lang="sk-SK" sz="1000" i="1">
              <a:solidFill>
                <a:schemeClr val="accent4">
                  <a:lumMod val="75000"/>
                </a:schemeClr>
              </a:solidFill>
            </a:rPr>
            <a:t> - základná finančná kontrola</a:t>
          </a:r>
        </a:p>
      </dgm:t>
    </dgm:pt>
    <dgm:pt modelId="{FE2064CB-A6E1-4FCE-B7DF-F6E40F5B1CDD}" type="parTrans" cxnId="{1C6A1595-6533-4BA1-8B45-2D5FD0AF3CA6}">
      <dgm:prSet/>
      <dgm:spPr/>
      <dgm:t>
        <a:bodyPr/>
        <a:lstStyle/>
        <a:p>
          <a:endParaRPr lang="sk-SK"/>
        </a:p>
      </dgm:t>
    </dgm:pt>
    <dgm:pt modelId="{C1929D57-3C4E-4479-95B3-9455D5443EB9}" type="sibTrans" cxnId="{1C6A1595-6533-4BA1-8B45-2D5FD0AF3CA6}">
      <dgm:prSet/>
      <dgm:spPr/>
      <dgm:t>
        <a:bodyPr/>
        <a:lstStyle/>
        <a:p>
          <a:endParaRPr lang="sk-SK"/>
        </a:p>
      </dgm:t>
    </dgm:pt>
    <dgm:pt modelId="{F36058AE-C27A-4952-AEB8-C69E065CEACD}" type="pres">
      <dgm:prSet presAssocID="{AE0015F6-7E1A-48E7-B6C0-771D31959E1F}" presName="composite" presStyleCnt="0">
        <dgm:presLayoutVars>
          <dgm:chMax val="1"/>
          <dgm:dir/>
          <dgm:resizeHandles val="exact"/>
        </dgm:presLayoutVars>
      </dgm:prSet>
      <dgm:spPr/>
      <dgm:t>
        <a:bodyPr/>
        <a:lstStyle/>
        <a:p>
          <a:endParaRPr lang="sk-SK"/>
        </a:p>
      </dgm:t>
    </dgm:pt>
    <dgm:pt modelId="{714EC99D-E305-4259-87EE-6D26A58747CC}" type="pres">
      <dgm:prSet presAssocID="{36C5CB33-15FC-4B9F-B999-32D905C66FB1}" presName="roof" presStyleLbl="dkBgShp" presStyleIdx="0" presStyleCnt="2" custScaleY="53005" custLinFactNeighborY="-3415"/>
      <dgm:spPr/>
      <dgm:t>
        <a:bodyPr/>
        <a:lstStyle/>
        <a:p>
          <a:endParaRPr lang="sk-SK"/>
        </a:p>
      </dgm:t>
    </dgm:pt>
    <dgm:pt modelId="{099DA3CE-7CB7-4756-A0DF-273147EA3AA1}" type="pres">
      <dgm:prSet presAssocID="{36C5CB33-15FC-4B9F-B999-32D905C66FB1}" presName="pillars" presStyleCnt="0"/>
      <dgm:spPr/>
    </dgm:pt>
    <dgm:pt modelId="{0F58D3C2-E40F-4C43-A4CE-0CE49E16C603}" type="pres">
      <dgm:prSet presAssocID="{36C5CB33-15FC-4B9F-B999-32D905C66FB1}" presName="pillar1" presStyleLbl="node1" presStyleIdx="0" presStyleCnt="3" custScaleX="29088" custScaleY="49273" custLinFactNeighborX="-1331" custLinFactNeighborY="-24719">
        <dgm:presLayoutVars>
          <dgm:bulletEnabled val="1"/>
        </dgm:presLayoutVars>
      </dgm:prSet>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190500" h="190500"/>
          <a:bevelB/>
        </a:sp3d>
      </dgm:spPr>
      <dgm:t>
        <a:bodyPr/>
        <a:lstStyle/>
        <a:p>
          <a:endParaRPr lang="sk-SK"/>
        </a:p>
      </dgm:t>
    </dgm:pt>
    <dgm:pt modelId="{E0F9480C-2F98-4D96-9EC4-A5A5218A9B70}" type="pres">
      <dgm:prSet presAssocID="{70C73672-CF73-4B8E-AE19-C04CFC36FAA7}" presName="pillarX" presStyleLbl="node1" presStyleIdx="1" presStyleCnt="3" custScaleX="30884" custScaleY="52312" custLinFactNeighborX="-463" custLinFactNeighborY="-14095">
        <dgm:presLayoutVars>
          <dgm:bulletEnabled val="1"/>
        </dgm:presLayoutVars>
      </dgm:prSet>
      <dgm:spPr/>
      <dgm:t>
        <a:bodyPr/>
        <a:lstStyle/>
        <a:p>
          <a:endParaRPr lang="sk-SK"/>
        </a:p>
      </dgm:t>
    </dgm:pt>
    <dgm:pt modelId="{653DBB08-B81E-4FE3-82A4-416F1E3558E1}" type="pres">
      <dgm:prSet presAssocID="{C9AAD6A5-0DEA-4ECA-8C91-190E3BB1C4AD}" presName="pillarX" presStyleLbl="node1" presStyleIdx="2" presStyleCnt="3" custScaleX="29959" custScaleY="63803" custLinFactNeighborX="663" custLinFactNeighborY="435">
        <dgm:presLayoutVars>
          <dgm:bulletEnabled val="1"/>
        </dgm:presLayoutVars>
      </dgm:prSet>
      <dgm:spPr/>
      <dgm:t>
        <a:bodyPr/>
        <a:lstStyle/>
        <a:p>
          <a:endParaRPr lang="sk-SK"/>
        </a:p>
      </dgm:t>
    </dgm:pt>
    <dgm:pt modelId="{C4C61265-FCC2-4886-91A9-739CE083C0C8}" type="pres">
      <dgm:prSet presAssocID="{36C5CB33-15FC-4B9F-B999-32D905C66FB1}" presName="base" presStyleLbl="dkBgShp" presStyleIdx="1" presStyleCnt="2" custLinFactY="-28806" custLinFactNeighborY="-100000"/>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95250" h="95250"/>
          <a:bevelB/>
        </a:sp3d>
      </dgm:spPr>
    </dgm:pt>
  </dgm:ptLst>
  <dgm:cxnLst>
    <dgm:cxn modelId="{1C6A1595-6533-4BA1-8B45-2D5FD0AF3CA6}" srcId="{36C5CB33-15FC-4B9F-B999-32D905C66FB1}" destId="{AEF7B322-2EAC-43CB-A35C-C3AC50701205}" srcOrd="0" destOrd="0" parTransId="{FE2064CB-A6E1-4FCE-B7DF-F6E40F5B1CDD}" sibTransId="{C1929D57-3C4E-4479-95B3-9455D5443EB9}"/>
    <dgm:cxn modelId="{F1DD907D-CB73-4D14-B955-F59F520AE940}" type="presOf" srcId="{70C73672-CF73-4B8E-AE19-C04CFC36FAA7}" destId="{E0F9480C-2F98-4D96-9EC4-A5A5218A9B70}" srcOrd="0" destOrd="0" presId="urn:microsoft.com/office/officeart/2005/8/layout/hList3"/>
    <dgm:cxn modelId="{01BADFFC-978D-4BEE-8812-63E54A32C796}" srcId="{36C5CB33-15FC-4B9F-B999-32D905C66FB1}" destId="{C9AAD6A5-0DEA-4ECA-8C91-190E3BB1C4AD}" srcOrd="2" destOrd="0" parTransId="{FBFB6254-1797-40C3-B341-C4F9348CE7C3}" sibTransId="{DEE42A91-7223-4EEF-B846-82C2C7F9FF3A}"/>
    <dgm:cxn modelId="{56E1B2E0-769A-4CFC-8C16-A1EE7BD57861}" type="presOf" srcId="{AE0015F6-7E1A-48E7-B6C0-771D31959E1F}" destId="{F36058AE-C27A-4952-AEB8-C69E065CEACD}" srcOrd="0" destOrd="0" presId="urn:microsoft.com/office/officeart/2005/8/layout/hList3"/>
    <dgm:cxn modelId="{85BF52EE-174C-4AE9-97D5-5C5316CF8825}" srcId="{AE0015F6-7E1A-48E7-B6C0-771D31959E1F}" destId="{36C5CB33-15FC-4B9F-B999-32D905C66FB1}" srcOrd="0" destOrd="0" parTransId="{AB6487FC-1FC4-41B7-BA50-706A5B962FE7}" sibTransId="{71AC8452-A136-4468-B016-A08E99D9B555}"/>
    <dgm:cxn modelId="{207C153D-8823-46FF-891D-72810043A4A2}" type="presOf" srcId="{36C5CB33-15FC-4B9F-B999-32D905C66FB1}" destId="{714EC99D-E305-4259-87EE-6D26A58747CC}" srcOrd="0" destOrd="0" presId="urn:microsoft.com/office/officeart/2005/8/layout/hList3"/>
    <dgm:cxn modelId="{6EF629FB-7538-498B-8E32-C7B8DBFE367A}" srcId="{AE0015F6-7E1A-48E7-B6C0-771D31959E1F}" destId="{5C0E71E5-E289-41AD-802B-4FA29501C8FB}" srcOrd="3" destOrd="0" parTransId="{AD675551-5E59-4A0B-8B88-C8180DE67417}" sibTransId="{1E36A743-343A-4608-AEB9-E6366A3E9FA4}"/>
    <dgm:cxn modelId="{0F47355C-BF41-46B1-A42D-F173BF330F8C}" type="presOf" srcId="{C9AAD6A5-0DEA-4ECA-8C91-190E3BB1C4AD}" destId="{653DBB08-B81E-4FE3-82A4-416F1E3558E1}" srcOrd="0" destOrd="0" presId="urn:microsoft.com/office/officeart/2005/8/layout/hList3"/>
    <dgm:cxn modelId="{02264B80-3C97-49D3-80CF-3C13AEA3E1DD}" srcId="{36C5CB33-15FC-4B9F-B999-32D905C66FB1}" destId="{70C73672-CF73-4B8E-AE19-C04CFC36FAA7}" srcOrd="1" destOrd="0" parTransId="{72214487-C226-4441-9A66-A543C492EF4A}" sibTransId="{9F3962D0-88B8-4180-9F1E-AA7138408B60}"/>
    <dgm:cxn modelId="{9836498E-B5FF-49A3-8A39-8198DBB5B5CE}" type="presOf" srcId="{AEF7B322-2EAC-43CB-A35C-C3AC50701205}" destId="{0F58D3C2-E40F-4C43-A4CE-0CE49E16C603}" srcOrd="0" destOrd="0" presId="urn:microsoft.com/office/officeart/2005/8/layout/hList3"/>
    <dgm:cxn modelId="{4CF17B71-751B-480E-ACCD-8C7F021862C0}" srcId="{AE0015F6-7E1A-48E7-B6C0-771D31959E1F}" destId="{CD8127EC-927C-441F-B283-B2DB07A383CB}" srcOrd="2" destOrd="0" parTransId="{57F8ED4F-4057-410A-8AEC-678EE255E591}" sibTransId="{1727F87E-7FC2-48E2-9D78-CCC5E1649675}"/>
    <dgm:cxn modelId="{6E535D67-152E-4A7A-88F0-591EB62DFA41}" srcId="{AE0015F6-7E1A-48E7-B6C0-771D31959E1F}" destId="{2E2B187E-5051-4BCD-BD91-F1FEC4CF41AE}" srcOrd="1" destOrd="0" parTransId="{301F1E11-B4B5-473E-B845-B241A8468B4E}" sibTransId="{C173D8AC-917B-4D48-A432-26792D6AA257}"/>
    <dgm:cxn modelId="{B46851EF-A982-4A4C-BC75-C56B898F0F64}" type="presParOf" srcId="{F36058AE-C27A-4952-AEB8-C69E065CEACD}" destId="{714EC99D-E305-4259-87EE-6D26A58747CC}" srcOrd="0" destOrd="0" presId="urn:microsoft.com/office/officeart/2005/8/layout/hList3"/>
    <dgm:cxn modelId="{2933BE5B-7A80-4D67-B8F7-AEBD478A664B}" type="presParOf" srcId="{F36058AE-C27A-4952-AEB8-C69E065CEACD}" destId="{099DA3CE-7CB7-4756-A0DF-273147EA3AA1}" srcOrd="1" destOrd="0" presId="urn:microsoft.com/office/officeart/2005/8/layout/hList3"/>
    <dgm:cxn modelId="{B5D94C8E-8E67-4608-AD1D-212D4F3876D9}" type="presParOf" srcId="{099DA3CE-7CB7-4756-A0DF-273147EA3AA1}" destId="{0F58D3C2-E40F-4C43-A4CE-0CE49E16C603}" srcOrd="0" destOrd="0" presId="urn:microsoft.com/office/officeart/2005/8/layout/hList3"/>
    <dgm:cxn modelId="{50286ADE-681E-41D2-A4CD-A32298D0E15D}" type="presParOf" srcId="{099DA3CE-7CB7-4756-A0DF-273147EA3AA1}" destId="{E0F9480C-2F98-4D96-9EC4-A5A5218A9B70}" srcOrd="1" destOrd="0" presId="urn:microsoft.com/office/officeart/2005/8/layout/hList3"/>
    <dgm:cxn modelId="{2BB8A9EC-485B-4350-B17E-431072768117}" type="presParOf" srcId="{099DA3CE-7CB7-4756-A0DF-273147EA3AA1}" destId="{653DBB08-B81E-4FE3-82A4-416F1E3558E1}" srcOrd="2" destOrd="0" presId="urn:microsoft.com/office/officeart/2005/8/layout/hList3"/>
    <dgm:cxn modelId="{457577CD-6E0F-4365-B0F5-8DBAF2B2C065}" type="presParOf" srcId="{F36058AE-C27A-4952-AEB8-C69E065CEACD}" destId="{C4C61265-FCC2-4886-91A9-739CE083C0C8}" srcOrd="2" destOrd="0" presId="urn:microsoft.com/office/officeart/2005/8/layout/hList3"/>
  </dgm:cxnLst>
  <dgm:bg/>
  <dgm:whole/>
  <dgm:extLst>
    <a:ext uri="http://schemas.microsoft.com/office/drawing/2008/diagram">
      <dsp:dataModelExt xmlns:dsp="http://schemas.microsoft.com/office/drawing/2008/diagram" relId="rId176" minVer="http://schemas.openxmlformats.org/drawingml/2006/diagram"/>
    </a:ext>
  </dgm:extLst>
</dgm:dataModel>
</file>

<file path=word/diagrams/data25.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4" qsCatId="simple" csTypeId="urn:microsoft.com/office/officeart/2005/8/colors/accent1_2#25"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správy/návrhu 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/správy z kontroly na vyjadrenie prijímateľa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BA34A8F3-79B7-45AB-B876-82712E13BDFE}">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Vypracovanie čiastkovej správy/správy z kontroly</a:t>
          </a:r>
        </a:p>
      </dgm:t>
    </dgm:pt>
    <dgm:pt modelId="{34532C82-5782-4205-A38C-7FD341F166A0}" type="sibTrans" cxnId="{01E9FB96-7A09-4AA7-B160-90543C802E79}">
      <dgm:prSet/>
      <dgm:spPr/>
      <dgm:t>
        <a:bodyPr/>
        <a:lstStyle/>
        <a:p>
          <a:endParaRPr lang="sk-SK"/>
        </a:p>
      </dgm:t>
    </dgm:pt>
    <dgm:pt modelId="{71E8FB8C-0456-40DC-81EF-5A9E632A2601}" type="parTrans" cxnId="{01E9FB96-7A09-4AA7-B160-90543C802E79}">
      <dgm:prSet/>
      <dgm:spPr/>
      <dgm:t>
        <a:bodyPr/>
        <a:lstStyle/>
        <a:p>
          <a:endParaRPr lang="sk-SK"/>
        </a:p>
      </dgm:t>
    </dgm:pt>
    <dgm:pt modelId="{451C0133-7C34-4673-A100-79086FF2B5F8}">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DB30818A-CD22-48EF-88DF-C7C840862E0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a:t>
          </a:r>
        </a:p>
      </dgm:t>
    </dgm:pt>
    <dgm:pt modelId="{22460A6E-4C55-431A-85D7-EA4593617A6F}" type="parTrans" cxnId="{B59B040A-960C-428A-9183-4EA1863FAFEE}">
      <dgm:prSet/>
      <dgm:spPr/>
      <dgm:t>
        <a:bodyPr/>
        <a:lstStyle/>
        <a:p>
          <a:endParaRPr lang="sk-SK"/>
        </a:p>
      </dgm:t>
    </dgm:pt>
    <dgm:pt modelId="{7D1872E2-28EB-4475-B4F1-8B0DEBF2454F}" type="sibTrans" cxnId="{B59B040A-960C-428A-9183-4EA1863FAFEE}">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5163FF57-A550-47AC-9D7D-8D5F414861EE}" srcId="{D63FDEA1-9CCA-4C10-89C5-9B23DD5C27E6}" destId="{0C59C404-5CD6-40A4-9A11-037DC780EA23}" srcOrd="1" destOrd="0" parTransId="{ECBBDC60-43BC-48AE-BE05-BB4A8BE8DCE2}" sibTransId="{EF343850-5B10-4C10-8B73-5089318E6BDC}"/>
    <dgm:cxn modelId="{A6CFE9FD-6D6A-46C0-9730-640804BCFCEB}" type="presOf" srcId="{7DE71D68-071D-489A-B18A-BF1EFC0E60FB}" destId="{582E9870-9EDA-4033-9CB5-6145ADD7293B}" srcOrd="0" destOrd="0" presId="urn:microsoft.com/office/officeart/2005/8/layout/hProcess4"/>
    <dgm:cxn modelId="{71AB379B-FC2E-4FD8-BC5E-FDFB877D1ACC}" type="presOf" srcId="{DAEB701C-D9D5-437A-8FA1-1800CA4614E7}" destId="{CA8DC8C2-902A-4C8E-98D9-C24F3DCA2CE4}" srcOrd="0" destOrd="0" presId="urn:microsoft.com/office/officeart/2005/8/layout/hProcess4"/>
    <dgm:cxn modelId="{D8E694E6-0C69-4688-92F7-7CEF8DA8C07B}" type="presOf" srcId="{DB30818A-CD22-48EF-88DF-C7C840862E07}" destId="{E9A9E598-D685-45E4-8D98-9AC98B6B531E}" srcOrd="1" destOrd="1" presId="urn:microsoft.com/office/officeart/2005/8/layout/hProcess4"/>
    <dgm:cxn modelId="{A3876975-7FE6-4E9B-9B9E-B785758D74E3}" type="presOf" srcId="{451C0133-7C34-4673-A100-79086FF2B5F8}" destId="{E9A9E598-D685-45E4-8D98-9AC98B6B531E}" srcOrd="1" destOrd="3" presId="urn:microsoft.com/office/officeart/2005/8/layout/hProcess4"/>
    <dgm:cxn modelId="{46527CA8-1C65-4963-B7D3-4A39DF64EFFB}" type="presOf" srcId="{E5A3102E-342C-49CF-BE48-8AC6B8D4CD96}" destId="{A1CE76BB-8109-43BF-A783-4F3F66A98A6B}" srcOrd="1" destOrd="0" presId="urn:microsoft.com/office/officeart/2005/8/layout/hProcess4"/>
    <dgm:cxn modelId="{D59A578C-9D29-4295-8060-1E44E4B04D79}" type="presOf" srcId="{EF343850-5B10-4C10-8B73-5089318E6BDC}" destId="{0D8EEC67-CFCB-4E03-A953-611E63CC3E69}" srcOrd="0" destOrd="0" presId="urn:microsoft.com/office/officeart/2005/8/layout/hProcess4"/>
    <dgm:cxn modelId="{A8820214-DBC1-4303-BB62-F019454567A3}" type="presOf" srcId="{BA34A8F3-79B7-45AB-B876-82712E13BDFE}" destId="{E9A9E598-D685-45E4-8D98-9AC98B6B531E}" srcOrd="1" destOrd="2" presId="urn:microsoft.com/office/officeart/2005/8/layout/hProcess4"/>
    <dgm:cxn modelId="{0CC42D8B-4759-42D6-9CFE-FEC36C897B9D}" type="presOf" srcId="{BA34A8F3-79B7-45AB-B876-82712E13BDFE}" destId="{CA8DC8C2-902A-4C8E-98D9-C24F3DCA2CE4}" srcOrd="0" destOrd="2" presId="urn:microsoft.com/office/officeart/2005/8/layout/hProcess4"/>
    <dgm:cxn modelId="{1205BD41-31C3-4528-AE20-17CD084508BE}" srcId="{7DE71D68-071D-489A-B18A-BF1EFC0E60FB}" destId="{E4B6DF32-6560-49A8-BE92-0DE9687BB739}" srcOrd="1" destOrd="0" parTransId="{8DBD48CF-C6CB-4BCC-AF12-353CB0F3A5D9}" sibTransId="{793DA379-27C1-4AB1-890E-F89A7F9AD5C7}"/>
    <dgm:cxn modelId="{7B466A30-C836-4A18-9CD7-F02C32795339}" type="presOf" srcId="{A85439DC-475D-4A2E-B4B6-264E6C6050C6}" destId="{E9EFFA70-AC37-4F00-9C3A-C033D060B362}" srcOrd="0" destOrd="3"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B6B0FCBB-C22A-406E-9A92-79867B7E5233}" srcId="{855C5922-552B-47A4-A9E9-43B7550532DD}" destId="{451C0133-7C34-4673-A100-79086FF2B5F8}" srcOrd="3" destOrd="0" parTransId="{9EA5EE81-4D56-4FC6-9D69-9CC568212C8F}" sibTransId="{0D61BD1F-B4C2-4C0F-859A-6E3AC54D6729}"/>
    <dgm:cxn modelId="{8D7A01F5-E529-4633-8DA7-0A4E3DBB8E50}" type="presOf" srcId="{41123FA9-DD27-4D98-B416-494DE4A2D8E9}" destId="{85101C14-1AA3-4160-B3DB-B17859AE5781}" srcOrd="1" destOrd="0" presId="urn:microsoft.com/office/officeart/2005/8/layout/hProcess4"/>
    <dgm:cxn modelId="{B38555DA-8EAA-4AF1-8544-E3DB0FD8A13C}" srcId="{7DE71D68-071D-489A-B18A-BF1EFC0E60FB}" destId="{924F6A27-35D5-4175-A2CD-27850CA02E77}" srcOrd="2" destOrd="0" parTransId="{D8772577-7AC6-43B7-AD2F-E29DE88C4F95}" sibTransId="{367C994E-D30E-4190-AD6D-3BF4BE87E8BE}"/>
    <dgm:cxn modelId="{74CE8E43-DD1E-46FA-AF14-4848AAA81D44}" srcId="{D63FDEA1-9CCA-4C10-89C5-9B23DD5C27E6}" destId="{7DE71D68-071D-489A-B18A-BF1EFC0E60FB}" srcOrd="0" destOrd="0" parTransId="{88F3562D-75EF-4165-8D8D-9584E8F6BBAD}" sibTransId="{2EF78F56-FFA6-4D0A-AB89-64627C34799E}"/>
    <dgm:cxn modelId="{4E056F59-0643-47EB-8712-63A8D6E5AAE5}" type="presOf" srcId="{E4B6DF32-6560-49A8-BE92-0DE9687BB739}" destId="{E9EFFA70-AC37-4F00-9C3A-C033D060B362}" srcOrd="0" destOrd="1" presId="urn:microsoft.com/office/officeart/2005/8/layout/hProcess4"/>
    <dgm:cxn modelId="{6295A85E-F72B-4C03-AA57-80D0D795CA52}" type="presOf" srcId="{4296B877-9E1B-4B3F-B675-2B9CD1F7C56B}" destId="{85101C14-1AA3-4160-B3DB-B17859AE5781}" srcOrd="1" destOrd="1" presId="urn:microsoft.com/office/officeart/2005/8/layout/hProcess4"/>
    <dgm:cxn modelId="{7D23473C-4F97-48F7-B647-943A6FA0E1B4}" type="presOf" srcId="{E5A3102E-342C-49CF-BE48-8AC6B8D4CD96}" destId="{E9EFFA70-AC37-4F00-9C3A-C033D060B362}" srcOrd="0" destOrd="0" presId="urn:microsoft.com/office/officeart/2005/8/layout/hProcess4"/>
    <dgm:cxn modelId="{EDEF496E-FAA1-4820-B379-24FD8C2CEE24}" type="presOf" srcId="{41123FA9-DD27-4D98-B416-494DE4A2D8E9}" destId="{18B80A27-057A-4402-81A4-202F53D937E2}" srcOrd="0" destOrd="0" presId="urn:microsoft.com/office/officeart/2005/8/layout/hProcess4"/>
    <dgm:cxn modelId="{9BD2CCF3-F98C-43A3-9A17-E1F599B7AF46}" type="presOf" srcId="{0C59C404-5CD6-40A4-9A11-037DC780EA23}" destId="{C5C2BB8A-B954-4CE1-B001-F226211D90EB}" srcOrd="0" destOrd="0" presId="urn:microsoft.com/office/officeart/2005/8/layout/hProcess4"/>
    <dgm:cxn modelId="{EB065CB5-A688-4A6D-99CA-4D4F15763572}" type="presOf" srcId="{E4B6DF32-6560-49A8-BE92-0DE9687BB739}" destId="{A1CE76BB-8109-43BF-A783-4F3F66A98A6B}" srcOrd="1" destOrd="1" presId="urn:microsoft.com/office/officeart/2005/8/layout/hProcess4"/>
    <dgm:cxn modelId="{06E0890C-0318-40EE-AD11-049161D81D5F}" type="presOf" srcId="{924F6A27-35D5-4175-A2CD-27850CA02E77}" destId="{E9EFFA70-AC37-4F00-9C3A-C033D060B362}" srcOrd="0" destOrd="2" presId="urn:microsoft.com/office/officeart/2005/8/layout/hProcess4"/>
    <dgm:cxn modelId="{354DA54B-C981-4F84-9F0C-3B6965B947F4}" type="presOf" srcId="{DB30818A-CD22-48EF-88DF-C7C840862E07}" destId="{CA8DC8C2-902A-4C8E-98D9-C24F3DCA2CE4}" srcOrd="0" destOrd="1" presId="urn:microsoft.com/office/officeart/2005/8/layout/hProcess4"/>
    <dgm:cxn modelId="{8A495675-F616-40DE-B674-0567CA7CC331}" type="presOf" srcId="{4296B877-9E1B-4B3F-B675-2B9CD1F7C56B}" destId="{18B80A27-057A-4402-81A4-202F53D937E2}" srcOrd="0" destOrd="1"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0B31C864-8D8C-4192-A294-A4C9F01A2C06}" type="presOf" srcId="{DAEB701C-D9D5-437A-8FA1-1800CA4614E7}" destId="{E9A9E598-D685-45E4-8D98-9AC98B6B531E}" srcOrd="1" destOrd="0" presId="urn:microsoft.com/office/officeart/2005/8/layout/hProcess4"/>
    <dgm:cxn modelId="{FC318F92-534A-4B0B-B415-E89F4C194846}" type="presOf" srcId="{451C0133-7C34-4673-A100-79086FF2B5F8}" destId="{CA8DC8C2-902A-4C8E-98D9-C24F3DCA2CE4}" srcOrd="0" destOrd="3"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CED54691-309E-48F0-86E2-73D21D37C8BC}" type="presOf" srcId="{2EF78F56-FFA6-4D0A-AB89-64627C34799E}" destId="{BF542D47-0F73-4C39-AECB-6392B969BEE2}" srcOrd="0" destOrd="0" presId="urn:microsoft.com/office/officeart/2005/8/layout/hProcess4"/>
    <dgm:cxn modelId="{B1624176-82A5-49F3-81EC-91F84F7979BF}" type="presOf" srcId="{D63FDEA1-9CCA-4C10-89C5-9B23DD5C27E6}" destId="{5E7B7702-5F62-4DE8-B040-E86BBFBCB15F}" srcOrd="0" destOrd="0" presId="urn:microsoft.com/office/officeart/2005/8/layout/hProcess4"/>
    <dgm:cxn modelId="{1B5A4CCD-C16F-4B31-9C87-E0CF7E15E8B6}" type="presOf" srcId="{A85439DC-475D-4A2E-B4B6-264E6C6050C6}" destId="{A1CE76BB-8109-43BF-A783-4F3F66A98A6B}" srcOrd="1" destOrd="3" presId="urn:microsoft.com/office/officeart/2005/8/layout/hProcess4"/>
    <dgm:cxn modelId="{01E9FB96-7A09-4AA7-B160-90543C802E79}" srcId="{855C5922-552B-47A4-A9E9-43B7550532DD}" destId="{BA34A8F3-79B7-45AB-B876-82712E13BDFE}" srcOrd="2" destOrd="0" parTransId="{71E8FB8C-0456-40DC-81EF-5A9E632A2601}" sibTransId="{34532C82-5782-4205-A38C-7FD341F166A0}"/>
    <dgm:cxn modelId="{BDFFDD39-B9D2-45F1-8E17-BCB03BD29FB4}" srcId="{7DE71D68-071D-489A-B18A-BF1EFC0E60FB}" destId="{E5A3102E-342C-49CF-BE48-8AC6B8D4CD96}" srcOrd="0"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7CBA333D-82CA-4545-96D4-129F76C00375}" type="presOf" srcId="{855C5922-552B-47A4-A9E9-43B7550532DD}" destId="{97DC40B2-472E-447B-93FF-434AB18F15A3}" srcOrd="0" destOrd="0" presId="urn:microsoft.com/office/officeart/2005/8/layout/hProcess4"/>
    <dgm:cxn modelId="{DB181135-F918-4F89-BB72-BBBCA2F22803}" type="presOf" srcId="{924F6A27-35D5-4175-A2CD-27850CA02E77}" destId="{A1CE76BB-8109-43BF-A783-4F3F66A98A6B}" srcOrd="1" destOrd="2" presId="urn:microsoft.com/office/officeart/2005/8/layout/hProcess4"/>
    <dgm:cxn modelId="{B59B040A-960C-428A-9183-4EA1863FAFEE}" srcId="{855C5922-552B-47A4-A9E9-43B7550532DD}" destId="{DB30818A-CD22-48EF-88DF-C7C840862E07}" srcOrd="1" destOrd="0" parTransId="{22460A6E-4C55-431A-85D7-EA4593617A6F}" sibTransId="{7D1872E2-28EB-4475-B4F1-8B0DEBF2454F}"/>
    <dgm:cxn modelId="{1AD5E7CA-FB9A-46DC-B238-90993CB5DBED}" srcId="{7DE71D68-071D-489A-B18A-BF1EFC0E60FB}" destId="{A85439DC-475D-4A2E-B4B6-264E6C6050C6}" srcOrd="3" destOrd="0" parTransId="{D7960B13-C8DB-4604-AC98-FC30C6C04C34}" sibTransId="{10787728-5989-4234-AF20-568464E0549B}"/>
    <dgm:cxn modelId="{6C025957-4CA2-4075-9555-924C6C5FC367}" type="presParOf" srcId="{5E7B7702-5F62-4DE8-B040-E86BBFBCB15F}" destId="{92F0EDAC-4066-443D-A52F-FB7190865796}" srcOrd="0" destOrd="0" presId="urn:microsoft.com/office/officeart/2005/8/layout/hProcess4"/>
    <dgm:cxn modelId="{351335AE-BFD7-4CF5-8DC4-9DFD42E2A648}" type="presParOf" srcId="{5E7B7702-5F62-4DE8-B040-E86BBFBCB15F}" destId="{51597F9A-10EA-4B87-9FDE-3543F9863C23}" srcOrd="1" destOrd="0" presId="urn:microsoft.com/office/officeart/2005/8/layout/hProcess4"/>
    <dgm:cxn modelId="{4802C973-6176-4A58-98D6-420C5F795915}" type="presParOf" srcId="{5E7B7702-5F62-4DE8-B040-E86BBFBCB15F}" destId="{CDB428F8-DF21-4827-8153-4A1435701C4B}" srcOrd="2" destOrd="0" presId="urn:microsoft.com/office/officeart/2005/8/layout/hProcess4"/>
    <dgm:cxn modelId="{161049D2-733C-4E15-9255-ABBC9383F665}" type="presParOf" srcId="{CDB428F8-DF21-4827-8153-4A1435701C4B}" destId="{7F608B39-B888-4B5A-8D54-57A0AE0CCEAA}" srcOrd="0" destOrd="0" presId="urn:microsoft.com/office/officeart/2005/8/layout/hProcess4"/>
    <dgm:cxn modelId="{536E6F55-7441-4EB6-BD23-88FCDAAB205E}" type="presParOf" srcId="{7F608B39-B888-4B5A-8D54-57A0AE0CCEAA}" destId="{6B7A6191-CFFE-4E86-85BA-19C0353B79AA}" srcOrd="0" destOrd="0" presId="urn:microsoft.com/office/officeart/2005/8/layout/hProcess4"/>
    <dgm:cxn modelId="{805E3DC5-BBC7-4430-94A2-AFE29AB8E35E}" type="presParOf" srcId="{7F608B39-B888-4B5A-8D54-57A0AE0CCEAA}" destId="{E9EFFA70-AC37-4F00-9C3A-C033D060B362}" srcOrd="1" destOrd="0" presId="urn:microsoft.com/office/officeart/2005/8/layout/hProcess4"/>
    <dgm:cxn modelId="{0C3D657C-8770-48B6-AEB1-0F6AC5671F83}" type="presParOf" srcId="{7F608B39-B888-4B5A-8D54-57A0AE0CCEAA}" destId="{A1CE76BB-8109-43BF-A783-4F3F66A98A6B}" srcOrd="2" destOrd="0" presId="urn:microsoft.com/office/officeart/2005/8/layout/hProcess4"/>
    <dgm:cxn modelId="{981EFB02-546A-41B3-A09E-411A1A22129D}" type="presParOf" srcId="{7F608B39-B888-4B5A-8D54-57A0AE0CCEAA}" destId="{582E9870-9EDA-4033-9CB5-6145ADD7293B}" srcOrd="3" destOrd="0" presId="urn:microsoft.com/office/officeart/2005/8/layout/hProcess4"/>
    <dgm:cxn modelId="{B1E98E0E-5208-4F3A-B33D-83525A80BA84}" type="presParOf" srcId="{7F608B39-B888-4B5A-8D54-57A0AE0CCEAA}" destId="{E8EEBF08-7CF5-40A2-8416-972102A6159D}" srcOrd="4" destOrd="0" presId="urn:microsoft.com/office/officeart/2005/8/layout/hProcess4"/>
    <dgm:cxn modelId="{B25E8214-2A9D-4DF3-A3E7-B18593EDA894}" type="presParOf" srcId="{CDB428F8-DF21-4827-8153-4A1435701C4B}" destId="{BF542D47-0F73-4C39-AECB-6392B969BEE2}" srcOrd="1" destOrd="0" presId="urn:microsoft.com/office/officeart/2005/8/layout/hProcess4"/>
    <dgm:cxn modelId="{D92B65C4-A836-4668-B07B-FD11F403CF02}" type="presParOf" srcId="{CDB428F8-DF21-4827-8153-4A1435701C4B}" destId="{23416E9C-8032-4BEB-95BC-4E55B284DAFA}" srcOrd="2" destOrd="0" presId="urn:microsoft.com/office/officeart/2005/8/layout/hProcess4"/>
    <dgm:cxn modelId="{84B669E0-F653-4A56-88C1-4635BB8E02E9}" type="presParOf" srcId="{23416E9C-8032-4BEB-95BC-4E55B284DAFA}" destId="{793AE636-C282-403C-A614-A1555F53E53D}" srcOrd="0" destOrd="0" presId="urn:microsoft.com/office/officeart/2005/8/layout/hProcess4"/>
    <dgm:cxn modelId="{A40472D5-B9BD-4352-9C21-37FDB08B1D64}" type="presParOf" srcId="{23416E9C-8032-4BEB-95BC-4E55B284DAFA}" destId="{18B80A27-057A-4402-81A4-202F53D937E2}" srcOrd="1" destOrd="0" presId="urn:microsoft.com/office/officeart/2005/8/layout/hProcess4"/>
    <dgm:cxn modelId="{2E2474A3-E648-4C2A-B525-7017FF3D5BAC}" type="presParOf" srcId="{23416E9C-8032-4BEB-95BC-4E55B284DAFA}" destId="{85101C14-1AA3-4160-B3DB-B17859AE5781}" srcOrd="2" destOrd="0" presId="urn:microsoft.com/office/officeart/2005/8/layout/hProcess4"/>
    <dgm:cxn modelId="{98436987-5906-43A3-B226-7F48F92B4E8A}" type="presParOf" srcId="{23416E9C-8032-4BEB-95BC-4E55B284DAFA}" destId="{C5C2BB8A-B954-4CE1-B001-F226211D90EB}" srcOrd="3" destOrd="0" presId="urn:microsoft.com/office/officeart/2005/8/layout/hProcess4"/>
    <dgm:cxn modelId="{41A0F72E-768E-4F65-9EE6-325845856FA5}" type="presParOf" srcId="{23416E9C-8032-4BEB-95BC-4E55B284DAFA}" destId="{460F609C-AF12-4DFA-B20B-724DF3FF7AE5}" srcOrd="4" destOrd="0" presId="urn:microsoft.com/office/officeart/2005/8/layout/hProcess4"/>
    <dgm:cxn modelId="{4A010F48-F7F5-4BCD-A4A9-9FD349137BA1}" type="presParOf" srcId="{CDB428F8-DF21-4827-8153-4A1435701C4B}" destId="{0D8EEC67-CFCB-4E03-A953-611E63CC3E69}" srcOrd="3" destOrd="0" presId="urn:microsoft.com/office/officeart/2005/8/layout/hProcess4"/>
    <dgm:cxn modelId="{23AD6CD6-85CD-4AF3-8F4A-B32E55357FDA}" type="presParOf" srcId="{CDB428F8-DF21-4827-8153-4A1435701C4B}" destId="{C3CD700C-D343-49FB-A2B0-F8A00136FA2B}" srcOrd="4" destOrd="0" presId="urn:microsoft.com/office/officeart/2005/8/layout/hProcess4"/>
    <dgm:cxn modelId="{8BE804FD-BD22-4F32-8E8B-D931E1A1CECE}" type="presParOf" srcId="{C3CD700C-D343-49FB-A2B0-F8A00136FA2B}" destId="{6BCC6CEA-7739-4153-B75D-1BD30B35634B}" srcOrd="0" destOrd="0" presId="urn:microsoft.com/office/officeart/2005/8/layout/hProcess4"/>
    <dgm:cxn modelId="{7426909B-99C4-4229-814C-6D58904AA36F}" type="presParOf" srcId="{C3CD700C-D343-49FB-A2B0-F8A00136FA2B}" destId="{CA8DC8C2-902A-4C8E-98D9-C24F3DCA2CE4}" srcOrd="1" destOrd="0" presId="urn:microsoft.com/office/officeart/2005/8/layout/hProcess4"/>
    <dgm:cxn modelId="{35CFD944-ACAA-4551-95F8-F3E4420B157B}" type="presParOf" srcId="{C3CD700C-D343-49FB-A2B0-F8A00136FA2B}" destId="{E9A9E598-D685-45E4-8D98-9AC98B6B531E}" srcOrd="2" destOrd="0" presId="urn:microsoft.com/office/officeart/2005/8/layout/hProcess4"/>
    <dgm:cxn modelId="{7CFDE870-848A-43EA-989D-7A51A02D87A1}" type="presParOf" srcId="{C3CD700C-D343-49FB-A2B0-F8A00136FA2B}" destId="{97DC40B2-472E-447B-93FF-434AB18F15A3}" srcOrd="3" destOrd="0" presId="urn:microsoft.com/office/officeart/2005/8/layout/hProcess4"/>
    <dgm:cxn modelId="{C8ED5B0C-5F54-4D53-A9E0-31B4B415C23E}"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1" minVer="http://schemas.openxmlformats.org/drawingml/2006/diagram"/>
    </a:ext>
  </dgm:extLst>
</dgm:dataModel>
</file>

<file path=word/diagrams/data26.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5" qsCatId="simple" csTypeId="urn:microsoft.com/office/officeart/2005/8/colors/accent1_2#26"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KnM</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KnM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B1F84B60-8067-4949-B845-03B7A07BA9D6}" type="parTrans" cxnId="{3D424244-79D0-4B8E-A235-B87812C478FF}">
      <dgm:prSet/>
      <dgm:spPr/>
      <dgm:t>
        <a:bodyPr/>
        <a:lstStyle/>
        <a:p>
          <a:endParaRPr lang="sk-SK"/>
        </a:p>
      </dgm:t>
    </dgm:pt>
    <dgm:pt modelId="{1C581760-85E0-48B6-9ED0-7BFD97845763}" type="sibTrans" cxnId="{3D424244-79D0-4B8E-A235-B87812C478FF}">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správy/správy z kontroly prijímateľovi  </a:t>
          </a:r>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5163FF57-A550-47AC-9D7D-8D5F414861EE}" srcId="{D63FDEA1-9CCA-4C10-89C5-9B23DD5C27E6}" destId="{0C59C404-5CD6-40A4-9A11-037DC780EA23}" srcOrd="1" destOrd="0" parTransId="{ECBBDC60-43BC-48AE-BE05-BB4A8BE8DCE2}" sibTransId="{EF343850-5B10-4C10-8B73-5089318E6BDC}"/>
    <dgm:cxn modelId="{49805C5D-E31E-4D82-970A-E76520FFD1EE}" type="presOf" srcId="{7DE71D68-071D-489A-B18A-BF1EFC0E60FB}" destId="{582E9870-9EDA-4033-9CB5-6145ADD7293B}" srcOrd="0" destOrd="0" presId="urn:microsoft.com/office/officeart/2005/8/layout/hProcess4"/>
    <dgm:cxn modelId="{B7BCEEB4-0243-4762-AAEB-26F043BD5F6A}" type="presOf" srcId="{2EF78F56-FFA6-4D0A-AB89-64627C34799E}" destId="{BF542D47-0F73-4C39-AECB-6392B969BEE2}" srcOrd="0" destOrd="0" presId="urn:microsoft.com/office/officeart/2005/8/layout/hProcess4"/>
    <dgm:cxn modelId="{A70919E2-F84A-47BA-96E5-4602D627F72E}" type="presOf" srcId="{E4B6DF32-6560-49A8-BE92-0DE9687BB739}" destId="{E9EFFA70-AC37-4F00-9C3A-C033D060B362}" srcOrd="0" destOrd="2"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86D43412-9AA2-4E04-89CB-333380F04053}" type="presOf" srcId="{E5A3102E-342C-49CF-BE48-8AC6B8D4CD96}" destId="{E9EFFA70-AC37-4F00-9C3A-C033D060B362}" srcOrd="0" destOrd="0" presId="urn:microsoft.com/office/officeart/2005/8/layout/hProcess4"/>
    <dgm:cxn modelId="{0915C14D-0350-4DCF-9C8D-746827AE2B98}" type="presOf" srcId="{0A0F5628-AAF8-405F-B81B-27AF1550C23D}" destId="{18B80A27-057A-4402-81A4-202F53D937E2}" srcOrd="0" destOrd="1" presId="urn:microsoft.com/office/officeart/2005/8/layout/hProcess4"/>
    <dgm:cxn modelId="{28FCCC1C-7D3C-4D1D-933F-E97092D91F58}" type="presOf" srcId="{41123FA9-DD27-4D98-B416-494DE4A2D8E9}" destId="{85101C14-1AA3-4160-B3DB-B17859AE5781}" srcOrd="1" destOrd="0" presId="urn:microsoft.com/office/officeart/2005/8/layout/hProcess4"/>
    <dgm:cxn modelId="{362B1458-9CC9-4154-AB22-36D266B1A2D0}" type="presOf" srcId="{0A0F5628-AAF8-405F-B81B-27AF1550C23D}" destId="{85101C14-1AA3-4160-B3DB-B17859AE5781}" srcOrd="1" destOrd="1"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98A9653A-7C51-4C36-98F6-4086581512DE}" type="presOf" srcId="{00E34707-C1A6-46DA-9CDE-E577B858905A}" destId="{E9A9E598-D685-45E4-8D98-9AC98B6B531E}" srcOrd="1" destOrd="3"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DD73A9B9-C7BF-4BB4-85E1-13BD29313144}" type="presOf" srcId="{D34C4817-0101-420E-8C4E-19C90BD75778}" destId="{CA8DC8C2-902A-4C8E-98D9-C24F3DCA2CE4}" srcOrd="0" destOrd="1" presId="urn:microsoft.com/office/officeart/2005/8/layout/hProcess4"/>
    <dgm:cxn modelId="{24EF2CE5-718B-4CE3-AD9A-22ABEEE5A7F8}" type="presOf" srcId="{71927461-3D5C-4449-9CE0-AA212BB8B146}" destId="{CA8DC8C2-902A-4C8E-98D9-C24F3DCA2CE4}" srcOrd="0" destOrd="2"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E1874BB1-2A68-4D03-87CA-865D88BBA6DD}" type="presOf" srcId="{E4B6DF32-6560-49A8-BE92-0DE9687BB739}" destId="{A1CE76BB-8109-43BF-A783-4F3F66A98A6B}" srcOrd="1" destOrd="2" presId="urn:microsoft.com/office/officeart/2005/8/layout/hProcess4"/>
    <dgm:cxn modelId="{126B46C8-8505-4414-BDC2-057824498AFA}" type="presOf" srcId="{71927461-3D5C-4449-9CE0-AA212BB8B146}" destId="{E9A9E598-D685-45E4-8D98-9AC98B6B531E}" srcOrd="1" destOrd="2" presId="urn:microsoft.com/office/officeart/2005/8/layout/hProcess4"/>
    <dgm:cxn modelId="{BC143BF0-D267-4B2F-931C-2AF09F63D420}" type="presOf" srcId="{DAEB701C-D9D5-437A-8FA1-1800CA4614E7}" destId="{E9A9E598-D685-45E4-8D98-9AC98B6B531E}" srcOrd="1" destOrd="0" presId="urn:microsoft.com/office/officeart/2005/8/layout/hProcess4"/>
    <dgm:cxn modelId="{3D424244-79D0-4B8E-A235-B87812C478FF}" srcId="{7DE71D68-071D-489A-B18A-BF1EFC0E60FB}" destId="{DE6DF93F-CDEA-43DE-AA7F-36AAE23C578B}" srcOrd="3" destOrd="0" parTransId="{B1F84B60-8067-4949-B845-03B7A07BA9D6}" sibTransId="{1C581760-85E0-48B6-9ED0-7BFD97845763}"/>
    <dgm:cxn modelId="{19D4207F-5DE6-451C-9EF8-49B6C6F2A635}" type="presOf" srcId="{855C5922-552B-47A4-A9E9-43B7550532DD}" destId="{97DC40B2-472E-447B-93FF-434AB18F15A3}" srcOrd="0" destOrd="0" presId="urn:microsoft.com/office/officeart/2005/8/layout/hProcess4"/>
    <dgm:cxn modelId="{D07E5F37-EDB2-48F4-B35A-90341F9859C6}" type="presOf" srcId="{E5A3102E-342C-49CF-BE48-8AC6B8D4CD96}" destId="{A1CE76BB-8109-43BF-A783-4F3F66A98A6B}" srcOrd="1"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E035DAA9-2B74-4A7D-A9F3-80E12A6907C1}" srcId="{D63FDEA1-9CCA-4C10-89C5-9B23DD5C27E6}" destId="{855C5922-552B-47A4-A9E9-43B7550532DD}" srcOrd="2" destOrd="0" parTransId="{1209FC62-5D40-4DDE-A07F-4AB6B4CF9BEA}" sibTransId="{559AF16A-0A70-47AF-A0FD-D04032FA0B00}"/>
    <dgm:cxn modelId="{A5F97521-CAB4-4C14-8DD0-24173F9F1F0A}" type="presOf" srcId="{2449D290-B413-4AE2-AC6E-05309F3979C5}" destId="{A1CE76BB-8109-43BF-A783-4F3F66A98A6B}" srcOrd="1" destOrd="1" presId="urn:microsoft.com/office/officeart/2005/8/layout/hProcess4"/>
    <dgm:cxn modelId="{5CEC9DAF-9C45-4C67-98B8-E29B8546B527}" type="presOf" srcId="{D63FDEA1-9CCA-4C10-89C5-9B23DD5C27E6}" destId="{5E7B7702-5F62-4DE8-B040-E86BBFBCB15F}" srcOrd="0" destOrd="0" presId="urn:microsoft.com/office/officeart/2005/8/layout/hProcess4"/>
    <dgm:cxn modelId="{A4CFFDC5-CEEA-4F64-99DE-26F2C0568FB0}" type="presOf" srcId="{DE6DF93F-CDEA-43DE-AA7F-36AAE23C578B}" destId="{E9EFFA70-AC37-4F00-9C3A-C033D060B362}" srcOrd="0" destOrd="3" presId="urn:microsoft.com/office/officeart/2005/8/layout/hProcess4"/>
    <dgm:cxn modelId="{01ADCECA-DBFD-4506-8834-F4694FEA7CF1}" srcId="{855C5922-552B-47A4-A9E9-43B7550532DD}" destId="{71927461-3D5C-4449-9CE0-AA212BB8B146}" srcOrd="2" destOrd="0" parTransId="{AF52F99A-9AA9-46EF-A561-5CACCCA4C8E6}" sibTransId="{A6B4761F-6B87-49B0-807C-96A4A2B5614F}"/>
    <dgm:cxn modelId="{FB5199B9-085E-4C02-A231-B576F3CB9841}" type="presOf" srcId="{2449D290-B413-4AE2-AC6E-05309F3979C5}" destId="{E9EFFA70-AC37-4F00-9C3A-C033D060B362}" srcOrd="0" destOrd="1" presId="urn:microsoft.com/office/officeart/2005/8/layout/hProcess4"/>
    <dgm:cxn modelId="{39DD45DA-0500-4B6E-B2BE-9D9E794DDFF8}" type="presOf" srcId="{DAEB701C-D9D5-437A-8FA1-1800CA4614E7}" destId="{CA8DC8C2-902A-4C8E-98D9-C24F3DCA2CE4}" srcOrd="0" destOrd="0" presId="urn:microsoft.com/office/officeart/2005/8/layout/hProcess4"/>
    <dgm:cxn modelId="{030AA2C7-C44A-4165-9385-DE724492AF74}" type="presOf" srcId="{EF343850-5B10-4C10-8B73-5089318E6BDC}" destId="{0D8EEC67-CFCB-4E03-A953-611E63CC3E69}" srcOrd="0" destOrd="0"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AD28CFAF-DFD4-4356-A4EA-88B7E88A997E}" srcId="{0C59C404-5CD6-40A4-9A11-037DC780EA23}" destId="{0A0F5628-AAF8-405F-B81B-27AF1550C23D}" srcOrd="1" destOrd="0" parTransId="{919FB93E-6398-43A4-8BC1-4F5DB863A5D0}" sibTransId="{214C6BD5-EA2C-455C-9B19-B85B40D60DDC}"/>
    <dgm:cxn modelId="{E3503C32-494B-440A-AD41-A0A887798ED4}" srcId="{855C5922-552B-47A4-A9E9-43B7550532DD}" destId="{00E34707-C1A6-46DA-9CDE-E577B858905A}" srcOrd="3" destOrd="0" parTransId="{DB7913D9-D3AC-400C-B82B-06DAC2B1C9C1}" sibTransId="{32F4F306-7DD3-4D92-BB57-0C85023C5F5F}"/>
    <dgm:cxn modelId="{A22CBF02-72D5-4FA2-B260-F908CCAABB07}" type="presOf" srcId="{0C59C404-5CD6-40A4-9A11-037DC780EA23}" destId="{C5C2BB8A-B954-4CE1-B001-F226211D90EB}" srcOrd="0" destOrd="0" presId="urn:microsoft.com/office/officeart/2005/8/layout/hProcess4"/>
    <dgm:cxn modelId="{E543F49E-4F5A-46CB-8DC1-5ECD0CDD0572}" type="presOf" srcId="{00E34707-C1A6-46DA-9CDE-E577B858905A}" destId="{CA8DC8C2-902A-4C8E-98D9-C24F3DCA2CE4}" srcOrd="0" destOrd="3" presId="urn:microsoft.com/office/officeart/2005/8/layout/hProcess4"/>
    <dgm:cxn modelId="{5942126B-315E-4B33-8DF4-10B99D713B9B}" type="presOf" srcId="{41123FA9-DD27-4D98-B416-494DE4A2D8E9}" destId="{18B80A27-057A-4402-81A4-202F53D937E2}" srcOrd="0" destOrd="0" presId="urn:microsoft.com/office/officeart/2005/8/layout/hProcess4"/>
    <dgm:cxn modelId="{9F260183-0B16-4F2B-80F1-C17F53905FD7}" type="presOf" srcId="{D34C4817-0101-420E-8C4E-19C90BD75778}" destId="{E9A9E598-D685-45E4-8D98-9AC98B6B531E}" srcOrd="1" destOrd="1" presId="urn:microsoft.com/office/officeart/2005/8/layout/hProcess4"/>
    <dgm:cxn modelId="{0D1405F5-A9A8-4CD3-9CE5-1799EBFB3C95}" type="presOf" srcId="{DE6DF93F-CDEA-43DE-AA7F-36AAE23C578B}" destId="{A1CE76BB-8109-43BF-A783-4F3F66A98A6B}" srcOrd="1" destOrd="3" presId="urn:microsoft.com/office/officeart/2005/8/layout/hProcess4"/>
    <dgm:cxn modelId="{573C93E1-A381-4707-B39E-BD057DEE70EA}" type="presParOf" srcId="{5E7B7702-5F62-4DE8-B040-E86BBFBCB15F}" destId="{92F0EDAC-4066-443D-A52F-FB7190865796}" srcOrd="0" destOrd="0" presId="urn:microsoft.com/office/officeart/2005/8/layout/hProcess4"/>
    <dgm:cxn modelId="{AA02DDF0-7C5D-4A06-83F1-0C7B6E9F586F}" type="presParOf" srcId="{5E7B7702-5F62-4DE8-B040-E86BBFBCB15F}" destId="{51597F9A-10EA-4B87-9FDE-3543F9863C23}" srcOrd="1" destOrd="0" presId="urn:microsoft.com/office/officeart/2005/8/layout/hProcess4"/>
    <dgm:cxn modelId="{F1E62C93-58A2-4EFD-AFEE-741236306555}" type="presParOf" srcId="{5E7B7702-5F62-4DE8-B040-E86BBFBCB15F}" destId="{CDB428F8-DF21-4827-8153-4A1435701C4B}" srcOrd="2" destOrd="0" presId="urn:microsoft.com/office/officeart/2005/8/layout/hProcess4"/>
    <dgm:cxn modelId="{7780DD06-0A3F-47B0-A0AE-D684BFDC3464}" type="presParOf" srcId="{CDB428F8-DF21-4827-8153-4A1435701C4B}" destId="{7F608B39-B888-4B5A-8D54-57A0AE0CCEAA}" srcOrd="0" destOrd="0" presId="urn:microsoft.com/office/officeart/2005/8/layout/hProcess4"/>
    <dgm:cxn modelId="{64A26AF9-2C32-46BE-9243-82543DC1F46F}" type="presParOf" srcId="{7F608B39-B888-4B5A-8D54-57A0AE0CCEAA}" destId="{6B7A6191-CFFE-4E86-85BA-19C0353B79AA}" srcOrd="0" destOrd="0" presId="urn:microsoft.com/office/officeart/2005/8/layout/hProcess4"/>
    <dgm:cxn modelId="{51E8E468-3036-4FB3-976E-F67A6C2574F5}" type="presParOf" srcId="{7F608B39-B888-4B5A-8D54-57A0AE0CCEAA}" destId="{E9EFFA70-AC37-4F00-9C3A-C033D060B362}" srcOrd="1" destOrd="0" presId="urn:microsoft.com/office/officeart/2005/8/layout/hProcess4"/>
    <dgm:cxn modelId="{F09E72E0-84B5-4DF2-9FB0-2FEF5CD12661}" type="presParOf" srcId="{7F608B39-B888-4B5A-8D54-57A0AE0CCEAA}" destId="{A1CE76BB-8109-43BF-A783-4F3F66A98A6B}" srcOrd="2" destOrd="0" presId="urn:microsoft.com/office/officeart/2005/8/layout/hProcess4"/>
    <dgm:cxn modelId="{8FFF55C6-A8F9-479F-B184-F0CCE5A7D827}" type="presParOf" srcId="{7F608B39-B888-4B5A-8D54-57A0AE0CCEAA}" destId="{582E9870-9EDA-4033-9CB5-6145ADD7293B}" srcOrd="3" destOrd="0" presId="urn:microsoft.com/office/officeart/2005/8/layout/hProcess4"/>
    <dgm:cxn modelId="{41DE206A-A65E-4C6E-B861-0C0FA7D3C71E}" type="presParOf" srcId="{7F608B39-B888-4B5A-8D54-57A0AE0CCEAA}" destId="{E8EEBF08-7CF5-40A2-8416-972102A6159D}" srcOrd="4" destOrd="0" presId="urn:microsoft.com/office/officeart/2005/8/layout/hProcess4"/>
    <dgm:cxn modelId="{0476F3BE-D7A5-40BC-91A2-DB28B95DF250}" type="presParOf" srcId="{CDB428F8-DF21-4827-8153-4A1435701C4B}" destId="{BF542D47-0F73-4C39-AECB-6392B969BEE2}" srcOrd="1" destOrd="0" presId="urn:microsoft.com/office/officeart/2005/8/layout/hProcess4"/>
    <dgm:cxn modelId="{255BF1C3-20DC-4D7A-BE76-50DB34FAAAC4}" type="presParOf" srcId="{CDB428F8-DF21-4827-8153-4A1435701C4B}" destId="{23416E9C-8032-4BEB-95BC-4E55B284DAFA}" srcOrd="2" destOrd="0" presId="urn:microsoft.com/office/officeart/2005/8/layout/hProcess4"/>
    <dgm:cxn modelId="{1B90A469-E624-49A8-AD41-166DB3D38319}" type="presParOf" srcId="{23416E9C-8032-4BEB-95BC-4E55B284DAFA}" destId="{793AE636-C282-403C-A614-A1555F53E53D}" srcOrd="0" destOrd="0" presId="urn:microsoft.com/office/officeart/2005/8/layout/hProcess4"/>
    <dgm:cxn modelId="{AE3F0760-A1AD-44B3-A374-B97BBB766C49}" type="presParOf" srcId="{23416E9C-8032-4BEB-95BC-4E55B284DAFA}" destId="{18B80A27-057A-4402-81A4-202F53D937E2}" srcOrd="1" destOrd="0" presId="urn:microsoft.com/office/officeart/2005/8/layout/hProcess4"/>
    <dgm:cxn modelId="{57C513FD-57DE-4B85-A41B-CA67AD16D998}" type="presParOf" srcId="{23416E9C-8032-4BEB-95BC-4E55B284DAFA}" destId="{85101C14-1AA3-4160-B3DB-B17859AE5781}" srcOrd="2" destOrd="0" presId="urn:microsoft.com/office/officeart/2005/8/layout/hProcess4"/>
    <dgm:cxn modelId="{1AC103C5-A29C-4702-B264-54CD9318C8D6}" type="presParOf" srcId="{23416E9C-8032-4BEB-95BC-4E55B284DAFA}" destId="{C5C2BB8A-B954-4CE1-B001-F226211D90EB}" srcOrd="3" destOrd="0" presId="urn:microsoft.com/office/officeart/2005/8/layout/hProcess4"/>
    <dgm:cxn modelId="{17AAEF77-4D8F-4FB9-98DB-897AD92F2FB7}" type="presParOf" srcId="{23416E9C-8032-4BEB-95BC-4E55B284DAFA}" destId="{460F609C-AF12-4DFA-B20B-724DF3FF7AE5}" srcOrd="4" destOrd="0" presId="urn:microsoft.com/office/officeart/2005/8/layout/hProcess4"/>
    <dgm:cxn modelId="{30C43A1A-5847-48C8-BA44-1C33EF966F5F}" type="presParOf" srcId="{CDB428F8-DF21-4827-8153-4A1435701C4B}" destId="{0D8EEC67-CFCB-4E03-A953-611E63CC3E69}" srcOrd="3" destOrd="0" presId="urn:microsoft.com/office/officeart/2005/8/layout/hProcess4"/>
    <dgm:cxn modelId="{8185F917-1A31-47A2-A1BF-CB258E4D574F}" type="presParOf" srcId="{CDB428F8-DF21-4827-8153-4A1435701C4B}" destId="{C3CD700C-D343-49FB-A2B0-F8A00136FA2B}" srcOrd="4" destOrd="0" presId="urn:microsoft.com/office/officeart/2005/8/layout/hProcess4"/>
    <dgm:cxn modelId="{E7D46A8A-08CE-4EF9-AA3E-16467AF2B689}" type="presParOf" srcId="{C3CD700C-D343-49FB-A2B0-F8A00136FA2B}" destId="{6BCC6CEA-7739-4153-B75D-1BD30B35634B}" srcOrd="0" destOrd="0" presId="urn:microsoft.com/office/officeart/2005/8/layout/hProcess4"/>
    <dgm:cxn modelId="{BAE2572F-5777-4AB1-861F-E524D98DCC9E}" type="presParOf" srcId="{C3CD700C-D343-49FB-A2B0-F8A00136FA2B}" destId="{CA8DC8C2-902A-4C8E-98D9-C24F3DCA2CE4}" srcOrd="1" destOrd="0" presId="urn:microsoft.com/office/officeart/2005/8/layout/hProcess4"/>
    <dgm:cxn modelId="{0CA30995-501C-468B-B7FE-65DA98027F0D}" type="presParOf" srcId="{C3CD700C-D343-49FB-A2B0-F8A00136FA2B}" destId="{E9A9E598-D685-45E4-8D98-9AC98B6B531E}" srcOrd="2" destOrd="0" presId="urn:microsoft.com/office/officeart/2005/8/layout/hProcess4"/>
    <dgm:cxn modelId="{E401DE42-10C7-4C07-B24C-5D04D92E8D2A}" type="presParOf" srcId="{C3CD700C-D343-49FB-A2B0-F8A00136FA2B}" destId="{97DC40B2-472E-447B-93FF-434AB18F15A3}" srcOrd="3" destOrd="0" presId="urn:microsoft.com/office/officeart/2005/8/layout/hProcess4"/>
    <dgm:cxn modelId="{3856D88C-67AF-4662-9BE0-F97B7CC8504C}"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6" minVer="http://schemas.openxmlformats.org/drawingml/2006/diagram"/>
    </a:ext>
  </dgm:extLst>
</dgm:dataModel>
</file>

<file path=word/diagrams/data27.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6" qsCatId="simple" csTypeId="urn:microsoft.com/office/officeart/2005/8/colors/accent1_2#27" csCatId="accent1" phldr="1"/>
      <dgm:spPr/>
      <dgm:t>
        <a:bodyPr/>
        <a:lstStyle/>
        <a:p>
          <a:endParaRPr lang="sk-SK"/>
        </a:p>
      </dgm:t>
    </dgm:pt>
    <dgm:pt modelId="{88561035-D152-47D3-AAF1-C6E9F442D07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b="0" i="1">
              <a:solidFill>
                <a:schemeClr val="accent2">
                  <a:lumMod val="75000"/>
                </a:schemeClr>
              </a:solidFill>
            </a:rPr>
            <a:t>Krok č. 1 </a:t>
          </a:r>
          <a:endParaRPr lang="sk-SK" b="0" i="1"/>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8A82C215-002F-46FC-86BB-9617F6E0E83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vypĺňanie kontrolného zoznamu</a:t>
          </a:r>
        </a:p>
      </dgm:t>
    </dgm:pt>
    <dgm:pt modelId="{160AC90D-D1F4-47E5-BE43-153E39ADC705}" type="parTrans" cxnId="{08035E98-312D-4A10-A757-92C6C8D1920A}">
      <dgm:prSet/>
      <dgm:spPr/>
      <dgm:t>
        <a:bodyPr/>
        <a:lstStyle/>
        <a:p>
          <a:endParaRPr lang="sk-SK"/>
        </a:p>
      </dgm:t>
    </dgm:pt>
    <dgm:pt modelId="{371F6B73-20DE-421D-96F3-7AC8B4E51A7C}" type="sibTrans" cxnId="{08035E98-312D-4A10-A757-92C6C8D1920A}">
      <dgm:prSet/>
      <dgm:spPr/>
      <dgm:t>
        <a:bodyPr/>
        <a:lstStyle/>
        <a:p>
          <a:endParaRPr lang="sk-SK"/>
        </a:p>
      </dgm:t>
    </dgm:pt>
    <dgm:pt modelId="{1298F779-D27B-45C3-A766-CF8CE19BB11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4">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4">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4">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4">
        <dgm:presLayoutVars>
          <dgm:bulletEnabled val="1"/>
        </dgm:presLayoutVars>
      </dgm:prSet>
      <dgm:spPr/>
      <dgm:t>
        <a:bodyPr/>
        <a:lstStyle/>
        <a:p>
          <a:endParaRPr lang="sk-SK"/>
        </a:p>
      </dgm:t>
    </dgm:pt>
  </dgm:ptLst>
  <dgm:cxnLst>
    <dgm:cxn modelId="{1BD74A3F-0F1A-4E01-B597-6131D403A9AF}" type="presOf" srcId="{8A82C215-002F-46FC-86BB-9617F6E0E83A}" destId="{0A180C33-6355-4A8B-AF69-1A908DE7DF34}" srcOrd="0" destOrd="1"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8FD473E7-099F-402E-9505-6AB4D80A6298}" srcId="{16E6260D-9D87-4697-8B8E-C6AA7DF0504E}" destId="{88561035-D152-47D3-AAF1-C6E9F442D076}" srcOrd="0" destOrd="0" parTransId="{2BCAA849-24F9-41BF-9B45-DCAF59FC2E48}" sibTransId="{59EA41F7-A5C1-467C-9C04-52556F8414C2}"/>
    <dgm:cxn modelId="{05BE3904-41E3-4C08-B380-8C478AEE3543}" type="presOf" srcId="{16E6260D-9D87-4697-8B8E-C6AA7DF0504E}" destId="{83A5958C-EAA9-46D6-8D58-7FCACC15D45C}" srcOrd="0" destOrd="0" presId="urn:microsoft.com/office/officeart/2005/8/layout/hList6"/>
    <dgm:cxn modelId="{4E8EC575-BF0A-4C3E-96CE-F61998305269}" type="presOf" srcId="{3B0C96FF-E65A-464F-929B-7286C4A70D45}" destId="{05C9B098-7621-4819-ADDC-220013B41FD6}" srcOrd="0" destOrd="1" presId="urn:microsoft.com/office/officeart/2005/8/layout/hList6"/>
    <dgm:cxn modelId="{C88123DC-DCD3-4C90-8FA1-1F4360AB06F4}" type="presOf" srcId="{A1242E0C-EC1A-4495-8C43-B928B7992413}" destId="{05C9B098-7621-4819-ADDC-220013B41FD6}" srcOrd="0" destOrd="0" presId="urn:microsoft.com/office/officeart/2005/8/layout/hList6"/>
    <dgm:cxn modelId="{83544686-198B-4635-9858-E5EF57162EAB}" type="presOf" srcId="{88561035-D152-47D3-AAF1-C6E9F442D076}" destId="{1016AEFA-8019-479E-9EAD-96B30673975C}" srcOrd="0" destOrd="0" presId="urn:microsoft.com/office/officeart/2005/8/layout/hList6"/>
    <dgm:cxn modelId="{426B52C0-4091-47A5-B45F-D7A653E6FFE4}" type="presOf" srcId="{B002B9DD-1BC1-48C6-98ED-5E84428F6DDE}" destId="{20EEEC8E-2638-484B-8625-20BC13BB3B7C}" srcOrd="0" destOrd="1"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5F961E43-0F93-4030-9443-9584EC4483F6}" type="presOf" srcId="{F95F5172-0F42-4D91-BB5A-2A4DAAFC42FA}" destId="{20EEEC8E-2638-484B-8625-20BC13BB3B7C}" srcOrd="0" destOrd="0"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BBE01CF7-72D0-4C6E-917A-D4E52AB2C688}" srcId="{A1242E0C-EC1A-4495-8C43-B928B7992413}" destId="{3B0C96FF-E65A-464F-929B-7286C4A70D45}" srcOrd="0" destOrd="0" parTransId="{B79035C2-FB49-471C-BBFB-AEA27726351B}" sibTransId="{E7695CCC-2D44-4E01-A575-B596F094B6F3}"/>
    <dgm:cxn modelId="{FFA79A45-003A-4D56-8BBA-65A065726C79}" type="presOf" srcId="{1298F779-D27B-45C3-A766-CF8CE19BB116}" destId="{1016AEFA-8019-479E-9EAD-96B30673975C}" srcOrd="0" destOrd="1" presId="urn:microsoft.com/office/officeart/2005/8/layout/hList6"/>
    <dgm:cxn modelId="{50ACF527-4624-408A-BD61-965C76926E70}" srcId="{16E6260D-9D87-4697-8B8E-C6AA7DF0504E}" destId="{F95F5172-0F42-4D91-BB5A-2A4DAAFC42FA}" srcOrd="1" destOrd="0" parTransId="{91CDEC7C-6FB1-478B-BA45-0ED5C2BF72BC}" sibTransId="{22021760-E173-4129-90FA-662D9C0CE8E0}"/>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BF617655-28E7-40A1-BC57-2A516FB20DB9}" type="presOf" srcId="{8654C454-539E-4727-B725-944308D2262B}" destId="{0A180C33-6355-4A8B-AF69-1A908DE7DF34}" srcOrd="0" destOrd="0" presId="urn:microsoft.com/office/officeart/2005/8/layout/hList6"/>
    <dgm:cxn modelId="{52B5FEB0-229A-463E-B818-1A55F7536F9D}" type="presParOf" srcId="{83A5958C-EAA9-46D6-8D58-7FCACC15D45C}" destId="{1016AEFA-8019-479E-9EAD-96B30673975C}" srcOrd="0" destOrd="0" presId="urn:microsoft.com/office/officeart/2005/8/layout/hList6"/>
    <dgm:cxn modelId="{B161C92A-BC02-4074-9A83-41B45273DF27}" type="presParOf" srcId="{83A5958C-EAA9-46D6-8D58-7FCACC15D45C}" destId="{1F65CD44-2938-4D39-A585-884CF91017D4}" srcOrd="1" destOrd="0" presId="urn:microsoft.com/office/officeart/2005/8/layout/hList6"/>
    <dgm:cxn modelId="{CA8F2B28-4ADD-4866-8F71-F12CC90D8303}" type="presParOf" srcId="{83A5958C-EAA9-46D6-8D58-7FCACC15D45C}" destId="{20EEEC8E-2638-484B-8625-20BC13BB3B7C}" srcOrd="2" destOrd="0" presId="urn:microsoft.com/office/officeart/2005/8/layout/hList6"/>
    <dgm:cxn modelId="{8FF56CA4-1989-40CD-927A-486471AEF2A7}" type="presParOf" srcId="{83A5958C-EAA9-46D6-8D58-7FCACC15D45C}" destId="{6EBCEAC6-EB4F-49A7-8C38-67D8BB6B7655}" srcOrd="3" destOrd="0" presId="urn:microsoft.com/office/officeart/2005/8/layout/hList6"/>
    <dgm:cxn modelId="{03A6238E-7BEC-4DD6-B530-FA5344E81EC9}" type="presParOf" srcId="{83A5958C-EAA9-46D6-8D58-7FCACC15D45C}" destId="{05C9B098-7621-4819-ADDC-220013B41FD6}" srcOrd="4" destOrd="0" presId="urn:microsoft.com/office/officeart/2005/8/layout/hList6"/>
    <dgm:cxn modelId="{2A9C2F64-B1E1-4BF9-81DA-98E69A5AD949}" type="presParOf" srcId="{83A5958C-EAA9-46D6-8D58-7FCACC15D45C}" destId="{57659B46-2481-4796-A116-7EAACB39F39E}" srcOrd="5" destOrd="0" presId="urn:microsoft.com/office/officeart/2005/8/layout/hList6"/>
    <dgm:cxn modelId="{EF46A2D4-F330-4B8A-A7C9-A32BDB348999}" type="presParOf" srcId="{83A5958C-EAA9-46D6-8D58-7FCACC15D45C}" destId="{0A180C33-6355-4A8B-AF69-1A908DE7DF34}" srcOrd="6" destOrd="0" presId="urn:microsoft.com/office/officeart/2005/8/layout/hList6"/>
  </dgm:cxnLst>
  <dgm:bg/>
  <dgm:whole/>
  <dgm:extLst>
    <a:ext uri="http://schemas.microsoft.com/office/drawing/2008/diagram">
      <dsp:dataModelExt xmlns:dsp="http://schemas.microsoft.com/office/drawing/2008/diagram" relId="rId192" minVer="http://schemas.openxmlformats.org/drawingml/2006/diagram"/>
    </a:ext>
  </dgm:extLst>
</dgm:dataModel>
</file>

<file path=word/diagrams/data28.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7" qsCatId="simple" csTypeId="urn:microsoft.com/office/officeart/2005/8/colors/accent1_2#28"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 /správ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AK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Zaslanie  čiastkovej správy/správy z kontroly prijímateľovi</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5E9A36F7-B007-46D2-8F7E-F6951D9896F6}" type="presOf" srcId="{D34C4817-0101-420E-8C4E-19C90BD75778}" destId="{E9A9E598-D685-45E4-8D98-9AC98B6B531E}" srcOrd="1"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7096C3A6-8FF9-4EC6-A058-46C464C1DE00}" type="presOf" srcId="{2449D290-B413-4AE2-AC6E-05309F3979C5}" destId="{A1CE76BB-8109-43BF-A783-4F3F66A98A6B}" srcOrd="1" destOrd="1" presId="urn:microsoft.com/office/officeart/2005/8/layout/hProcess4"/>
    <dgm:cxn modelId="{A7C68DC2-0477-42D7-9D01-D319871C8371}" type="presOf" srcId="{DAEB701C-D9D5-437A-8FA1-1800CA4614E7}" destId="{CA8DC8C2-902A-4C8E-98D9-C24F3DCA2CE4}" srcOrd="0" destOrd="0" presId="urn:microsoft.com/office/officeart/2005/8/layout/hProcess4"/>
    <dgm:cxn modelId="{B8052107-4E07-4236-8EDF-104867458AF4}" type="presOf" srcId="{7DE71D68-071D-489A-B18A-BF1EFC0E60FB}" destId="{582E9870-9EDA-4033-9CB5-6145ADD7293B}" srcOrd="0" destOrd="0" presId="urn:microsoft.com/office/officeart/2005/8/layout/hProcess4"/>
    <dgm:cxn modelId="{16BAFDFF-896D-4E54-B690-6A1B8326681F}" type="presOf" srcId="{41123FA9-DD27-4D98-B416-494DE4A2D8E9}" destId="{18B80A27-057A-4402-81A4-202F53D937E2}" srcOrd="0" destOrd="0" presId="urn:microsoft.com/office/officeart/2005/8/layout/hProcess4"/>
    <dgm:cxn modelId="{24EB95B0-1ED4-47A7-A80A-0640E9F7B01D}" type="presOf" srcId="{0C59C404-5CD6-40A4-9A11-037DC780EA23}" destId="{C5C2BB8A-B954-4CE1-B001-F226211D90EB}" srcOrd="0" destOrd="0" presId="urn:microsoft.com/office/officeart/2005/8/layout/hProcess4"/>
    <dgm:cxn modelId="{97780CD8-005A-4F96-99E6-1C0C7660F291}" type="presOf" srcId="{855C5922-552B-47A4-A9E9-43B7550532DD}" destId="{97DC40B2-472E-447B-93FF-434AB18F15A3}" srcOrd="0" destOrd="0" presId="urn:microsoft.com/office/officeart/2005/8/layout/hProcess4"/>
    <dgm:cxn modelId="{43D9B6B7-AB65-4D92-9241-2F8377D054B6}" type="presOf" srcId="{DAEB701C-D9D5-437A-8FA1-1800CA4614E7}" destId="{E9A9E598-D685-45E4-8D98-9AC98B6B531E}" srcOrd="1"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DBFDECA7-460B-4B3A-91A0-91FE2C68753D}" type="presOf" srcId="{2EF78F56-FFA6-4D0A-AB89-64627C34799E}" destId="{BF542D47-0F73-4C39-AECB-6392B969BEE2}" srcOrd="0" destOrd="0"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5163FF57-A550-47AC-9D7D-8D5F414861EE}" srcId="{D63FDEA1-9CCA-4C10-89C5-9B23DD5C27E6}" destId="{0C59C404-5CD6-40A4-9A11-037DC780EA23}" srcOrd="1" destOrd="0" parTransId="{ECBBDC60-43BC-48AE-BE05-BB4A8BE8DCE2}" sibTransId="{EF343850-5B10-4C10-8B73-5089318E6BDC}"/>
    <dgm:cxn modelId="{3F3C570C-6C5F-4E15-919C-4AC0371417E0}" srcId="{855C5922-552B-47A4-A9E9-43B7550532DD}" destId="{5D73896F-1E73-4D3C-A7B3-2AA46CB7E917}" srcOrd="3" destOrd="0" parTransId="{87928731-B92F-4796-8831-AE24408327FE}" sibTransId="{1C63CADD-EA46-4C02-B819-7AF2B37BE44B}"/>
    <dgm:cxn modelId="{9C4A7CA6-8A8D-4D80-829A-5FCF9A254B30}" type="presOf" srcId="{0D8A364E-95C2-4B33-9DD2-61CA1EAB50A5}" destId="{E9A9E598-D685-45E4-8D98-9AC98B6B531E}" srcOrd="1" destOrd="2" presId="urn:microsoft.com/office/officeart/2005/8/layout/hProcess4"/>
    <dgm:cxn modelId="{449057F1-2F02-42F0-B560-E5F5F189CF60}" type="presOf" srcId="{E5A3102E-342C-49CF-BE48-8AC6B8D4CD96}" destId="{E9EFFA70-AC37-4F00-9C3A-C033D060B362}" srcOrd="0" destOrd="0" presId="urn:microsoft.com/office/officeart/2005/8/layout/hProcess4"/>
    <dgm:cxn modelId="{5C3C542C-0AC1-4342-BF15-8D419A6821D6}" type="presOf" srcId="{5D73896F-1E73-4D3C-A7B3-2AA46CB7E917}" destId="{E9A9E598-D685-45E4-8D98-9AC98B6B531E}" srcOrd="1" destOrd="3" presId="urn:microsoft.com/office/officeart/2005/8/layout/hProcess4"/>
    <dgm:cxn modelId="{80B751D7-D519-4AB7-A0CB-94D4C01F333A}" type="presOf" srcId="{E4B6DF32-6560-49A8-BE92-0DE9687BB739}" destId="{A1CE76BB-8109-43BF-A783-4F3F66A98A6B}" srcOrd="1" destOrd="3" presId="urn:microsoft.com/office/officeart/2005/8/layout/hProcess4"/>
    <dgm:cxn modelId="{62748CBD-5CEF-4655-BE8A-FFA2413CDD0B}" type="presOf" srcId="{67173C5D-469B-45BB-A669-F4CD31F3958A}" destId="{E9EFFA70-AC37-4F00-9C3A-C033D060B362}" srcOrd="0" destOrd="2" presId="urn:microsoft.com/office/officeart/2005/8/layout/hProcess4"/>
    <dgm:cxn modelId="{3706FB96-0E7D-40F8-9027-7B19B437839D}" type="presOf" srcId="{0D8A364E-95C2-4B33-9DD2-61CA1EAB50A5}" destId="{CA8DC8C2-902A-4C8E-98D9-C24F3DCA2CE4}" srcOrd="0" destOrd="2" presId="urn:microsoft.com/office/officeart/2005/8/layout/hProcess4"/>
    <dgm:cxn modelId="{AD28CFAF-DFD4-4356-A4EA-88B7E88A997E}" srcId="{0C59C404-5CD6-40A4-9A11-037DC780EA23}" destId="{0A0F5628-AAF8-405F-B81B-27AF1550C23D}" srcOrd="1" destOrd="0" parTransId="{919FB93E-6398-43A4-8BC1-4F5DB863A5D0}" sibTransId="{214C6BD5-EA2C-455C-9B19-B85B40D60DDC}"/>
    <dgm:cxn modelId="{2E648C04-6847-4A65-8DBD-BC5A2CAF4F75}" type="presOf" srcId="{0A0F5628-AAF8-405F-B81B-27AF1550C23D}" destId="{18B80A27-057A-4402-81A4-202F53D937E2}" srcOrd="0" destOrd="1" presId="urn:microsoft.com/office/officeart/2005/8/layout/hProcess4"/>
    <dgm:cxn modelId="{0A45EC21-CB6F-439D-8E0F-1DFEBF1DA614}" type="presOf" srcId="{41123FA9-DD27-4D98-B416-494DE4A2D8E9}" destId="{85101C14-1AA3-4160-B3DB-B17859AE5781}" srcOrd="1" destOrd="0" presId="urn:microsoft.com/office/officeart/2005/8/layout/hProcess4"/>
    <dgm:cxn modelId="{9FC7999C-0A2D-4791-8EBA-5F3CD22A115F}" type="presOf" srcId="{5D73896F-1E73-4D3C-A7B3-2AA46CB7E917}" destId="{CA8DC8C2-902A-4C8E-98D9-C24F3DCA2CE4}" srcOrd="0" destOrd="3"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1205BD41-31C3-4528-AE20-17CD084508BE}" srcId="{7DE71D68-071D-489A-B18A-BF1EFC0E60FB}" destId="{E4B6DF32-6560-49A8-BE92-0DE9687BB739}" srcOrd="3" destOrd="0" parTransId="{8DBD48CF-C6CB-4BCC-AF12-353CB0F3A5D9}" sibTransId="{793DA379-27C1-4AB1-890E-F89A7F9AD5C7}"/>
    <dgm:cxn modelId="{0662BA38-5A4A-42A7-ABAF-1848D3CA4A8F}" type="presOf" srcId="{E5A3102E-342C-49CF-BE48-8AC6B8D4CD96}" destId="{A1CE76BB-8109-43BF-A783-4F3F66A98A6B}" srcOrd="1" destOrd="0" presId="urn:microsoft.com/office/officeart/2005/8/layout/hProcess4"/>
    <dgm:cxn modelId="{3CE7C7AE-FB8C-44B5-A54E-C03F59EF004F}" type="presOf" srcId="{67173C5D-469B-45BB-A669-F4CD31F3958A}" destId="{A1CE76BB-8109-43BF-A783-4F3F66A98A6B}" srcOrd="1" destOrd="2" presId="urn:microsoft.com/office/officeart/2005/8/layout/hProcess4"/>
    <dgm:cxn modelId="{21CCC975-F1ED-4200-B8B6-319D5C1C4A30}" type="presOf" srcId="{EF343850-5B10-4C10-8B73-5089318E6BDC}" destId="{0D8EEC67-CFCB-4E03-A953-611E63CC3E69}" srcOrd="0" destOrd="0" presId="urn:microsoft.com/office/officeart/2005/8/layout/hProcess4"/>
    <dgm:cxn modelId="{F6D09072-42F0-492D-8EE1-544BC2F457C6}" type="presOf" srcId="{D63FDEA1-9CCA-4C10-89C5-9B23DD5C27E6}" destId="{5E7B7702-5F62-4DE8-B040-E86BBFBCB15F}" srcOrd="0" destOrd="0" presId="urn:microsoft.com/office/officeart/2005/8/layout/hProcess4"/>
    <dgm:cxn modelId="{20E6190A-2A4E-4D63-BB17-A510333DFD04}" srcId="{855C5922-552B-47A4-A9E9-43B7550532DD}" destId="{D34C4817-0101-420E-8C4E-19C90BD75778}" srcOrd="1" destOrd="0" parTransId="{605CF068-811C-4A9C-8CCA-1EE2FF4B0746}" sibTransId="{9D3E4A74-19E4-4BE1-B093-D20587BE22EB}"/>
    <dgm:cxn modelId="{8A92A1D1-BFA8-4D07-BA98-24A0A0A5D5E1}" srcId="{855C5922-552B-47A4-A9E9-43B7550532DD}" destId="{DAEB701C-D9D5-437A-8FA1-1800CA4614E7}" srcOrd="0" destOrd="0" parTransId="{CB32E3B6-05FC-421C-AB36-880695BFC80A}" sibTransId="{5BC0317E-DE73-48CF-8B14-54A61367E36E}"/>
    <dgm:cxn modelId="{0782A1AC-3593-475E-B96D-81FF43950592}" srcId="{7DE71D68-071D-489A-B18A-BF1EFC0E60FB}" destId="{2449D290-B413-4AE2-AC6E-05309F3979C5}" srcOrd="1" destOrd="0" parTransId="{B9B4DBF2-EBC1-40F9-BF95-0FDD55272BD3}" sibTransId="{ED517E8E-7016-4282-8B90-6642F9C36FF9}"/>
    <dgm:cxn modelId="{50345A27-79E3-4437-A160-3DF3C779CFA5}" srcId="{855C5922-552B-47A4-A9E9-43B7550532DD}" destId="{0D8A364E-95C2-4B33-9DD2-61CA1EAB50A5}" srcOrd="2" destOrd="0" parTransId="{73DA6FEF-2092-4EA1-972C-7D39738CFD68}" sibTransId="{38C131D1-C3F8-4BDE-A20F-5E105B6C226F}"/>
    <dgm:cxn modelId="{57643D3C-8986-444E-BBF6-FB5E18237923}" type="presOf" srcId="{2449D290-B413-4AE2-AC6E-05309F3979C5}" destId="{E9EFFA70-AC37-4F00-9C3A-C033D060B362}" srcOrd="0" destOrd="1" presId="urn:microsoft.com/office/officeart/2005/8/layout/hProcess4"/>
    <dgm:cxn modelId="{A4025A0F-D8EF-41E3-9AB3-5BF92F0F1DFD}" type="presOf" srcId="{0A0F5628-AAF8-405F-B81B-27AF1550C23D}" destId="{85101C14-1AA3-4160-B3DB-B17859AE5781}" srcOrd="1" destOrd="1"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B9CC0C03-8FFD-4C02-8200-8F23C394812C}" type="presOf" srcId="{E4B6DF32-6560-49A8-BE92-0DE9687BB739}" destId="{E9EFFA70-AC37-4F00-9C3A-C033D060B362}" srcOrd="0" destOrd="3" presId="urn:microsoft.com/office/officeart/2005/8/layout/hProcess4"/>
    <dgm:cxn modelId="{253FE36E-DDE4-4767-95E5-D1CFA6AD37D6}" type="presOf" srcId="{D34C4817-0101-420E-8C4E-19C90BD75778}" destId="{CA8DC8C2-902A-4C8E-98D9-C24F3DCA2CE4}" srcOrd="0" destOrd="1" presId="urn:microsoft.com/office/officeart/2005/8/layout/hProcess4"/>
    <dgm:cxn modelId="{6121B6A5-8EF8-4576-968B-CA706919C3F1}" type="presParOf" srcId="{5E7B7702-5F62-4DE8-B040-E86BBFBCB15F}" destId="{92F0EDAC-4066-443D-A52F-FB7190865796}" srcOrd="0" destOrd="0" presId="urn:microsoft.com/office/officeart/2005/8/layout/hProcess4"/>
    <dgm:cxn modelId="{974CC88B-91C3-4494-BC64-F5B358433375}" type="presParOf" srcId="{5E7B7702-5F62-4DE8-B040-E86BBFBCB15F}" destId="{51597F9A-10EA-4B87-9FDE-3543F9863C23}" srcOrd="1" destOrd="0" presId="urn:microsoft.com/office/officeart/2005/8/layout/hProcess4"/>
    <dgm:cxn modelId="{53410848-39D0-4CCD-BA4A-CD9D23E63C43}" type="presParOf" srcId="{5E7B7702-5F62-4DE8-B040-E86BBFBCB15F}" destId="{CDB428F8-DF21-4827-8153-4A1435701C4B}" srcOrd="2" destOrd="0" presId="urn:microsoft.com/office/officeart/2005/8/layout/hProcess4"/>
    <dgm:cxn modelId="{98F74228-B34B-40EA-8661-2B3F10D9CC6C}" type="presParOf" srcId="{CDB428F8-DF21-4827-8153-4A1435701C4B}" destId="{7F608B39-B888-4B5A-8D54-57A0AE0CCEAA}" srcOrd="0" destOrd="0" presId="urn:microsoft.com/office/officeart/2005/8/layout/hProcess4"/>
    <dgm:cxn modelId="{98339917-10D5-4AA2-8108-2FEBC42A6A84}" type="presParOf" srcId="{7F608B39-B888-4B5A-8D54-57A0AE0CCEAA}" destId="{6B7A6191-CFFE-4E86-85BA-19C0353B79AA}" srcOrd="0" destOrd="0" presId="urn:microsoft.com/office/officeart/2005/8/layout/hProcess4"/>
    <dgm:cxn modelId="{997AA6E7-BDF0-425E-B101-7D6D11C839F3}" type="presParOf" srcId="{7F608B39-B888-4B5A-8D54-57A0AE0CCEAA}" destId="{E9EFFA70-AC37-4F00-9C3A-C033D060B362}" srcOrd="1" destOrd="0" presId="urn:microsoft.com/office/officeart/2005/8/layout/hProcess4"/>
    <dgm:cxn modelId="{3C7E1003-2763-4140-9D84-55F8CD1C2A2B}" type="presParOf" srcId="{7F608B39-B888-4B5A-8D54-57A0AE0CCEAA}" destId="{A1CE76BB-8109-43BF-A783-4F3F66A98A6B}" srcOrd="2" destOrd="0" presId="urn:microsoft.com/office/officeart/2005/8/layout/hProcess4"/>
    <dgm:cxn modelId="{5DB279A0-356F-4E2D-932A-E001CA9B348F}" type="presParOf" srcId="{7F608B39-B888-4B5A-8D54-57A0AE0CCEAA}" destId="{582E9870-9EDA-4033-9CB5-6145ADD7293B}" srcOrd="3" destOrd="0" presId="urn:microsoft.com/office/officeart/2005/8/layout/hProcess4"/>
    <dgm:cxn modelId="{12D134FF-2218-4AC4-83E8-A586236C60AA}" type="presParOf" srcId="{7F608B39-B888-4B5A-8D54-57A0AE0CCEAA}" destId="{E8EEBF08-7CF5-40A2-8416-972102A6159D}" srcOrd="4" destOrd="0" presId="urn:microsoft.com/office/officeart/2005/8/layout/hProcess4"/>
    <dgm:cxn modelId="{43DF936F-2438-4ABB-B577-529C73057AA9}" type="presParOf" srcId="{CDB428F8-DF21-4827-8153-4A1435701C4B}" destId="{BF542D47-0F73-4C39-AECB-6392B969BEE2}" srcOrd="1" destOrd="0" presId="urn:microsoft.com/office/officeart/2005/8/layout/hProcess4"/>
    <dgm:cxn modelId="{FC288FF4-AA24-4D37-B444-457EED20A5D5}" type="presParOf" srcId="{CDB428F8-DF21-4827-8153-4A1435701C4B}" destId="{23416E9C-8032-4BEB-95BC-4E55B284DAFA}" srcOrd="2" destOrd="0" presId="urn:microsoft.com/office/officeart/2005/8/layout/hProcess4"/>
    <dgm:cxn modelId="{93AB72B3-B454-4CD4-BCC4-FF24C8B52F89}" type="presParOf" srcId="{23416E9C-8032-4BEB-95BC-4E55B284DAFA}" destId="{793AE636-C282-403C-A614-A1555F53E53D}" srcOrd="0" destOrd="0" presId="urn:microsoft.com/office/officeart/2005/8/layout/hProcess4"/>
    <dgm:cxn modelId="{93C2B338-1292-4930-875B-41B9EBBF54FA}" type="presParOf" srcId="{23416E9C-8032-4BEB-95BC-4E55B284DAFA}" destId="{18B80A27-057A-4402-81A4-202F53D937E2}" srcOrd="1" destOrd="0" presId="urn:microsoft.com/office/officeart/2005/8/layout/hProcess4"/>
    <dgm:cxn modelId="{EC6A579E-FEFD-4275-B5C1-88FA55647CE9}" type="presParOf" srcId="{23416E9C-8032-4BEB-95BC-4E55B284DAFA}" destId="{85101C14-1AA3-4160-B3DB-B17859AE5781}" srcOrd="2" destOrd="0" presId="urn:microsoft.com/office/officeart/2005/8/layout/hProcess4"/>
    <dgm:cxn modelId="{1E8552CF-5D95-4D4D-A5AC-094D781DEBF5}" type="presParOf" srcId="{23416E9C-8032-4BEB-95BC-4E55B284DAFA}" destId="{C5C2BB8A-B954-4CE1-B001-F226211D90EB}" srcOrd="3" destOrd="0" presId="urn:microsoft.com/office/officeart/2005/8/layout/hProcess4"/>
    <dgm:cxn modelId="{BCACEBD4-110E-4C7A-95EB-BCE538BAFF02}" type="presParOf" srcId="{23416E9C-8032-4BEB-95BC-4E55B284DAFA}" destId="{460F609C-AF12-4DFA-B20B-724DF3FF7AE5}" srcOrd="4" destOrd="0" presId="urn:microsoft.com/office/officeart/2005/8/layout/hProcess4"/>
    <dgm:cxn modelId="{4125B9C1-FCB9-48DB-A090-16447681B25D}" type="presParOf" srcId="{CDB428F8-DF21-4827-8153-4A1435701C4B}" destId="{0D8EEC67-CFCB-4E03-A953-611E63CC3E69}" srcOrd="3" destOrd="0" presId="urn:microsoft.com/office/officeart/2005/8/layout/hProcess4"/>
    <dgm:cxn modelId="{93DD19FD-C9BF-474C-86EB-4DBC13E6BA83}" type="presParOf" srcId="{CDB428F8-DF21-4827-8153-4A1435701C4B}" destId="{C3CD700C-D343-49FB-A2B0-F8A00136FA2B}" srcOrd="4" destOrd="0" presId="urn:microsoft.com/office/officeart/2005/8/layout/hProcess4"/>
    <dgm:cxn modelId="{9D1931D5-FB79-43A1-8103-6C12AD1CA16E}" type="presParOf" srcId="{C3CD700C-D343-49FB-A2B0-F8A00136FA2B}" destId="{6BCC6CEA-7739-4153-B75D-1BD30B35634B}" srcOrd="0" destOrd="0" presId="urn:microsoft.com/office/officeart/2005/8/layout/hProcess4"/>
    <dgm:cxn modelId="{AF6AD6EE-CEC7-493C-B1A4-5F8B0B8F5830}" type="presParOf" srcId="{C3CD700C-D343-49FB-A2B0-F8A00136FA2B}" destId="{CA8DC8C2-902A-4C8E-98D9-C24F3DCA2CE4}" srcOrd="1" destOrd="0" presId="urn:microsoft.com/office/officeart/2005/8/layout/hProcess4"/>
    <dgm:cxn modelId="{86E5C439-9B1D-4697-8B08-0EFE608DD9E0}" type="presParOf" srcId="{C3CD700C-D343-49FB-A2B0-F8A00136FA2B}" destId="{E9A9E598-D685-45E4-8D98-9AC98B6B531E}" srcOrd="2" destOrd="0" presId="urn:microsoft.com/office/officeart/2005/8/layout/hProcess4"/>
    <dgm:cxn modelId="{9201511F-28DE-41F8-BF43-32C6030A0617}" type="presParOf" srcId="{C3CD700C-D343-49FB-A2B0-F8A00136FA2B}" destId="{97DC40B2-472E-447B-93FF-434AB18F15A3}" srcOrd="3" destOrd="0" presId="urn:microsoft.com/office/officeart/2005/8/layout/hProcess4"/>
    <dgm:cxn modelId="{3CE1308E-B86F-4C2F-B5C5-889F39DED1CC}"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97" minVer="http://schemas.openxmlformats.org/drawingml/2006/diagram"/>
    </a:ext>
  </dgm:extLst>
</dgm:dataModel>
</file>

<file path=word/diagrams/data29.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8" qsCatId="simple" csTypeId="urn:microsoft.com/office/officeart/2005/8/colors/accent1_2#29"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AK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správy z kontroly na vyjadrenie prijímateľovi </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451C0133-7C34-4673-A100-79086FF2B5F8}">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 z kontorly/správy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čiastkovej správy z kontroly/správy z kontroly</a:t>
          </a:r>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8C8778C-C941-4D4A-851C-9985F85B6A14}" srcId="{7DE71D68-071D-489A-B18A-BF1EFC0E60FB}" destId="{637A406B-C7E4-4380-80A9-93B5DCB36CCC}" srcOrd="2" destOrd="0" parTransId="{4E8FB72F-3970-4FBA-A937-5D4EF4E961C8}" sibTransId="{12CE564E-FC14-4949-81C5-68149DA4E5C7}"/>
    <dgm:cxn modelId="{5163FF57-A550-47AC-9D7D-8D5F414861EE}" srcId="{D63FDEA1-9CCA-4C10-89C5-9B23DD5C27E6}" destId="{0C59C404-5CD6-40A4-9A11-037DC780EA23}" srcOrd="1" destOrd="0" parTransId="{ECBBDC60-43BC-48AE-BE05-BB4A8BE8DCE2}" sibTransId="{EF343850-5B10-4C10-8B73-5089318E6BDC}"/>
    <dgm:cxn modelId="{16B7685F-2D37-44C4-ABAE-956A4E460749}" type="presOf" srcId="{EF343850-5B10-4C10-8B73-5089318E6BDC}" destId="{0D8EEC67-CFCB-4E03-A953-611E63CC3E69}" srcOrd="0" destOrd="0" presId="urn:microsoft.com/office/officeart/2005/8/layout/hProcess4"/>
    <dgm:cxn modelId="{99BBC84D-AC07-4175-A14C-F24F4B23E3D7}" type="presOf" srcId="{451C0133-7C34-4673-A100-79086FF2B5F8}" destId="{E9A9E598-D685-45E4-8D98-9AC98B6B531E}" srcOrd="1" destOrd="3" presId="urn:microsoft.com/office/officeart/2005/8/layout/hProcess4"/>
    <dgm:cxn modelId="{32C430D2-E761-4F0C-B630-F3ECFB090795}" type="presOf" srcId="{D85D674E-FDC4-4026-A1DF-7F68F2A864EC}" destId="{A1CE76BB-8109-43BF-A783-4F3F66A98A6B}" srcOrd="1" destOrd="0" presId="urn:microsoft.com/office/officeart/2005/8/layout/hProcess4"/>
    <dgm:cxn modelId="{323C9CEC-9F03-4F2E-8268-328E7D38A81F}" type="presOf" srcId="{DAEB701C-D9D5-437A-8FA1-1800CA4614E7}" destId="{CA8DC8C2-902A-4C8E-98D9-C24F3DCA2CE4}" srcOrd="0" destOrd="0" presId="urn:microsoft.com/office/officeart/2005/8/layout/hProcess4"/>
    <dgm:cxn modelId="{8387D879-B665-4170-9E40-E903680E490F}" type="presOf" srcId="{41123FA9-DD27-4D98-B416-494DE4A2D8E9}" destId="{85101C14-1AA3-4160-B3DB-B17859AE5781}" srcOrd="1" destOrd="0" presId="urn:microsoft.com/office/officeart/2005/8/layout/hProcess4"/>
    <dgm:cxn modelId="{AF26C3BA-1A75-47BC-BA71-495EB61578C0}" type="presOf" srcId="{DAEB701C-D9D5-437A-8FA1-1800CA4614E7}" destId="{E9A9E598-D685-45E4-8D98-9AC98B6B531E}" srcOrd="1" destOrd="0" presId="urn:microsoft.com/office/officeart/2005/8/layout/hProcess4"/>
    <dgm:cxn modelId="{F93F2C29-835C-49E5-83F7-57CF6EE774C8}" type="presOf" srcId="{D85D674E-FDC4-4026-A1DF-7F68F2A864EC}" destId="{E9EFFA70-AC37-4F00-9C3A-C033D060B362}" srcOrd="0" destOrd="0" presId="urn:microsoft.com/office/officeart/2005/8/layout/hProcess4"/>
    <dgm:cxn modelId="{6652752F-2233-46C1-A496-11B7CF1B7FA4}" type="presOf" srcId="{4296B877-9E1B-4B3F-B675-2B9CD1F7C56B}" destId="{85101C14-1AA3-4160-B3DB-B17859AE5781}" srcOrd="1" destOrd="1" presId="urn:microsoft.com/office/officeart/2005/8/layout/hProcess4"/>
    <dgm:cxn modelId="{C597481E-B2C7-43E5-8480-18FE54EA01FD}" type="presOf" srcId="{451C0133-7C34-4673-A100-79086FF2B5F8}" destId="{CA8DC8C2-902A-4C8E-98D9-C24F3DCA2CE4}" srcOrd="0" destOrd="3" presId="urn:microsoft.com/office/officeart/2005/8/layout/hProcess4"/>
    <dgm:cxn modelId="{C1F313CE-2594-4D53-829B-0454EAA5E068}" type="presOf" srcId="{855C5922-552B-47A4-A9E9-43B7550532DD}" destId="{97DC40B2-472E-447B-93FF-434AB18F15A3}"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2839D8AE-E02F-41D9-A1F5-6FF01A65CC6D}" type="presOf" srcId="{7DE71D68-071D-489A-B18A-BF1EFC0E60FB}" destId="{582E9870-9EDA-4033-9CB5-6145ADD7293B}" srcOrd="0" destOrd="0" presId="urn:microsoft.com/office/officeart/2005/8/layout/hProcess4"/>
    <dgm:cxn modelId="{B6B0FCBB-C22A-406E-9A92-79867B7E5233}" srcId="{855C5922-552B-47A4-A9E9-43B7550532DD}" destId="{451C0133-7C34-4673-A100-79086FF2B5F8}" srcOrd="3" destOrd="0" parTransId="{9EA5EE81-4D56-4FC6-9D69-9CC568212C8F}" sibTransId="{0D61BD1F-B4C2-4C0F-859A-6E3AC54D6729}"/>
    <dgm:cxn modelId="{74CE8E43-DD1E-46FA-AF14-4848AAA81D44}" srcId="{D63FDEA1-9CCA-4C10-89C5-9B23DD5C27E6}" destId="{7DE71D68-071D-489A-B18A-BF1EFC0E60FB}" srcOrd="0" destOrd="0" parTransId="{88F3562D-75EF-4165-8D8D-9584E8F6BBAD}" sibTransId="{2EF78F56-FFA6-4D0A-AB89-64627C34799E}"/>
    <dgm:cxn modelId="{48157890-D3E0-4C7C-9F39-330B05B47F6D}" type="presOf" srcId="{3AF5838A-DC3E-4DF5-8A7A-8BA5EAC93122}" destId="{CA8DC8C2-902A-4C8E-98D9-C24F3DCA2CE4}" srcOrd="0" destOrd="2" presId="urn:microsoft.com/office/officeart/2005/8/layout/hProcess4"/>
    <dgm:cxn modelId="{D2567E8A-0FFB-411C-9D5C-F6A13984BA31}" srcId="{7DE71D68-071D-489A-B18A-BF1EFC0E60FB}" destId="{D85D674E-FDC4-4026-A1DF-7F68F2A864EC}" srcOrd="0" destOrd="0" parTransId="{0F5F7622-6C7B-4F20-993B-1A618ABAA252}" sibTransId="{257464B6-99DD-4448-84E7-0D222CAC8D2A}"/>
    <dgm:cxn modelId="{93CF8CC8-2DFF-41AD-94BD-FC2A2B562664}" type="presOf" srcId="{D63FDEA1-9CCA-4C10-89C5-9B23DD5C27E6}" destId="{5E7B7702-5F62-4DE8-B040-E86BBFBCB15F}" srcOrd="0" destOrd="0" presId="urn:microsoft.com/office/officeart/2005/8/layout/hProcess4"/>
    <dgm:cxn modelId="{A57F29F6-1BA4-4DF8-890D-489F10D02B56}" type="presOf" srcId="{E5A3102E-342C-49CF-BE48-8AC6B8D4CD96}" destId="{A1CE76BB-8109-43BF-A783-4F3F66A98A6B}" srcOrd="1" destOrd="1" presId="urn:microsoft.com/office/officeart/2005/8/layout/hProcess4"/>
    <dgm:cxn modelId="{E837CA19-CC44-48D4-93DD-EC48C582447F}" srcId="{855C5922-552B-47A4-A9E9-43B7550532DD}" destId="{A4819B9F-E22C-4C76-88BF-3CD396719A2C}" srcOrd="1" destOrd="0" parTransId="{3BB128CF-0CFF-42E6-9F71-8D3066DBFC8D}" sibTransId="{D9D54A98-B945-4A07-8169-7E50F1FB9FB5}"/>
    <dgm:cxn modelId="{8932AA27-A7C1-4FF1-BBD7-7743E6E5BE69}" type="presOf" srcId="{E5A3102E-342C-49CF-BE48-8AC6B8D4CD96}" destId="{E9EFFA70-AC37-4F00-9C3A-C033D060B362}" srcOrd="0" destOrd="1" presId="urn:microsoft.com/office/officeart/2005/8/layout/hProcess4"/>
    <dgm:cxn modelId="{12997E93-B135-4751-B5A8-8C2A219EDA02}" srcId="{855C5922-552B-47A4-A9E9-43B7550532DD}" destId="{3AF5838A-DC3E-4DF5-8A7A-8BA5EAC93122}" srcOrd="2" destOrd="0" parTransId="{A89BA85F-B16E-4F6A-A75A-A8C6D6B26B08}" sibTransId="{4198EC08-717B-4FD4-BFA9-C8659CC9DA94}"/>
    <dgm:cxn modelId="{28E2C6AC-0F95-47B7-867B-EC6300BE1BB6}" srcId="{0C59C404-5CD6-40A4-9A11-037DC780EA23}" destId="{41123FA9-DD27-4D98-B416-494DE4A2D8E9}" srcOrd="0" destOrd="0" parTransId="{B9E0A569-5883-4049-AA94-F65D5F60B369}" sibTransId="{7D23F602-94A4-4A68-8B1A-BE2FEC925633}"/>
    <dgm:cxn modelId="{4529B5CC-ED7D-456F-890F-4B14E4F17224}" type="presOf" srcId="{A4819B9F-E22C-4C76-88BF-3CD396719A2C}" destId="{CA8DC8C2-902A-4C8E-98D9-C24F3DCA2CE4}" srcOrd="0" destOrd="1" presId="urn:microsoft.com/office/officeart/2005/8/layout/hProcess4"/>
    <dgm:cxn modelId="{98D579E1-3835-471B-ACC2-9388A66AF246}" type="presOf" srcId="{637A406B-C7E4-4380-80A9-93B5DCB36CCC}" destId="{A1CE76BB-8109-43BF-A783-4F3F66A98A6B}" srcOrd="1" destOrd="2"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E1B4E9DE-0868-4FA5-A67D-785E89635DE4}" type="presOf" srcId="{4296B877-9E1B-4B3F-B675-2B9CD1F7C56B}" destId="{18B80A27-057A-4402-81A4-202F53D937E2}" srcOrd="0" destOrd="1" presId="urn:microsoft.com/office/officeart/2005/8/layout/hProcess4"/>
    <dgm:cxn modelId="{2EE19BC1-6294-4F41-B0A1-A3C20133E23E}" type="presOf" srcId="{637A406B-C7E4-4380-80A9-93B5DCB36CCC}" destId="{E9EFFA70-AC37-4F00-9C3A-C033D060B362}" srcOrd="0" destOrd="2" presId="urn:microsoft.com/office/officeart/2005/8/layout/hProcess4"/>
    <dgm:cxn modelId="{654526EB-E82A-4F45-9592-7478D05AED02}" type="presOf" srcId="{0C59C404-5CD6-40A4-9A11-037DC780EA23}" destId="{C5C2BB8A-B954-4CE1-B001-F226211D90EB}" srcOrd="0" destOrd="0" presId="urn:microsoft.com/office/officeart/2005/8/layout/hProcess4"/>
    <dgm:cxn modelId="{378083DA-66A6-45B8-B934-F624605A2C4F}" type="presOf" srcId="{41123FA9-DD27-4D98-B416-494DE4A2D8E9}" destId="{18B80A27-057A-4402-81A4-202F53D937E2}" srcOrd="0" destOrd="0" presId="urn:microsoft.com/office/officeart/2005/8/layout/hProcess4"/>
    <dgm:cxn modelId="{B4C339D5-A29F-4245-99ED-32186635CE48}" type="presOf" srcId="{A4819B9F-E22C-4C76-88BF-3CD396719A2C}" destId="{E9A9E598-D685-45E4-8D98-9AC98B6B531E}" srcOrd="1" destOrd="1"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BA285419-9659-4DC2-A9FE-C18D4C8C4A5B}" srcId="{0C59C404-5CD6-40A4-9A11-037DC780EA23}" destId="{4296B877-9E1B-4B3F-B675-2B9CD1F7C56B}" srcOrd="1" destOrd="0" parTransId="{A97CC815-BD1C-4E14-BD90-8EE8767995D4}" sibTransId="{E5EAAD0A-8DA2-4C43-8E57-F7BBAC4AA7D0}"/>
    <dgm:cxn modelId="{4C281D2D-17B4-40F8-9A1D-88AF019A3123}" type="presOf" srcId="{3AF5838A-DC3E-4DF5-8A7A-8BA5EAC93122}" destId="{E9A9E598-D685-45E4-8D98-9AC98B6B531E}" srcOrd="1" destOrd="2" presId="urn:microsoft.com/office/officeart/2005/8/layout/hProcess4"/>
    <dgm:cxn modelId="{D251A240-4415-454B-BED8-41F9E84A1A17}" type="presOf" srcId="{2EF78F56-FFA6-4D0A-AB89-64627C34799E}" destId="{BF542D47-0F73-4C39-AECB-6392B969BEE2}" srcOrd="0" destOrd="0" presId="urn:microsoft.com/office/officeart/2005/8/layout/hProcess4"/>
    <dgm:cxn modelId="{2C4F770C-EA9C-4882-86C6-B417D68B335C}" type="presParOf" srcId="{5E7B7702-5F62-4DE8-B040-E86BBFBCB15F}" destId="{92F0EDAC-4066-443D-A52F-FB7190865796}" srcOrd="0" destOrd="0" presId="urn:microsoft.com/office/officeart/2005/8/layout/hProcess4"/>
    <dgm:cxn modelId="{1E3AC924-AE8D-45A4-AD90-DC569DCBB66C}" type="presParOf" srcId="{5E7B7702-5F62-4DE8-B040-E86BBFBCB15F}" destId="{51597F9A-10EA-4B87-9FDE-3543F9863C23}" srcOrd="1" destOrd="0" presId="urn:microsoft.com/office/officeart/2005/8/layout/hProcess4"/>
    <dgm:cxn modelId="{2A19E68C-D272-4AFA-B95B-EA92B2070BE2}" type="presParOf" srcId="{5E7B7702-5F62-4DE8-B040-E86BBFBCB15F}" destId="{CDB428F8-DF21-4827-8153-4A1435701C4B}" srcOrd="2" destOrd="0" presId="urn:microsoft.com/office/officeart/2005/8/layout/hProcess4"/>
    <dgm:cxn modelId="{99BE25A4-896A-4650-82FC-7F3A8FBE5CBA}" type="presParOf" srcId="{CDB428F8-DF21-4827-8153-4A1435701C4B}" destId="{7F608B39-B888-4B5A-8D54-57A0AE0CCEAA}" srcOrd="0" destOrd="0" presId="urn:microsoft.com/office/officeart/2005/8/layout/hProcess4"/>
    <dgm:cxn modelId="{E762E7B2-7D3A-4752-A4DC-DCEB8E3B508A}" type="presParOf" srcId="{7F608B39-B888-4B5A-8D54-57A0AE0CCEAA}" destId="{6B7A6191-CFFE-4E86-85BA-19C0353B79AA}" srcOrd="0" destOrd="0" presId="urn:microsoft.com/office/officeart/2005/8/layout/hProcess4"/>
    <dgm:cxn modelId="{26B056D4-D1DD-4526-881D-2F978532D099}" type="presParOf" srcId="{7F608B39-B888-4B5A-8D54-57A0AE0CCEAA}" destId="{E9EFFA70-AC37-4F00-9C3A-C033D060B362}" srcOrd="1" destOrd="0" presId="urn:microsoft.com/office/officeart/2005/8/layout/hProcess4"/>
    <dgm:cxn modelId="{B87402E1-1B32-4C6D-9F5C-437D5EB64B28}" type="presParOf" srcId="{7F608B39-B888-4B5A-8D54-57A0AE0CCEAA}" destId="{A1CE76BB-8109-43BF-A783-4F3F66A98A6B}" srcOrd="2" destOrd="0" presId="urn:microsoft.com/office/officeart/2005/8/layout/hProcess4"/>
    <dgm:cxn modelId="{E84B0378-BCA8-43DA-B1DE-C75B921BF11E}" type="presParOf" srcId="{7F608B39-B888-4B5A-8D54-57A0AE0CCEAA}" destId="{582E9870-9EDA-4033-9CB5-6145ADD7293B}" srcOrd="3" destOrd="0" presId="urn:microsoft.com/office/officeart/2005/8/layout/hProcess4"/>
    <dgm:cxn modelId="{74B63B3B-2C46-4E80-8D4B-84D6842F2E91}" type="presParOf" srcId="{7F608B39-B888-4B5A-8D54-57A0AE0CCEAA}" destId="{E8EEBF08-7CF5-40A2-8416-972102A6159D}" srcOrd="4" destOrd="0" presId="urn:microsoft.com/office/officeart/2005/8/layout/hProcess4"/>
    <dgm:cxn modelId="{C881ACBE-C5C3-4E21-8FE7-5EEE976C6A76}" type="presParOf" srcId="{CDB428F8-DF21-4827-8153-4A1435701C4B}" destId="{BF542D47-0F73-4C39-AECB-6392B969BEE2}" srcOrd="1" destOrd="0" presId="urn:microsoft.com/office/officeart/2005/8/layout/hProcess4"/>
    <dgm:cxn modelId="{3178D303-36BD-4DA1-A996-18F67C168287}" type="presParOf" srcId="{CDB428F8-DF21-4827-8153-4A1435701C4B}" destId="{23416E9C-8032-4BEB-95BC-4E55B284DAFA}" srcOrd="2" destOrd="0" presId="urn:microsoft.com/office/officeart/2005/8/layout/hProcess4"/>
    <dgm:cxn modelId="{FE7644E9-A2D2-41B0-B3D5-091B473BFCA1}" type="presParOf" srcId="{23416E9C-8032-4BEB-95BC-4E55B284DAFA}" destId="{793AE636-C282-403C-A614-A1555F53E53D}" srcOrd="0" destOrd="0" presId="urn:microsoft.com/office/officeart/2005/8/layout/hProcess4"/>
    <dgm:cxn modelId="{1412B10E-B8B0-415B-A5DC-C0138F72E960}" type="presParOf" srcId="{23416E9C-8032-4BEB-95BC-4E55B284DAFA}" destId="{18B80A27-057A-4402-81A4-202F53D937E2}" srcOrd="1" destOrd="0" presId="urn:microsoft.com/office/officeart/2005/8/layout/hProcess4"/>
    <dgm:cxn modelId="{65C39079-7136-4B70-8FAF-444A0C154CC7}" type="presParOf" srcId="{23416E9C-8032-4BEB-95BC-4E55B284DAFA}" destId="{85101C14-1AA3-4160-B3DB-B17859AE5781}" srcOrd="2" destOrd="0" presId="urn:microsoft.com/office/officeart/2005/8/layout/hProcess4"/>
    <dgm:cxn modelId="{D78A15B3-34E0-489D-828E-8C65981754B4}" type="presParOf" srcId="{23416E9C-8032-4BEB-95BC-4E55B284DAFA}" destId="{C5C2BB8A-B954-4CE1-B001-F226211D90EB}" srcOrd="3" destOrd="0" presId="urn:microsoft.com/office/officeart/2005/8/layout/hProcess4"/>
    <dgm:cxn modelId="{49DD4084-DC3A-4072-89BF-2B87CD88F491}" type="presParOf" srcId="{23416E9C-8032-4BEB-95BC-4E55B284DAFA}" destId="{460F609C-AF12-4DFA-B20B-724DF3FF7AE5}" srcOrd="4" destOrd="0" presId="urn:microsoft.com/office/officeart/2005/8/layout/hProcess4"/>
    <dgm:cxn modelId="{6FD54F62-0094-42B0-B89B-97145216B74C}" type="presParOf" srcId="{CDB428F8-DF21-4827-8153-4A1435701C4B}" destId="{0D8EEC67-CFCB-4E03-A953-611E63CC3E69}" srcOrd="3" destOrd="0" presId="urn:microsoft.com/office/officeart/2005/8/layout/hProcess4"/>
    <dgm:cxn modelId="{5A35B9FF-F85B-4CBA-98C8-A9B503F67FC1}" type="presParOf" srcId="{CDB428F8-DF21-4827-8153-4A1435701C4B}" destId="{C3CD700C-D343-49FB-A2B0-F8A00136FA2B}" srcOrd="4" destOrd="0" presId="urn:microsoft.com/office/officeart/2005/8/layout/hProcess4"/>
    <dgm:cxn modelId="{74A55AE9-62BB-412A-BE5C-D1D9498E19BC}" type="presParOf" srcId="{C3CD700C-D343-49FB-A2B0-F8A00136FA2B}" destId="{6BCC6CEA-7739-4153-B75D-1BD30B35634B}" srcOrd="0" destOrd="0" presId="urn:microsoft.com/office/officeart/2005/8/layout/hProcess4"/>
    <dgm:cxn modelId="{5AA9C82A-1F75-4AA0-9B67-20EAC053B7E6}" type="presParOf" srcId="{C3CD700C-D343-49FB-A2B0-F8A00136FA2B}" destId="{CA8DC8C2-902A-4C8E-98D9-C24F3DCA2CE4}" srcOrd="1" destOrd="0" presId="urn:microsoft.com/office/officeart/2005/8/layout/hProcess4"/>
    <dgm:cxn modelId="{8B0C56A3-4725-4291-BA3B-A7791E98AE08}" type="presParOf" srcId="{C3CD700C-D343-49FB-A2B0-F8A00136FA2B}" destId="{E9A9E598-D685-45E4-8D98-9AC98B6B531E}" srcOrd="2" destOrd="0" presId="urn:microsoft.com/office/officeart/2005/8/layout/hProcess4"/>
    <dgm:cxn modelId="{54556761-146F-4459-AFC5-7BB647A91A35}" type="presParOf" srcId="{C3CD700C-D343-49FB-A2B0-F8A00136FA2B}" destId="{97DC40B2-472E-447B-93FF-434AB18F15A3}" srcOrd="3" destOrd="0" presId="urn:microsoft.com/office/officeart/2005/8/layout/hProcess4"/>
    <dgm:cxn modelId="{A23384C3-0911-40E6-B1D7-1460D55244E8}"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20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649"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390" y="1344097"/>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649" y="951766"/>
          <a:ext cx="1668765" cy="512549"/>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390" y="83154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649" y="906046"/>
          <a:ext cx="1668765"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390" y="318998"/>
          <a:ext cx="834382"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649" y="439217"/>
          <a:ext cx="1668765" cy="512549"/>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69990"/>
        <a:ext cx="1191975" cy="363552"/>
      </dsp:txXfrm>
    </dsp:sp>
    <dsp:sp modelId="{2C291429-B4A2-48CB-B4CE-C7AA9CC450E2}">
      <dsp:nvSpPr>
        <dsp:cNvPr id="0" name=""/>
        <dsp:cNvSpPr/>
      </dsp:nvSpPr>
      <dsp:spPr>
        <a:xfrm>
          <a:off x="2863415" y="25744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415" y="257440"/>
        <a:ext cx="1191975" cy="363552"/>
      </dsp:txXfrm>
    </dsp:sp>
    <dsp:sp modelId="{518E6223-63A9-47A0-B1D7-ADA4E46FABCE}">
      <dsp:nvSpPr>
        <dsp:cNvPr id="0" name=""/>
        <dsp:cNvSpPr/>
      </dsp:nvSpPr>
      <dsp:spPr>
        <a:xfrm>
          <a:off x="4293785" y="1166"/>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3785" y="1166"/>
        <a:ext cx="1191975" cy="363552"/>
      </dsp:txXfrm>
    </dsp:sp>
    <dsp:sp modelId="{92B9F478-A273-44B2-95C3-B871E0AA16E3}">
      <dsp:nvSpPr>
        <dsp:cNvPr id="0" name=""/>
        <dsp:cNvSpPr/>
      </dsp:nvSpPr>
      <dsp:spPr>
        <a:xfrm>
          <a:off x="2863415" y="769990"/>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415" y="769990"/>
        <a:ext cx="1191975" cy="363552"/>
      </dsp:txXfrm>
    </dsp:sp>
    <dsp:sp modelId="{E15DD13E-4644-4575-8E0E-83BAFE252B05}">
      <dsp:nvSpPr>
        <dsp:cNvPr id="0" name=""/>
        <dsp:cNvSpPr/>
      </dsp:nvSpPr>
      <dsp:spPr>
        <a:xfrm>
          <a:off x="4293785"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3785" y="513715"/>
        <a:ext cx="1191975" cy="363552"/>
      </dsp:txXfrm>
    </dsp:sp>
    <dsp:sp modelId="{EB7370D6-F505-475E-BF85-916BA7A221FC}">
      <dsp:nvSpPr>
        <dsp:cNvPr id="0" name=""/>
        <dsp:cNvSpPr/>
      </dsp:nvSpPr>
      <dsp:spPr>
        <a:xfrm>
          <a:off x="2863415" y="1282539"/>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415" y="1282539"/>
        <a:ext cx="1191975" cy="363552"/>
      </dsp:txXfrm>
    </dsp:sp>
    <dsp:sp modelId="{47E79CE5-8FD2-4FA9-816E-8BE3C3CB8C1F}">
      <dsp:nvSpPr>
        <dsp:cNvPr id="0" name=""/>
        <dsp:cNvSpPr/>
      </dsp:nvSpPr>
      <dsp:spPr>
        <a:xfrm>
          <a:off x="4293785" y="1026264"/>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3785" y="1026264"/>
        <a:ext cx="1191975" cy="363552"/>
      </dsp:txXfrm>
    </dsp:sp>
    <dsp:sp modelId="{1B219043-7F54-4BD6-ABA2-CB85048D7527}">
      <dsp:nvSpPr>
        <dsp:cNvPr id="0" name=""/>
        <dsp:cNvSpPr/>
      </dsp:nvSpPr>
      <dsp:spPr>
        <a:xfrm>
          <a:off x="1433044" y="513715"/>
          <a:ext cx="1191975" cy="363552"/>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044" y="513715"/>
        <a:ext cx="1191975" cy="36355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18918"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34557" y="16785"/>
        <a:ext cx="1036662" cy="502692"/>
      </dsp:txXfrm>
    </dsp:sp>
    <dsp:sp modelId="{9C5243F3-3BD2-448D-9FEC-175D5DE5FB95}">
      <dsp:nvSpPr>
        <dsp:cNvPr id="0" name=""/>
        <dsp:cNvSpPr/>
      </dsp:nvSpPr>
      <dsp:spPr>
        <a:xfrm>
          <a:off x="425712"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32506"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48145" y="684248"/>
        <a:ext cx="823074" cy="502692"/>
      </dsp:txXfrm>
    </dsp:sp>
    <dsp:sp modelId="{73A58F98-06D7-4D0A-8A39-E6F92FBE09DF}">
      <dsp:nvSpPr>
        <dsp:cNvPr id="0" name=""/>
        <dsp:cNvSpPr/>
      </dsp:nvSpPr>
      <dsp:spPr>
        <a:xfrm>
          <a:off x="425712"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32506"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48145" y="1351711"/>
        <a:ext cx="823074" cy="502692"/>
      </dsp:txXfrm>
    </dsp:sp>
    <dsp:sp modelId="{0F43FBEE-DF29-447C-B990-CDA7C4C2CE5C}">
      <dsp:nvSpPr>
        <dsp:cNvPr id="0" name=""/>
        <dsp:cNvSpPr/>
      </dsp:nvSpPr>
      <dsp:spPr>
        <a:xfrm>
          <a:off x="4379175" y="0"/>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394814" y="15639"/>
        <a:ext cx="1036662" cy="502692"/>
      </dsp:txXfrm>
    </dsp:sp>
    <dsp:sp modelId="{9EC2E1A0-16D1-4F52-918C-99C35BC8F566}">
      <dsp:nvSpPr>
        <dsp:cNvPr id="0" name=""/>
        <dsp:cNvSpPr/>
      </dsp:nvSpPr>
      <dsp:spPr>
        <a:xfrm>
          <a:off x="4485969" y="533970"/>
          <a:ext cx="110692" cy="373035"/>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596661" y="640020"/>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12300" y="655659"/>
        <a:ext cx="823074" cy="502692"/>
      </dsp:txXfrm>
    </dsp:sp>
    <dsp:sp modelId="{1AF3619D-B9CC-44DB-AD4A-1AF22F1C9DBA}">
      <dsp:nvSpPr>
        <dsp:cNvPr id="0" name=""/>
        <dsp:cNvSpPr/>
      </dsp:nvSpPr>
      <dsp:spPr>
        <a:xfrm>
          <a:off x="4485969" y="533970"/>
          <a:ext cx="158347" cy="1030972"/>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44317" y="1297957"/>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59956" y="1313596"/>
        <a:ext cx="823074" cy="502692"/>
      </dsp:txXfrm>
    </dsp:sp>
    <dsp:sp modelId="{D63AEAA9-2D7C-47C1-8810-CBACF93C645A}">
      <dsp:nvSpPr>
        <dsp:cNvPr id="0" name=""/>
        <dsp:cNvSpPr/>
      </dsp:nvSpPr>
      <dsp:spPr>
        <a:xfrm>
          <a:off x="2988770" y="1146"/>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04409" y="16785"/>
        <a:ext cx="1036662" cy="502692"/>
      </dsp:txXfrm>
    </dsp:sp>
    <dsp:sp modelId="{07E12C06-DF4C-4847-A365-0DA62AF9B97B}">
      <dsp:nvSpPr>
        <dsp:cNvPr id="0" name=""/>
        <dsp:cNvSpPr/>
      </dsp:nvSpPr>
      <dsp:spPr>
        <a:xfrm>
          <a:off x="3095564" y="535116"/>
          <a:ext cx="106794" cy="400477"/>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02358" y="668609"/>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17997" y="684248"/>
        <a:ext cx="823074" cy="502692"/>
      </dsp:txXfrm>
    </dsp:sp>
    <dsp:sp modelId="{20853827-3E97-4848-A643-5850B4B5AC8E}">
      <dsp:nvSpPr>
        <dsp:cNvPr id="0" name=""/>
        <dsp:cNvSpPr/>
      </dsp:nvSpPr>
      <dsp:spPr>
        <a:xfrm>
          <a:off x="3095564" y="535116"/>
          <a:ext cx="106794" cy="1067940"/>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02358" y="1336072"/>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17997" y="1351711"/>
        <a:ext cx="823074" cy="502692"/>
      </dsp:txXfrm>
    </dsp:sp>
    <dsp:sp modelId="{EDCDB10A-4565-462C-9838-2CED1D6D0FB7}">
      <dsp:nvSpPr>
        <dsp:cNvPr id="0" name=""/>
        <dsp:cNvSpPr/>
      </dsp:nvSpPr>
      <dsp:spPr>
        <a:xfrm>
          <a:off x="3095564" y="535116"/>
          <a:ext cx="106794" cy="1735403"/>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02358" y="200353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17997" y="2019174"/>
        <a:ext cx="823074" cy="502692"/>
      </dsp:txXfrm>
    </dsp:sp>
    <dsp:sp modelId="{82587C02-6832-4C41-8E13-1B5F26233958}">
      <dsp:nvSpPr>
        <dsp:cNvPr id="0" name=""/>
        <dsp:cNvSpPr/>
      </dsp:nvSpPr>
      <dsp:spPr>
        <a:xfrm>
          <a:off x="1569775" y="2657"/>
          <a:ext cx="1067940" cy="533970"/>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585414" y="18296"/>
        <a:ext cx="1036662" cy="502692"/>
      </dsp:txXfrm>
    </dsp:sp>
    <dsp:sp modelId="{F3B29933-49F7-429E-93CC-A20D864E0016}">
      <dsp:nvSpPr>
        <dsp:cNvPr id="0" name=""/>
        <dsp:cNvSpPr/>
      </dsp:nvSpPr>
      <dsp:spPr>
        <a:xfrm>
          <a:off x="1676569" y="536627"/>
          <a:ext cx="106794" cy="446612"/>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783364" y="716255"/>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799003" y="731894"/>
        <a:ext cx="823074" cy="502692"/>
      </dsp:txXfrm>
    </dsp:sp>
    <dsp:sp modelId="{534C199A-9BD0-41D2-A21A-01D939A132C7}">
      <dsp:nvSpPr>
        <dsp:cNvPr id="0" name=""/>
        <dsp:cNvSpPr/>
      </dsp:nvSpPr>
      <dsp:spPr>
        <a:xfrm>
          <a:off x="1676569" y="536627"/>
          <a:ext cx="143343" cy="1134788"/>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19913" y="1404431"/>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35552" y="1420070"/>
        <a:ext cx="823074" cy="502692"/>
      </dsp:txXfrm>
    </dsp:sp>
    <dsp:sp modelId="{013C1FE1-5D2F-4766-9B4D-003DB15D668D}">
      <dsp:nvSpPr>
        <dsp:cNvPr id="0" name=""/>
        <dsp:cNvSpPr/>
      </dsp:nvSpPr>
      <dsp:spPr>
        <a:xfrm>
          <a:off x="1676569" y="536627"/>
          <a:ext cx="144915" cy="1743423"/>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21485" y="2013066"/>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37124" y="2028705"/>
        <a:ext cx="823074" cy="502692"/>
      </dsp:txXfrm>
    </dsp:sp>
    <dsp:sp modelId="{3E1472E8-62E9-496E-B5AC-C0C1D452FA1A}">
      <dsp:nvSpPr>
        <dsp:cNvPr id="0" name=""/>
        <dsp:cNvSpPr/>
      </dsp:nvSpPr>
      <dsp:spPr>
        <a:xfrm>
          <a:off x="1676569" y="536627"/>
          <a:ext cx="163958" cy="2402501"/>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40528" y="2672144"/>
          <a:ext cx="854352" cy="533970"/>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56167" y="2687783"/>
        <a:ext cx="823074" cy="50269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9120"/>
          <a:ext cx="2130748" cy="852299"/>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9120"/>
        <a:ext cx="1917673" cy="852299"/>
      </dsp:txXfrm>
    </dsp:sp>
    <dsp:sp modelId="{C02368D3-3D2F-4216-8700-A8A716D08BA9}">
      <dsp:nvSpPr>
        <dsp:cNvPr id="0" name=""/>
        <dsp:cNvSpPr/>
      </dsp:nvSpPr>
      <dsp:spPr>
        <a:xfrm>
          <a:off x="1702458" y="429120"/>
          <a:ext cx="2130748" cy="852299"/>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8608" y="429120"/>
        <a:ext cx="1278449" cy="852299"/>
      </dsp:txXfrm>
    </dsp:sp>
    <dsp:sp modelId="{0402E29A-96C8-4E1F-90FC-726FFA2C37A7}">
      <dsp:nvSpPr>
        <dsp:cNvPr id="0" name=""/>
        <dsp:cNvSpPr/>
      </dsp:nvSpPr>
      <dsp:spPr>
        <a:xfrm>
          <a:off x="3407057" y="429120"/>
          <a:ext cx="2130748" cy="852299"/>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33207" y="429120"/>
        <a:ext cx="1278449" cy="852299"/>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155" y="1236783"/>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Doručenie ŽoNFP na RO</a:t>
          </a:r>
        </a:p>
      </dsp:txBody>
      <dsp:txXfrm>
        <a:off x="21704" y="1258332"/>
        <a:ext cx="1428348" cy="692625"/>
      </dsp:txXfrm>
    </dsp:sp>
    <dsp:sp modelId="{58329EFC-43E5-4A70-A631-E56F9E671367}">
      <dsp:nvSpPr>
        <dsp:cNvPr id="0" name=""/>
        <dsp:cNvSpPr/>
      </dsp:nvSpPr>
      <dsp:spPr>
        <a:xfrm rot="19457599">
          <a:off x="1403473" y="1372492"/>
          <a:ext cx="724836" cy="41264"/>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7771" y="1375003"/>
        <a:ext cx="36241" cy="36241"/>
      </dsp:txXfrm>
    </dsp:sp>
    <dsp:sp modelId="{08CA2AB2-5D3C-47AF-AD71-274655C10F0B}">
      <dsp:nvSpPr>
        <dsp:cNvPr id="0" name=""/>
        <dsp:cNvSpPr/>
      </dsp:nvSpPr>
      <dsp:spPr>
        <a:xfrm>
          <a:off x="2060181" y="813742"/>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doručená riadne, včas a vo forme určenej RO</a:t>
          </a:r>
        </a:p>
      </dsp:txBody>
      <dsp:txXfrm>
        <a:off x="2081730" y="835291"/>
        <a:ext cx="1428348" cy="692625"/>
      </dsp:txXfrm>
    </dsp:sp>
    <dsp:sp modelId="{CBA1ED5A-2759-433B-93A9-1BF9D50BA01A}">
      <dsp:nvSpPr>
        <dsp:cNvPr id="0" name=""/>
        <dsp:cNvSpPr/>
      </dsp:nvSpPr>
      <dsp:spPr>
        <a:xfrm>
          <a:off x="3531628" y="1160971"/>
          <a:ext cx="588578" cy="41264"/>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1203" y="1166889"/>
        <a:ext cx="29428" cy="29428"/>
      </dsp:txXfrm>
    </dsp:sp>
    <dsp:sp modelId="{158FBC8E-B874-4663-9094-01DA4CF1E41D}">
      <dsp:nvSpPr>
        <dsp:cNvPr id="0" name=""/>
        <dsp:cNvSpPr/>
      </dsp:nvSpPr>
      <dsp:spPr>
        <a:xfrm>
          <a:off x="4120207" y="813742"/>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Registrácia doručenej ŽoNFP</a:t>
          </a:r>
        </a:p>
      </dsp:txBody>
      <dsp:txXfrm>
        <a:off x="4141756" y="835291"/>
        <a:ext cx="1428348" cy="692625"/>
      </dsp:txXfrm>
    </dsp:sp>
    <dsp:sp modelId="{2D7347FF-F8E2-485E-B0C2-A750C56F748E}">
      <dsp:nvSpPr>
        <dsp:cNvPr id="0" name=""/>
        <dsp:cNvSpPr/>
      </dsp:nvSpPr>
      <dsp:spPr>
        <a:xfrm rot="2142401">
          <a:off x="1403473" y="1795533"/>
          <a:ext cx="724836" cy="41264"/>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7771" y="1798044"/>
        <a:ext cx="36241" cy="36241"/>
      </dsp:txXfrm>
    </dsp:sp>
    <dsp:sp modelId="{6898A610-2F97-4B55-9A9B-3F73A1FD27CD}">
      <dsp:nvSpPr>
        <dsp:cNvPr id="0" name=""/>
        <dsp:cNvSpPr/>
      </dsp:nvSpPr>
      <dsp:spPr>
        <a:xfrm>
          <a:off x="2060181" y="1659824"/>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nie je doručená riadne a/alebo včas a /alebo vo forme určenej RO</a:t>
          </a:r>
        </a:p>
      </dsp:txBody>
      <dsp:txXfrm>
        <a:off x="2081730" y="1681373"/>
        <a:ext cx="1428348" cy="692625"/>
      </dsp:txXfrm>
    </dsp:sp>
    <dsp:sp modelId="{4ED72815-A081-4CEB-9EDA-E9A661596D18}">
      <dsp:nvSpPr>
        <dsp:cNvPr id="0" name=""/>
        <dsp:cNvSpPr/>
      </dsp:nvSpPr>
      <dsp:spPr>
        <a:xfrm>
          <a:off x="3531628" y="2007053"/>
          <a:ext cx="588578" cy="41264"/>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1203" y="2012971"/>
        <a:ext cx="29428" cy="29428"/>
      </dsp:txXfrm>
    </dsp:sp>
    <dsp:sp modelId="{E5C3F144-3AB1-4041-A4FB-8B06B9600829}">
      <dsp:nvSpPr>
        <dsp:cNvPr id="0" name=""/>
        <dsp:cNvSpPr/>
      </dsp:nvSpPr>
      <dsp:spPr>
        <a:xfrm>
          <a:off x="4120207" y="1659824"/>
          <a:ext cx="1471446" cy="73572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Rozhodnutie o zastavení konania</a:t>
          </a:r>
        </a:p>
      </dsp:txBody>
      <dsp:txXfrm>
        <a:off x="4141756" y="1681373"/>
        <a:ext cx="1428348" cy="692625"/>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44963" y="93767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60869" y="953576"/>
        <a:ext cx="1054308" cy="511248"/>
      </dsp:txXfrm>
    </dsp:sp>
    <dsp:sp modelId="{58329EFC-43E5-4A70-A631-E56F9E671367}">
      <dsp:nvSpPr>
        <dsp:cNvPr id="0" name=""/>
        <dsp:cNvSpPr/>
      </dsp:nvSpPr>
      <dsp:spPr>
        <a:xfrm rot="17692822">
          <a:off x="1431999" y="724748"/>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714995"/>
        <a:ext cx="51630" cy="51630"/>
      </dsp:txXfrm>
    </dsp:sp>
    <dsp:sp modelId="{08CA2AB2-5D3C-47AF-AD71-274655C10F0B}">
      <dsp:nvSpPr>
        <dsp:cNvPr id="0" name=""/>
        <dsp:cNvSpPr/>
      </dsp:nvSpPr>
      <dsp:spPr>
        <a:xfrm>
          <a:off x="2165532"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181438" y="16797"/>
        <a:ext cx="1054308" cy="511248"/>
      </dsp:txXfrm>
    </dsp:sp>
    <dsp:sp modelId="{CBA1ED5A-2759-433B-93A9-1BF9D50BA01A}">
      <dsp:nvSpPr>
        <dsp:cNvPr id="0" name=""/>
        <dsp:cNvSpPr/>
      </dsp:nvSpPr>
      <dsp:spPr>
        <a:xfrm>
          <a:off x="3251652" y="256359"/>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61560"/>
        <a:ext cx="21722" cy="21722"/>
      </dsp:txXfrm>
    </dsp:sp>
    <dsp:sp modelId="{158FBC8E-B874-4663-9094-01DA4CF1E41D}">
      <dsp:nvSpPr>
        <dsp:cNvPr id="0" name=""/>
        <dsp:cNvSpPr/>
      </dsp:nvSpPr>
      <dsp:spPr>
        <a:xfrm>
          <a:off x="3686100" y="891"/>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6797"/>
        <a:ext cx="1054308" cy="511248"/>
      </dsp:txXfrm>
    </dsp:sp>
    <dsp:sp modelId="{2D7347FF-F8E2-485E-B0C2-A750C56F748E}">
      <dsp:nvSpPr>
        <dsp:cNvPr id="0" name=""/>
        <dsp:cNvSpPr/>
      </dsp:nvSpPr>
      <dsp:spPr>
        <a:xfrm rot="19457599">
          <a:off x="1680795" y="1037008"/>
          <a:ext cx="535024"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34932" y="1039694"/>
        <a:ext cx="26751" cy="26751"/>
      </dsp:txXfrm>
    </dsp:sp>
    <dsp:sp modelId="{6898A610-2F97-4B55-9A9B-3F73A1FD27CD}">
      <dsp:nvSpPr>
        <dsp:cNvPr id="0" name=""/>
        <dsp:cNvSpPr/>
      </dsp:nvSpPr>
      <dsp:spPr>
        <a:xfrm>
          <a:off x="2165532"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181438" y="641316"/>
        <a:ext cx="1054308" cy="511248"/>
      </dsp:txXfrm>
    </dsp:sp>
    <dsp:sp modelId="{4ED72815-A081-4CEB-9EDA-E9A661596D18}">
      <dsp:nvSpPr>
        <dsp:cNvPr id="0" name=""/>
        <dsp:cNvSpPr/>
      </dsp:nvSpPr>
      <dsp:spPr>
        <a:xfrm>
          <a:off x="3251652" y="880878"/>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886079"/>
        <a:ext cx="21722" cy="21722"/>
      </dsp:txXfrm>
    </dsp:sp>
    <dsp:sp modelId="{E5C3F144-3AB1-4041-A4FB-8B06B9600829}">
      <dsp:nvSpPr>
        <dsp:cNvPr id="0" name=""/>
        <dsp:cNvSpPr/>
      </dsp:nvSpPr>
      <dsp:spPr>
        <a:xfrm>
          <a:off x="3686100" y="625410"/>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02006" y="641316"/>
        <a:ext cx="1054308" cy="511248"/>
      </dsp:txXfrm>
    </dsp:sp>
    <dsp:sp modelId="{38EB2FAB-C7D0-4D8F-95C2-0EE881BF55E5}">
      <dsp:nvSpPr>
        <dsp:cNvPr id="0" name=""/>
        <dsp:cNvSpPr/>
      </dsp:nvSpPr>
      <dsp:spPr>
        <a:xfrm rot="3907178">
          <a:off x="1431999" y="1661527"/>
          <a:ext cx="1032617"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22492" y="1651774"/>
        <a:ext cx="51630" cy="51630"/>
      </dsp:txXfrm>
    </dsp:sp>
    <dsp:sp modelId="{8DDBB6C2-FDBD-4EC2-8B16-FB97A5BEC13C}">
      <dsp:nvSpPr>
        <dsp:cNvPr id="0" name=""/>
        <dsp:cNvSpPr/>
      </dsp:nvSpPr>
      <dsp:spPr>
        <a:xfrm>
          <a:off x="2165532"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181438" y="1890355"/>
        <a:ext cx="1054308" cy="511248"/>
      </dsp:txXfrm>
    </dsp:sp>
    <dsp:sp modelId="{49BFA34C-9A01-485D-80DB-164D95FDE7D7}">
      <dsp:nvSpPr>
        <dsp:cNvPr id="0" name=""/>
        <dsp:cNvSpPr/>
      </dsp:nvSpPr>
      <dsp:spPr>
        <a:xfrm rot="18289469">
          <a:off x="3088492" y="1817657"/>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1814700"/>
        <a:ext cx="38038" cy="38038"/>
      </dsp:txXfrm>
    </dsp:sp>
    <dsp:sp modelId="{7569289F-F9A0-4BEB-937E-A66C6C7EFC35}">
      <dsp:nvSpPr>
        <dsp:cNvPr id="0" name=""/>
        <dsp:cNvSpPr/>
      </dsp:nvSpPr>
      <dsp:spPr>
        <a:xfrm>
          <a:off x="3686100" y="124992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02006" y="1265835"/>
        <a:ext cx="1054308" cy="511248"/>
      </dsp:txXfrm>
    </dsp:sp>
    <dsp:sp modelId="{BD8DE141-6F33-41CA-A362-12945E62E9B5}">
      <dsp:nvSpPr>
        <dsp:cNvPr id="0" name=""/>
        <dsp:cNvSpPr/>
      </dsp:nvSpPr>
      <dsp:spPr>
        <a:xfrm>
          <a:off x="3251652" y="2129917"/>
          <a:ext cx="434448"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58015" y="2135118"/>
        <a:ext cx="21722" cy="21722"/>
      </dsp:txXfrm>
    </dsp:sp>
    <dsp:sp modelId="{71FC0E61-F591-486B-920A-552B564125B5}">
      <dsp:nvSpPr>
        <dsp:cNvPr id="0" name=""/>
        <dsp:cNvSpPr/>
      </dsp:nvSpPr>
      <dsp:spPr>
        <a:xfrm>
          <a:off x="3686100" y="1874449"/>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02006" y="1890355"/>
        <a:ext cx="1054308" cy="511248"/>
      </dsp:txXfrm>
    </dsp:sp>
    <dsp:sp modelId="{B7B412FC-52A0-4445-B27F-521261890E22}">
      <dsp:nvSpPr>
        <dsp:cNvPr id="0" name=""/>
        <dsp:cNvSpPr/>
      </dsp:nvSpPr>
      <dsp:spPr>
        <a:xfrm rot="3310531">
          <a:off x="3088492" y="2442176"/>
          <a:ext cx="760768"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49857" y="2439219"/>
        <a:ext cx="38038" cy="38038"/>
      </dsp:txXfrm>
    </dsp:sp>
    <dsp:sp modelId="{1240CE2A-12EF-4101-909B-DBE20E9DA603}">
      <dsp:nvSpPr>
        <dsp:cNvPr id="0" name=""/>
        <dsp:cNvSpPr/>
      </dsp:nvSpPr>
      <dsp:spPr>
        <a:xfrm>
          <a:off x="3686100" y="2498968"/>
          <a:ext cx="1086120" cy="54306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02006" y="2514874"/>
        <a:ext cx="1054308" cy="511248"/>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6049" y="248358"/>
          <a:ext cx="91440" cy="227204"/>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3631" y="248358"/>
          <a:ext cx="1280357" cy="454409"/>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37911" y="248358"/>
          <a:ext cx="91440" cy="454409"/>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27330" y="1592581"/>
          <a:ext cx="91440" cy="294901"/>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24912" y="1592581"/>
          <a:ext cx="117355" cy="1045109"/>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24912" y="1592581"/>
          <a:ext cx="646559" cy="438027"/>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24912" y="248358"/>
          <a:ext cx="1258719" cy="454409"/>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9531" y="1397"/>
          <a:ext cx="1608199"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9531" y="1397"/>
        <a:ext cx="1608199" cy="246961"/>
      </dsp:txXfrm>
    </dsp:sp>
    <dsp:sp modelId="{A2E30FAD-E456-4285-B56D-18250DB99DCB}">
      <dsp:nvSpPr>
        <dsp:cNvPr id="0" name=""/>
        <dsp:cNvSpPr/>
      </dsp:nvSpPr>
      <dsp:spPr>
        <a:xfrm>
          <a:off x="1212368" y="702768"/>
          <a:ext cx="1225087" cy="88981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212368" y="702768"/>
        <a:ext cx="1225087" cy="889812"/>
      </dsp:txXfrm>
    </dsp:sp>
    <dsp:sp modelId="{8D70B6FB-BBCD-4462-B470-D6DEB9A7CDA4}">
      <dsp:nvSpPr>
        <dsp:cNvPr id="0" name=""/>
        <dsp:cNvSpPr/>
      </dsp:nvSpPr>
      <dsp:spPr>
        <a:xfrm>
          <a:off x="2471472" y="1808487"/>
          <a:ext cx="1490013" cy="444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71472" y="1808487"/>
        <a:ext cx="1490013" cy="444242"/>
      </dsp:txXfrm>
    </dsp:sp>
    <dsp:sp modelId="{F0FA768E-9EEE-4817-8C93-A2D41D44F444}">
      <dsp:nvSpPr>
        <dsp:cNvPr id="0" name=""/>
        <dsp:cNvSpPr/>
      </dsp:nvSpPr>
      <dsp:spPr>
        <a:xfrm>
          <a:off x="1942267" y="2410985"/>
          <a:ext cx="1668473" cy="45341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42267" y="2410985"/>
        <a:ext cx="1668473" cy="453411"/>
      </dsp:txXfrm>
    </dsp:sp>
    <dsp:sp modelId="{973F57A0-5DD3-4F0E-BEFA-671E94FB2CBE}">
      <dsp:nvSpPr>
        <dsp:cNvPr id="0" name=""/>
        <dsp:cNvSpPr/>
      </dsp:nvSpPr>
      <dsp:spPr>
        <a:xfrm>
          <a:off x="531505" y="1696305"/>
          <a:ext cx="1241545" cy="382355"/>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31505" y="1696305"/>
        <a:ext cx="1241545" cy="382355"/>
      </dsp:txXfrm>
    </dsp:sp>
    <dsp:sp modelId="{CD9AD5BE-E741-4DCD-BB42-EC27E05E1879}">
      <dsp:nvSpPr>
        <dsp:cNvPr id="0" name=""/>
        <dsp:cNvSpPr/>
      </dsp:nvSpPr>
      <dsp:spPr>
        <a:xfrm>
          <a:off x="2541180" y="702768"/>
          <a:ext cx="1128180" cy="79722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41180" y="702768"/>
        <a:ext cx="1128180" cy="797221"/>
      </dsp:txXfrm>
    </dsp:sp>
    <dsp:sp modelId="{F806445A-6FFA-49B4-991B-AFFB35FD1F7F}">
      <dsp:nvSpPr>
        <dsp:cNvPr id="0" name=""/>
        <dsp:cNvSpPr/>
      </dsp:nvSpPr>
      <dsp:spPr>
        <a:xfrm>
          <a:off x="3773084" y="702768"/>
          <a:ext cx="1181810" cy="77974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73084" y="702768"/>
        <a:ext cx="1181810" cy="779741"/>
      </dsp:txXfrm>
    </dsp:sp>
    <dsp:sp modelId="{84FD2034-3F62-4273-ACE0-F6D1E81A6C5B}">
      <dsp:nvSpPr>
        <dsp:cNvPr id="0" name=""/>
        <dsp:cNvSpPr/>
      </dsp:nvSpPr>
      <dsp:spPr>
        <a:xfrm>
          <a:off x="2095641" y="352082"/>
          <a:ext cx="936127" cy="2469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95641" y="352082"/>
        <a:ext cx="936127" cy="246961"/>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3608" y="1503930"/>
          <a:ext cx="1128003" cy="100714"/>
        </a:xfrm>
        <a:custGeom>
          <a:avLst/>
          <a:gdLst/>
          <a:ahLst/>
          <a:cxnLst/>
          <a:rect l="0" t="0" r="0" b="0"/>
          <a:pathLst>
            <a:path>
              <a:moveTo>
                <a:pt x="0" y="100714"/>
              </a:moveTo>
              <a:lnTo>
                <a:pt x="1128003" y="100714"/>
              </a:lnTo>
              <a:lnTo>
                <a:pt x="112800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3608" y="1604645"/>
          <a:ext cx="2256007" cy="1039374"/>
        </a:xfrm>
        <a:custGeom>
          <a:avLst/>
          <a:gdLst/>
          <a:ahLst/>
          <a:cxnLst/>
          <a:rect l="0" t="0" r="0" b="0"/>
          <a:pathLst>
            <a:path>
              <a:moveTo>
                <a:pt x="0" y="0"/>
              </a:moveTo>
              <a:lnTo>
                <a:pt x="2094863" y="0"/>
              </a:lnTo>
              <a:lnTo>
                <a:pt x="2094863" y="1039374"/>
              </a:lnTo>
              <a:lnTo>
                <a:pt x="2256007" y="10393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3608" y="1604645"/>
          <a:ext cx="2256007" cy="346458"/>
        </a:xfrm>
        <a:custGeom>
          <a:avLst/>
          <a:gdLst/>
          <a:ahLst/>
          <a:cxnLst/>
          <a:rect l="0" t="0" r="0" b="0"/>
          <a:pathLst>
            <a:path>
              <a:moveTo>
                <a:pt x="0" y="0"/>
              </a:moveTo>
              <a:lnTo>
                <a:pt x="2094863" y="0"/>
              </a:lnTo>
              <a:lnTo>
                <a:pt x="2094863" y="346458"/>
              </a:lnTo>
              <a:lnTo>
                <a:pt x="2256007" y="3464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3608" y="1266134"/>
          <a:ext cx="2258182" cy="338510"/>
        </a:xfrm>
        <a:custGeom>
          <a:avLst/>
          <a:gdLst/>
          <a:ahLst/>
          <a:cxnLst/>
          <a:rect l="0" t="0" r="0" b="0"/>
          <a:pathLst>
            <a:path>
              <a:moveTo>
                <a:pt x="0" y="338510"/>
              </a:moveTo>
              <a:lnTo>
                <a:pt x="2097039" y="338510"/>
              </a:lnTo>
              <a:lnTo>
                <a:pt x="2097039" y="0"/>
              </a:lnTo>
              <a:lnTo>
                <a:pt x="2258182"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3608" y="565270"/>
          <a:ext cx="2256007" cy="1039374"/>
        </a:xfrm>
        <a:custGeom>
          <a:avLst/>
          <a:gdLst/>
          <a:ahLst/>
          <a:cxnLst/>
          <a:rect l="0" t="0" r="0" b="0"/>
          <a:pathLst>
            <a:path>
              <a:moveTo>
                <a:pt x="0" y="1039374"/>
              </a:moveTo>
              <a:lnTo>
                <a:pt x="2094863" y="1039374"/>
              </a:lnTo>
              <a:lnTo>
                <a:pt x="2094863" y="0"/>
              </a:lnTo>
              <a:lnTo>
                <a:pt x="2256007"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5" y="1358901"/>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5" y="1358901"/>
        <a:ext cx="1611433" cy="491487"/>
      </dsp:txXfrm>
    </dsp:sp>
    <dsp:sp modelId="{D6F1F3D3-260D-4F68-AD95-4A0DA4317686}">
      <dsp:nvSpPr>
        <dsp:cNvPr id="0" name=""/>
        <dsp:cNvSpPr/>
      </dsp:nvSpPr>
      <dsp:spPr>
        <a:xfrm>
          <a:off x="3869616" y="31952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69616" y="319526"/>
        <a:ext cx="1611433" cy="491487"/>
      </dsp:txXfrm>
    </dsp:sp>
    <dsp:sp modelId="{57BADDCE-E03D-4FA8-BE95-75A53E54CF23}">
      <dsp:nvSpPr>
        <dsp:cNvPr id="0" name=""/>
        <dsp:cNvSpPr/>
      </dsp:nvSpPr>
      <dsp:spPr>
        <a:xfrm>
          <a:off x="3871791" y="1020390"/>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1791" y="1020390"/>
        <a:ext cx="1611433" cy="491487"/>
      </dsp:txXfrm>
    </dsp:sp>
    <dsp:sp modelId="{A2859573-8743-449F-B0BE-856E93120483}">
      <dsp:nvSpPr>
        <dsp:cNvPr id="0" name=""/>
        <dsp:cNvSpPr/>
      </dsp:nvSpPr>
      <dsp:spPr>
        <a:xfrm>
          <a:off x="3869616" y="1705359"/>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69616" y="1705359"/>
        <a:ext cx="1611433" cy="491487"/>
      </dsp:txXfrm>
    </dsp:sp>
    <dsp:sp modelId="{D58F5FB6-D082-4896-AB56-35CB667A078E}">
      <dsp:nvSpPr>
        <dsp:cNvPr id="0" name=""/>
        <dsp:cNvSpPr/>
      </dsp:nvSpPr>
      <dsp:spPr>
        <a:xfrm>
          <a:off x="3869616" y="2398276"/>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69616" y="2398276"/>
        <a:ext cx="1611433" cy="491487"/>
      </dsp:txXfrm>
    </dsp:sp>
    <dsp:sp modelId="{02D656AE-862B-4D20-907C-41811806EF20}">
      <dsp:nvSpPr>
        <dsp:cNvPr id="0" name=""/>
        <dsp:cNvSpPr/>
      </dsp:nvSpPr>
      <dsp:spPr>
        <a:xfrm>
          <a:off x="1935895" y="1012443"/>
          <a:ext cx="1611433" cy="491487"/>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5895" y="1012443"/>
        <a:ext cx="1611433" cy="491487"/>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3514" y="0"/>
          <a:ext cx="3439826" cy="233997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47"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50038" y="747683"/>
        <a:ext cx="1211199" cy="844608"/>
      </dsp:txXfrm>
    </dsp:sp>
    <dsp:sp modelId="{AB1E07D6-FDC4-4A05-9385-9A6A3DCD6F98}">
      <dsp:nvSpPr>
        <dsp:cNvPr id="0" name=""/>
        <dsp:cNvSpPr/>
      </dsp:nvSpPr>
      <dsp:spPr>
        <a:xfrm>
          <a:off x="137213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7827" y="747683"/>
        <a:ext cx="1211199" cy="844608"/>
      </dsp:txXfrm>
    </dsp:sp>
    <dsp:sp modelId="{AA435572-59CF-46AB-9A97-BB2BEBF824DA}">
      <dsp:nvSpPr>
        <dsp:cNvPr id="0" name=""/>
        <dsp:cNvSpPr/>
      </dsp:nvSpPr>
      <dsp:spPr>
        <a:xfrm>
          <a:off x="2739926" y="701992"/>
          <a:ext cx="1302581" cy="93599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85617" y="747683"/>
        <a:ext cx="1211199" cy="844608"/>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2032"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479" y="148085"/>
        <a:ext cx="1686783" cy="817944"/>
      </dsp:txXfrm>
    </dsp:sp>
    <dsp:sp modelId="{A8111FA3-F3CB-4919-9821-8B6C9F4B41DC}">
      <dsp:nvSpPr>
        <dsp:cNvPr id="0" name=""/>
        <dsp:cNvSpPr/>
      </dsp:nvSpPr>
      <dsp:spPr>
        <a:xfrm>
          <a:off x="1739709" y="520055"/>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539680"/>
        <a:ext cx="34753" cy="34753"/>
      </dsp:txXfrm>
    </dsp:sp>
    <dsp:sp modelId="{AC727610-2ABF-441D-9DF6-61C7A3E8896F}">
      <dsp:nvSpPr>
        <dsp:cNvPr id="0" name=""/>
        <dsp:cNvSpPr/>
      </dsp:nvSpPr>
      <dsp:spPr>
        <a:xfrm>
          <a:off x="2434780" y="122638"/>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60227" y="148085"/>
        <a:ext cx="1686783" cy="817944"/>
      </dsp:txXfrm>
    </dsp:sp>
    <dsp:sp modelId="{4436D034-8F5D-4167-8691-8F8EA77FE285}">
      <dsp:nvSpPr>
        <dsp:cNvPr id="0" name=""/>
        <dsp:cNvSpPr/>
      </dsp:nvSpPr>
      <dsp:spPr>
        <a:xfrm>
          <a:off x="2032"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479" y="1147249"/>
        <a:ext cx="1686783" cy="817944"/>
      </dsp:txXfrm>
    </dsp:sp>
    <dsp:sp modelId="{D2EBDF05-DB72-48B0-BFC6-DB38B4F81BD4}">
      <dsp:nvSpPr>
        <dsp:cNvPr id="0" name=""/>
        <dsp:cNvSpPr/>
      </dsp:nvSpPr>
      <dsp:spPr>
        <a:xfrm>
          <a:off x="1739709" y="1519220"/>
          <a:ext cx="695070" cy="74003"/>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9868" y="1538845"/>
        <a:ext cx="34753" cy="34753"/>
      </dsp:txXfrm>
    </dsp:sp>
    <dsp:sp modelId="{0A6EF1A8-9F22-498C-9D4C-17997D2EE438}">
      <dsp:nvSpPr>
        <dsp:cNvPr id="0" name=""/>
        <dsp:cNvSpPr/>
      </dsp:nvSpPr>
      <dsp:spPr>
        <a:xfrm>
          <a:off x="2434780" y="1121802"/>
          <a:ext cx="1737677" cy="868838"/>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60227" y="1147249"/>
        <a:ext cx="1686783" cy="817944"/>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0880" y="655674"/>
          <a:ext cx="91440" cy="33130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2224" y="655674"/>
          <a:ext cx="1307225" cy="662615"/>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2224" y="655674"/>
          <a:ext cx="435741" cy="662615"/>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6483" y="655674"/>
          <a:ext cx="435741" cy="662615"/>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84999" y="655674"/>
          <a:ext cx="1307225" cy="662615"/>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16356" y="603"/>
          <a:ext cx="2351737" cy="6550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16356" y="603"/>
        <a:ext cx="2351737" cy="655071"/>
      </dsp:txXfrm>
    </dsp:sp>
    <dsp:sp modelId="{AF7A5E30-790C-4E0A-8D06-C2B15C460200}">
      <dsp:nvSpPr>
        <dsp:cNvPr id="0" name=""/>
        <dsp:cNvSpPr/>
      </dsp:nvSpPr>
      <dsp:spPr>
        <a:xfrm>
          <a:off x="1924882" y="1318290"/>
          <a:ext cx="720234" cy="189547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24882" y="1318290"/>
        <a:ext cx="720234" cy="1895476"/>
      </dsp:txXfrm>
    </dsp:sp>
    <dsp:sp modelId="{17878173-F4A6-46C4-ABDD-8850F220BCD8}">
      <dsp:nvSpPr>
        <dsp:cNvPr id="0" name=""/>
        <dsp:cNvSpPr/>
      </dsp:nvSpPr>
      <dsp:spPr>
        <a:xfrm>
          <a:off x="2796366" y="1318290"/>
          <a:ext cx="720234" cy="1895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796366" y="1318290"/>
        <a:ext cx="720234" cy="1895473"/>
      </dsp:txXfrm>
    </dsp:sp>
    <dsp:sp modelId="{8633CB1E-0933-414C-8CAB-DC16D69457A7}">
      <dsp:nvSpPr>
        <dsp:cNvPr id="0" name=""/>
        <dsp:cNvSpPr/>
      </dsp:nvSpPr>
      <dsp:spPr>
        <a:xfrm>
          <a:off x="3667849" y="1318290"/>
          <a:ext cx="720234" cy="187526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7849" y="1318290"/>
        <a:ext cx="720234" cy="1875266"/>
      </dsp:txXfrm>
    </dsp:sp>
    <dsp:sp modelId="{40E54204-9F18-4A4D-B3CF-232E466168AA}">
      <dsp:nvSpPr>
        <dsp:cNvPr id="0" name=""/>
        <dsp:cNvSpPr/>
      </dsp:nvSpPr>
      <dsp:spPr>
        <a:xfrm>
          <a:off x="4539333" y="1318290"/>
          <a:ext cx="720234" cy="1855096"/>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sp:txBody>
      <dsp:txXfrm>
        <a:off x="4539333" y="1318290"/>
        <a:ext cx="720234" cy="1855096"/>
      </dsp:txXfrm>
    </dsp:sp>
    <dsp:sp modelId="{1EF10A14-8DBB-4795-94E7-6148712F4460}">
      <dsp:nvSpPr>
        <dsp:cNvPr id="0" name=""/>
        <dsp:cNvSpPr/>
      </dsp:nvSpPr>
      <dsp:spPr>
        <a:xfrm>
          <a:off x="313192" y="806923"/>
          <a:ext cx="3203407" cy="360117"/>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13192" y="806923"/>
        <a:ext cx="3203407" cy="360117"/>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7572" y="837769"/>
          <a:ext cx="175627" cy="769415"/>
        </a:xfrm>
        <a:custGeom>
          <a:avLst/>
          <a:gdLst/>
          <a:ahLst/>
          <a:cxnLst/>
          <a:rect l="0" t="0" r="0" b="0"/>
          <a:pathLst>
            <a:path>
              <a:moveTo>
                <a:pt x="175627" y="0"/>
              </a:moveTo>
              <a:lnTo>
                <a:pt x="175627" y="769415"/>
              </a:lnTo>
              <a:lnTo>
                <a:pt x="0" y="769415"/>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7769"/>
          <a:ext cx="1011948" cy="1538830"/>
        </a:xfrm>
        <a:custGeom>
          <a:avLst/>
          <a:gdLst/>
          <a:ahLst/>
          <a:cxnLst/>
          <a:rect l="0" t="0" r="0" b="0"/>
          <a:pathLst>
            <a:path>
              <a:moveTo>
                <a:pt x="0" y="0"/>
              </a:moveTo>
              <a:lnTo>
                <a:pt x="0" y="1363203"/>
              </a:lnTo>
              <a:lnTo>
                <a:pt x="1011948" y="1363203"/>
              </a:lnTo>
              <a:lnTo>
                <a:pt x="1011948"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1251" y="837769"/>
          <a:ext cx="1011948" cy="1538830"/>
        </a:xfrm>
        <a:custGeom>
          <a:avLst/>
          <a:gdLst/>
          <a:ahLst/>
          <a:cxnLst/>
          <a:rect l="0" t="0" r="0" b="0"/>
          <a:pathLst>
            <a:path>
              <a:moveTo>
                <a:pt x="1011948" y="0"/>
              </a:moveTo>
              <a:lnTo>
                <a:pt x="1011948" y="1363203"/>
              </a:lnTo>
              <a:lnTo>
                <a:pt x="0" y="1363203"/>
              </a:lnTo>
              <a:lnTo>
                <a:pt x="0" y="153883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06878" y="1448"/>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06878" y="1448"/>
        <a:ext cx="1672642" cy="836321"/>
      </dsp:txXfrm>
    </dsp:sp>
    <dsp:sp modelId="{18419EC5-A33D-4CE9-BA16-A50EA40DF010}">
      <dsp:nvSpPr>
        <dsp:cNvPr id="0" name=""/>
        <dsp:cNvSpPr/>
      </dsp:nvSpPr>
      <dsp:spPr>
        <a:xfrm>
          <a:off x="894930"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894930" y="2376600"/>
        <a:ext cx="1672642" cy="836321"/>
      </dsp:txXfrm>
    </dsp:sp>
    <dsp:sp modelId="{086FDFA9-E840-4A3E-9C11-545DCE2AD800}">
      <dsp:nvSpPr>
        <dsp:cNvPr id="0" name=""/>
        <dsp:cNvSpPr/>
      </dsp:nvSpPr>
      <dsp:spPr>
        <a:xfrm>
          <a:off x="2918827" y="2376600"/>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827" y="2376600"/>
        <a:ext cx="1672642" cy="836321"/>
      </dsp:txXfrm>
    </dsp:sp>
    <dsp:sp modelId="{0B3D25FC-6847-43A1-9E3B-4D3EFF3BBC61}">
      <dsp:nvSpPr>
        <dsp:cNvPr id="0" name=""/>
        <dsp:cNvSpPr/>
      </dsp:nvSpPr>
      <dsp:spPr>
        <a:xfrm>
          <a:off x="894930" y="1189024"/>
          <a:ext cx="1672642" cy="83632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894930" y="1189024"/>
        <a:ext cx="1672642" cy="836321"/>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60A071-F9FB-479F-8D3A-018FE8F73DD0}">
      <dsp:nvSpPr>
        <dsp:cNvPr id="0" name=""/>
        <dsp:cNvSpPr/>
      </dsp:nvSpPr>
      <dsp:spPr>
        <a:xfrm>
          <a:off x="158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Zadefinovanie hodnotiacej správy ako podmienky poskytnutia príspevku</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Hodnotiaca správa je povinnou prílohou ŽoNFP</a:t>
          </a:r>
        </a:p>
      </dsp:txBody>
      <dsp:txXfrm>
        <a:off x="30232" y="1002069"/>
        <a:ext cx="1451772" cy="920659"/>
      </dsp:txXfrm>
    </dsp:sp>
    <dsp:sp modelId="{9A844434-C5FA-4930-BFCF-B6956CA8E855}">
      <dsp:nvSpPr>
        <dsp:cNvPr id="0" name=""/>
        <dsp:cNvSpPr/>
      </dsp:nvSpPr>
      <dsp:spPr>
        <a:xfrm>
          <a:off x="859427" y="1305015"/>
          <a:ext cx="1612283" cy="1612283"/>
        </a:xfrm>
        <a:prstGeom prst="leftCircularArrow">
          <a:avLst>
            <a:gd name="adj1" fmla="val 2835"/>
            <a:gd name="adj2" fmla="val 346215"/>
            <a:gd name="adj3" fmla="val 2121726"/>
            <a:gd name="adj4" fmla="val 9024489"/>
            <a:gd name="adj5" fmla="val 3307"/>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B2279E00-E479-4F75-B4BE-F5B3B50F31CB}">
      <dsp:nvSpPr>
        <dsp:cNvPr id="0" name=""/>
        <dsp:cNvSpPr/>
      </dsp:nvSpPr>
      <dsp:spPr>
        <a:xfrm>
          <a:off x="33693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Výzva na predkladanie ŽoNFP</a:t>
          </a:r>
        </a:p>
      </dsp:txBody>
      <dsp:txXfrm>
        <a:off x="352558" y="1966994"/>
        <a:ext cx="1310139" cy="502178"/>
      </dsp:txXfrm>
    </dsp:sp>
    <dsp:sp modelId="{CAF6C244-1C89-4C05-9003-3A170AF5159B}">
      <dsp:nvSpPr>
        <dsp:cNvPr id="0" name=""/>
        <dsp:cNvSpPr/>
      </dsp:nvSpPr>
      <dsp:spPr>
        <a:xfrm>
          <a:off x="1895944"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Overenie splnenia podmienky poskytnutia príspevku - predloženie hodnotiacej správy</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Ak bola hodnotiaca správa predložená, overenie ostatných podmienok poskytnutia príspevku</a:t>
          </a:r>
        </a:p>
      </dsp:txBody>
      <dsp:txXfrm>
        <a:off x="1924587" y="1268781"/>
        <a:ext cx="1451772" cy="920659"/>
      </dsp:txXfrm>
    </dsp:sp>
    <dsp:sp modelId="{C94C54F0-56F5-4C91-8600-9D16C8C83597}">
      <dsp:nvSpPr>
        <dsp:cNvPr id="0" name=""/>
        <dsp:cNvSpPr/>
      </dsp:nvSpPr>
      <dsp:spPr>
        <a:xfrm>
          <a:off x="2741207" y="225408"/>
          <a:ext cx="1805107" cy="1805107"/>
        </a:xfrm>
        <a:prstGeom prst="circularArrow">
          <a:avLst>
            <a:gd name="adj1" fmla="val 2532"/>
            <a:gd name="adj2" fmla="val 307058"/>
            <a:gd name="adj3" fmla="val 19517432"/>
            <a:gd name="adj4" fmla="val 12575511"/>
            <a:gd name="adj5" fmla="val 2954"/>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E3F98BF6-0C57-4CBE-939D-C7C7C157A75F}">
      <dsp:nvSpPr>
        <dsp:cNvPr id="0" name=""/>
        <dsp:cNvSpPr/>
      </dsp:nvSpPr>
      <dsp:spPr>
        <a:xfrm>
          <a:off x="2231290" y="706713"/>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Schvaľovací proces ŽoNFP</a:t>
          </a:r>
        </a:p>
      </dsp:txBody>
      <dsp:txXfrm>
        <a:off x="2246913" y="722336"/>
        <a:ext cx="1310139" cy="502178"/>
      </dsp:txXfrm>
    </dsp:sp>
    <dsp:sp modelId="{6BF82E71-57D0-4233-AF23-5BC21A55C210}">
      <dsp:nvSpPr>
        <dsp:cNvPr id="0" name=""/>
        <dsp:cNvSpPr/>
      </dsp:nvSpPr>
      <dsp:spPr>
        <a:xfrm>
          <a:off x="3790299" y="973426"/>
          <a:ext cx="1509058" cy="1244657"/>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sp:txBody>
      <dsp:txXfrm>
        <a:off x="3818942" y="1002069"/>
        <a:ext cx="1451772" cy="920659"/>
      </dsp:txXfrm>
    </dsp:sp>
    <dsp:sp modelId="{732554E7-984A-4B38-9F9E-0B10773C0510}">
      <dsp:nvSpPr>
        <dsp:cNvPr id="0" name=""/>
        <dsp:cNvSpPr/>
      </dsp:nvSpPr>
      <dsp:spPr>
        <a:xfrm>
          <a:off x="4125645" y="1951371"/>
          <a:ext cx="1341385" cy="533424"/>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Výber ŽoNFP</a:t>
          </a:r>
        </a:p>
      </dsp:txBody>
      <dsp:txXfrm>
        <a:off x="4141268" y="1966994"/>
        <a:ext cx="1310139" cy="502178"/>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B4FB526-FD47-4B92-B251-32E3FB635523}">
      <dsp:nvSpPr>
        <dsp:cNvPr id="0" name=""/>
        <dsp:cNvSpPr/>
      </dsp:nvSpPr>
      <dsp:spPr>
        <a:xfrm>
          <a:off x="2751281" y="723548"/>
          <a:ext cx="151621" cy="664244"/>
        </a:xfrm>
        <a:custGeom>
          <a:avLst/>
          <a:gdLst/>
          <a:ahLst/>
          <a:cxnLst/>
          <a:rect l="0" t="0" r="0" b="0"/>
          <a:pathLst>
            <a:path>
              <a:moveTo>
                <a:pt x="151621" y="0"/>
              </a:moveTo>
              <a:lnTo>
                <a:pt x="151621" y="664244"/>
              </a:lnTo>
              <a:lnTo>
                <a:pt x="0" y="6642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E0432E-94B3-4D7E-B19B-3FD33B1002D8}">
      <dsp:nvSpPr>
        <dsp:cNvPr id="0" name=""/>
        <dsp:cNvSpPr/>
      </dsp:nvSpPr>
      <dsp:spPr>
        <a:xfrm>
          <a:off x="2902902" y="723548"/>
          <a:ext cx="873625" cy="1328488"/>
        </a:xfrm>
        <a:custGeom>
          <a:avLst/>
          <a:gdLst/>
          <a:ahLst/>
          <a:cxnLst/>
          <a:rect l="0" t="0" r="0" b="0"/>
          <a:pathLst>
            <a:path>
              <a:moveTo>
                <a:pt x="0" y="0"/>
              </a:moveTo>
              <a:lnTo>
                <a:pt x="0" y="1176867"/>
              </a:lnTo>
              <a:lnTo>
                <a:pt x="873625" y="1176867"/>
              </a:lnTo>
              <a:lnTo>
                <a:pt x="873625"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8AD3747-2D4E-4E09-ADAE-1DBDCD17D6A2}">
      <dsp:nvSpPr>
        <dsp:cNvPr id="0" name=""/>
        <dsp:cNvSpPr/>
      </dsp:nvSpPr>
      <dsp:spPr>
        <a:xfrm>
          <a:off x="2029276" y="723548"/>
          <a:ext cx="873625" cy="1328488"/>
        </a:xfrm>
        <a:custGeom>
          <a:avLst/>
          <a:gdLst/>
          <a:ahLst/>
          <a:cxnLst/>
          <a:rect l="0" t="0" r="0" b="0"/>
          <a:pathLst>
            <a:path>
              <a:moveTo>
                <a:pt x="873625" y="0"/>
              </a:moveTo>
              <a:lnTo>
                <a:pt x="873625" y="1176867"/>
              </a:lnTo>
              <a:lnTo>
                <a:pt x="0" y="1176867"/>
              </a:lnTo>
              <a:lnTo>
                <a:pt x="0" y="132848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3ACE45C-F163-49BE-90C1-41F7BB716C30}">
      <dsp:nvSpPr>
        <dsp:cNvPr id="0" name=""/>
        <dsp:cNvSpPr/>
      </dsp:nvSpPr>
      <dsp:spPr>
        <a:xfrm>
          <a:off x="2180897" y="1543"/>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poskytnutia príspevku</a:t>
          </a:r>
        </a:p>
      </dsp:txBody>
      <dsp:txXfrm>
        <a:off x="2180897" y="1543"/>
        <a:ext cx="1444009" cy="722004"/>
      </dsp:txXfrm>
    </dsp:sp>
    <dsp:sp modelId="{04D70E44-22D3-49C3-882C-6CAD1BF98561}">
      <dsp:nvSpPr>
        <dsp:cNvPr id="0" name=""/>
        <dsp:cNvSpPr/>
      </dsp:nvSpPr>
      <dsp:spPr>
        <a:xfrm>
          <a:off x="1307271"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sp:txBody>
      <dsp:txXfrm>
        <a:off x="1307271" y="2052036"/>
        <a:ext cx="1444009" cy="722004"/>
      </dsp:txXfrm>
    </dsp:sp>
    <dsp:sp modelId="{E1799EC2-6D17-436F-85D6-D84F96374390}">
      <dsp:nvSpPr>
        <dsp:cNvPr id="0" name=""/>
        <dsp:cNvSpPr/>
      </dsp:nvSpPr>
      <dsp:spPr>
        <a:xfrm>
          <a:off x="3054523" y="2052036"/>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sp:txBody>
      <dsp:txXfrm>
        <a:off x="3054523" y="2052036"/>
        <a:ext cx="1444009" cy="722004"/>
      </dsp:txXfrm>
    </dsp:sp>
    <dsp:sp modelId="{AC35AD36-3A16-42CC-8B92-F7F6F50B8708}">
      <dsp:nvSpPr>
        <dsp:cNvPr id="0" name=""/>
        <dsp:cNvSpPr/>
      </dsp:nvSpPr>
      <dsp:spPr>
        <a:xfrm>
          <a:off x="1307271" y="1026790"/>
          <a:ext cx="1444009" cy="72200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sp:txBody>
      <dsp:txXfrm>
        <a:off x="1307271" y="1026790"/>
        <a:ext cx="1444009" cy="722004"/>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57334"/>
          <a:ext cx="1395107" cy="127960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478" y="994812"/>
        <a:ext cx="1320151" cy="1204650"/>
      </dsp:txXfrm>
    </dsp:sp>
    <dsp:sp modelId="{A5018DFF-9129-4181-94A1-8DD8BC07B264}">
      <dsp:nvSpPr>
        <dsp:cNvPr id="0" name=""/>
        <dsp:cNvSpPr/>
      </dsp:nvSpPr>
      <dsp:spPr>
        <a:xfrm rot="17709122">
          <a:off x="1016637" y="981803"/>
          <a:ext cx="1316468" cy="39023"/>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959" y="968403"/>
        <a:ext cx="65823" cy="65823"/>
      </dsp:txXfrm>
    </dsp:sp>
    <dsp:sp modelId="{7CAC738C-9777-4CCF-B563-4F57A6059ED4}">
      <dsp:nvSpPr>
        <dsp:cNvPr id="0" name=""/>
        <dsp:cNvSpPr/>
      </dsp:nvSpPr>
      <dsp:spPr>
        <a:xfrm>
          <a:off x="1954634" y="56715"/>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5065" y="77146"/>
        <a:ext cx="3496628" cy="656691"/>
      </dsp:txXfrm>
    </dsp:sp>
    <dsp:sp modelId="{1192D187-D36E-4682-B3CF-82B1E7C9260A}">
      <dsp:nvSpPr>
        <dsp:cNvPr id="0" name=""/>
        <dsp:cNvSpPr/>
      </dsp:nvSpPr>
      <dsp:spPr>
        <a:xfrm rot="19509613">
          <a:off x="1334008" y="1382896"/>
          <a:ext cx="681724" cy="39023"/>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828" y="1385365"/>
        <a:ext cx="34086" cy="34086"/>
      </dsp:txXfrm>
    </dsp:sp>
    <dsp:sp modelId="{0E43AB82-3B63-43A6-926B-564A825EA6A1}">
      <dsp:nvSpPr>
        <dsp:cNvPr id="0" name=""/>
        <dsp:cNvSpPr/>
      </dsp:nvSpPr>
      <dsp:spPr>
        <a:xfrm>
          <a:off x="1954634" y="858902"/>
          <a:ext cx="353749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5065" y="879333"/>
        <a:ext cx="3496628" cy="656691"/>
      </dsp:txXfrm>
    </dsp:sp>
    <dsp:sp modelId="{EFF7D9CC-C01B-4BBF-A1EF-AE17F5354893}">
      <dsp:nvSpPr>
        <dsp:cNvPr id="0" name=""/>
        <dsp:cNvSpPr/>
      </dsp:nvSpPr>
      <dsp:spPr>
        <a:xfrm rot="2184833">
          <a:off x="1327230" y="1783989"/>
          <a:ext cx="695281" cy="39023"/>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7489" y="1786119"/>
        <a:ext cx="34764" cy="34764"/>
      </dsp:txXfrm>
    </dsp:sp>
    <dsp:sp modelId="{BA3C6808-DE42-407A-B610-DD7D61F0FC57}">
      <dsp:nvSpPr>
        <dsp:cNvPr id="0" name=""/>
        <dsp:cNvSpPr/>
      </dsp:nvSpPr>
      <dsp:spPr>
        <a:xfrm>
          <a:off x="1954634" y="1661089"/>
          <a:ext cx="3512266"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5065" y="1681520"/>
        <a:ext cx="3471404" cy="656691"/>
      </dsp:txXfrm>
    </dsp:sp>
    <dsp:sp modelId="{831CF964-E826-43B1-97D3-B44AADB9A50D}">
      <dsp:nvSpPr>
        <dsp:cNvPr id="0" name=""/>
        <dsp:cNvSpPr/>
      </dsp:nvSpPr>
      <dsp:spPr>
        <a:xfrm rot="3916298">
          <a:off x="1006086" y="2185083"/>
          <a:ext cx="1337568" cy="39023"/>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1431" y="2171155"/>
        <a:ext cx="66878" cy="66878"/>
      </dsp:txXfrm>
    </dsp:sp>
    <dsp:sp modelId="{D77DEDDD-E71A-4BC8-8E2B-323A5FDE1E2D}">
      <dsp:nvSpPr>
        <dsp:cNvPr id="0" name=""/>
        <dsp:cNvSpPr/>
      </dsp:nvSpPr>
      <dsp:spPr>
        <a:xfrm>
          <a:off x="1954634" y="2463275"/>
          <a:ext cx="3560760" cy="697553"/>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5065" y="2483706"/>
        <a:ext cx="3519898" cy="656691"/>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6695" y="1713648"/>
          <a:ext cx="659413" cy="91440"/>
        </a:xfrm>
        <a:custGeom>
          <a:avLst/>
          <a:gdLst/>
          <a:ahLst/>
          <a:cxnLst/>
          <a:rect l="0" t="0" r="0" b="0"/>
          <a:pathLst>
            <a:path>
              <a:moveTo>
                <a:pt x="0" y="104596"/>
              </a:moveTo>
              <a:lnTo>
                <a:pt x="659413" y="104596"/>
              </a:lnTo>
              <a:lnTo>
                <a:pt x="659413"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6695" y="1818245"/>
          <a:ext cx="1304225" cy="813642"/>
        </a:xfrm>
        <a:custGeom>
          <a:avLst/>
          <a:gdLst/>
          <a:ahLst/>
          <a:cxnLst/>
          <a:rect l="0" t="0" r="0" b="0"/>
          <a:pathLst>
            <a:path>
              <a:moveTo>
                <a:pt x="0" y="0"/>
              </a:moveTo>
              <a:lnTo>
                <a:pt x="1210023" y="0"/>
              </a:lnTo>
              <a:lnTo>
                <a:pt x="1210023" y="813642"/>
              </a:lnTo>
              <a:lnTo>
                <a:pt x="1304225" y="813642"/>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07542" y="856793"/>
          <a:ext cx="644821" cy="382100"/>
        </a:xfrm>
        <a:custGeom>
          <a:avLst/>
          <a:gdLst/>
          <a:ahLst/>
          <a:cxnLst/>
          <a:rect l="0" t="0" r="0" b="0"/>
          <a:pathLst>
            <a:path>
              <a:moveTo>
                <a:pt x="0" y="382100"/>
              </a:moveTo>
              <a:lnTo>
                <a:pt x="644821" y="382100"/>
              </a:lnTo>
              <a:lnTo>
                <a:pt x="64482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07542" y="1238893"/>
          <a:ext cx="1172879" cy="632091"/>
        </a:xfrm>
        <a:custGeom>
          <a:avLst/>
          <a:gdLst/>
          <a:ahLst/>
          <a:cxnLst/>
          <a:rect l="0" t="0" r="0" b="0"/>
          <a:pathLst>
            <a:path>
              <a:moveTo>
                <a:pt x="0" y="0"/>
              </a:moveTo>
              <a:lnTo>
                <a:pt x="1078677" y="0"/>
              </a:lnTo>
              <a:lnTo>
                <a:pt x="1078677" y="632091"/>
              </a:lnTo>
              <a:lnTo>
                <a:pt x="1172879" y="63209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07542" y="872228"/>
          <a:ext cx="1150987" cy="366664"/>
        </a:xfrm>
        <a:custGeom>
          <a:avLst/>
          <a:gdLst/>
          <a:ahLst/>
          <a:cxnLst/>
          <a:rect l="0" t="0" r="0" b="0"/>
          <a:pathLst>
            <a:path>
              <a:moveTo>
                <a:pt x="0" y="366664"/>
              </a:moveTo>
              <a:lnTo>
                <a:pt x="1056785" y="366664"/>
              </a:lnTo>
              <a:lnTo>
                <a:pt x="1056785" y="0"/>
              </a:lnTo>
              <a:lnTo>
                <a:pt x="1150987"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6695" y="1238893"/>
          <a:ext cx="1318826" cy="579351"/>
        </a:xfrm>
        <a:custGeom>
          <a:avLst/>
          <a:gdLst/>
          <a:ahLst/>
          <a:cxnLst/>
          <a:rect l="0" t="0" r="0" b="0"/>
          <a:pathLst>
            <a:path>
              <a:moveTo>
                <a:pt x="0" y="579351"/>
              </a:moveTo>
              <a:lnTo>
                <a:pt x="1224625" y="579351"/>
              </a:lnTo>
              <a:lnTo>
                <a:pt x="1224625" y="0"/>
              </a:lnTo>
              <a:lnTo>
                <a:pt x="1318826"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76" y="1251767"/>
          <a:ext cx="942019" cy="113295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76" y="1251767"/>
        <a:ext cx="942019" cy="1132955"/>
      </dsp:txXfrm>
    </dsp:sp>
    <dsp:sp modelId="{E34647F5-55CD-4586-810F-D80D70BDDA00}">
      <dsp:nvSpPr>
        <dsp:cNvPr id="0" name=""/>
        <dsp:cNvSpPr/>
      </dsp:nvSpPr>
      <dsp:spPr>
        <a:xfrm>
          <a:off x="2265522" y="743671"/>
          <a:ext cx="942019" cy="9904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65522" y="743671"/>
        <a:ext cx="942019" cy="990443"/>
      </dsp:txXfrm>
    </dsp:sp>
    <dsp:sp modelId="{7BEE8A27-1D68-426E-A927-1D764EF4E003}">
      <dsp:nvSpPr>
        <dsp:cNvPr id="0" name=""/>
        <dsp:cNvSpPr/>
      </dsp:nvSpPr>
      <dsp:spPr>
        <a:xfrm>
          <a:off x="4358529" y="459556"/>
          <a:ext cx="942019" cy="82534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58529" y="459556"/>
        <a:ext cx="942019" cy="825343"/>
      </dsp:txXfrm>
    </dsp:sp>
    <dsp:sp modelId="{768E0722-BE78-4A3B-80F5-12F88735C7A5}">
      <dsp:nvSpPr>
        <dsp:cNvPr id="0" name=""/>
        <dsp:cNvSpPr/>
      </dsp:nvSpPr>
      <dsp:spPr>
        <a:xfrm>
          <a:off x="4380422" y="1409950"/>
          <a:ext cx="942019" cy="92206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80422" y="1409950"/>
        <a:ext cx="942019" cy="922068"/>
      </dsp:txXfrm>
    </dsp:sp>
    <dsp:sp modelId="{0229DB44-A561-47AD-8D62-3686DFB75D0E}">
      <dsp:nvSpPr>
        <dsp:cNvPr id="0" name=""/>
        <dsp:cNvSpPr/>
      </dsp:nvSpPr>
      <dsp:spPr>
        <a:xfrm>
          <a:off x="3381354" y="0"/>
          <a:ext cx="942019" cy="856793"/>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1354" y="0"/>
        <a:ext cx="942019" cy="856793"/>
      </dsp:txXfrm>
    </dsp:sp>
    <dsp:sp modelId="{BA9E7B32-24EF-4CE9-A79E-BC5ECD9277FE}">
      <dsp:nvSpPr>
        <dsp:cNvPr id="0" name=""/>
        <dsp:cNvSpPr/>
      </dsp:nvSpPr>
      <dsp:spPr>
        <a:xfrm>
          <a:off x="2250921" y="2111411"/>
          <a:ext cx="942019" cy="1040951"/>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0921" y="2111411"/>
        <a:ext cx="942019" cy="1040951"/>
      </dsp:txXfrm>
    </dsp:sp>
    <dsp:sp modelId="{DEC8B82D-0BC4-472B-A447-1353F6496838}">
      <dsp:nvSpPr>
        <dsp:cNvPr id="0" name=""/>
        <dsp:cNvSpPr/>
      </dsp:nvSpPr>
      <dsp:spPr>
        <a:xfrm>
          <a:off x="1135099" y="854550"/>
          <a:ext cx="942019" cy="904818"/>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5099" y="854550"/>
        <a:ext cx="942019" cy="904818"/>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sp:txBody>
      <dsp:txXfrm>
        <a:off x="26815" y="25945"/>
        <a:ext cx="1804494" cy="833935"/>
      </dsp:txXfrm>
    </dsp:sp>
    <dsp:sp modelId="{E1BAF07B-614F-4967-A905-47488716BFF4}">
      <dsp:nvSpPr>
        <dsp:cNvPr id="0" name=""/>
        <dsp:cNvSpPr/>
      </dsp:nvSpPr>
      <dsp:spPr>
        <a:xfrm>
          <a:off x="2042894" y="212720"/>
          <a:ext cx="393553" cy="46038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sk-SK" sz="1400" kern="1200">
            <a:solidFill>
              <a:sysClr val="windowText" lastClr="000000"/>
            </a:solidFill>
            <a:latin typeface="Calibri"/>
            <a:ea typeface="+mn-ea"/>
            <a:cs typeface="+mn-cs"/>
          </a:endParaRPr>
        </a:p>
      </dsp:txBody>
      <dsp:txXfrm>
        <a:off x="2042894" y="304797"/>
        <a:ext cx="275487" cy="276229"/>
      </dsp:txXfrm>
    </dsp:sp>
    <dsp:sp modelId="{BA8EAAD8-C9F6-45A2-9396-26CB3C03B0E9}">
      <dsp:nvSpPr>
        <dsp:cNvPr id="0" name=""/>
        <dsp:cNvSpPr/>
      </dsp:nvSpPr>
      <dsp:spPr>
        <a:xfrm>
          <a:off x="2599809" y="0"/>
          <a:ext cx="1856384"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25754" y="25945"/>
        <a:ext cx="1804494" cy="833935"/>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8"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86" y="228524"/>
        <a:ext cx="1395306" cy="1057426"/>
      </dsp:txXfrm>
    </dsp:sp>
    <dsp:sp modelId="{C35B2586-4908-45E7-B6EE-AB790F016076}">
      <dsp:nvSpPr>
        <dsp:cNvPr id="0" name=""/>
        <dsp:cNvSpPr/>
      </dsp:nvSpPr>
      <dsp:spPr>
        <a:xfrm>
          <a:off x="1612100" y="576060"/>
          <a:ext cx="309753"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100" y="648531"/>
        <a:ext cx="216827" cy="217411"/>
      </dsp:txXfrm>
    </dsp:sp>
    <dsp:sp modelId="{45E6A9EC-2D15-4F60-AF75-2C0026B61B8A}">
      <dsp:nvSpPr>
        <dsp:cNvPr id="0" name=""/>
        <dsp:cNvSpPr/>
      </dsp:nvSpPr>
      <dsp:spPr>
        <a:xfrm>
          <a:off x="2050431" y="195626"/>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329" y="228524"/>
        <a:ext cx="1395306" cy="1057426"/>
      </dsp:txXfrm>
    </dsp:sp>
    <dsp:sp modelId="{2302C603-BAC2-432E-9FE9-DC7A7E2CA7D6}">
      <dsp:nvSpPr>
        <dsp:cNvPr id="0" name=""/>
        <dsp:cNvSpPr/>
      </dsp:nvSpPr>
      <dsp:spPr>
        <a:xfrm rot="15969">
          <a:off x="3658864" y="580864"/>
          <a:ext cx="312347" cy="362353"/>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8865" y="653117"/>
        <a:ext cx="218643" cy="217411"/>
      </dsp:txXfrm>
    </dsp:sp>
    <dsp:sp modelId="{898C6A51-F838-45D7-B0B7-91928D1E0526}">
      <dsp:nvSpPr>
        <dsp:cNvPr id="0" name=""/>
        <dsp:cNvSpPr/>
      </dsp:nvSpPr>
      <dsp:spPr>
        <a:xfrm>
          <a:off x="4100862" y="205151"/>
          <a:ext cx="1461102" cy="112322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3760" y="238049"/>
        <a:ext cx="1395306" cy="1057426"/>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817725"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817725" y="0"/>
        <a:ext cx="1611787" cy="657034"/>
      </dsp:txXfrm>
    </dsp:sp>
    <dsp:sp modelId="{22F108C5-1AD4-4959-BB9A-653877F4F9BA}">
      <dsp:nvSpPr>
        <dsp:cNvPr id="0" name=""/>
        <dsp:cNvSpPr/>
      </dsp:nvSpPr>
      <dsp:spPr>
        <a:xfrm>
          <a:off x="1937306"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sp:txBody>
      <dsp:txXfrm>
        <a:off x="1937306" y="0"/>
        <a:ext cx="1611787" cy="657034"/>
      </dsp:txXfrm>
    </dsp:sp>
    <dsp:sp modelId="{42333FC6-BB87-490A-A3A4-667559264987}">
      <dsp:nvSpPr>
        <dsp:cNvPr id="0" name=""/>
        <dsp:cNvSpPr/>
      </dsp:nvSpPr>
      <dsp:spPr>
        <a:xfrm>
          <a:off x="56887" y="0"/>
          <a:ext cx="1611787" cy="2190115"/>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56887" y="0"/>
        <a:ext cx="1611787" cy="657034"/>
      </dsp:txXfrm>
    </dsp:sp>
    <dsp:sp modelId="{0D31CD98-29FF-4224-A29E-10C285D51CA6}">
      <dsp:nvSpPr>
        <dsp:cNvPr id="0" name=""/>
        <dsp:cNvSpPr/>
      </dsp:nvSpPr>
      <dsp:spPr>
        <a:xfrm>
          <a:off x="191202" y="1043983"/>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210872" y="1063653"/>
        <a:ext cx="1303816" cy="632238"/>
      </dsp:txXfrm>
    </dsp:sp>
    <dsp:sp modelId="{E5221418-266B-45AC-8670-4339EA026590}">
      <dsp:nvSpPr>
        <dsp:cNvPr id="0" name=""/>
        <dsp:cNvSpPr/>
      </dsp:nvSpPr>
      <dsp:spPr>
        <a:xfrm rot="19457599">
          <a:off x="1472170" y="1159096"/>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170152"/>
        <a:ext cx="33082" cy="33082"/>
      </dsp:txXfrm>
    </dsp:sp>
    <dsp:sp modelId="{1E51B4D9-F719-493C-B222-3DEA320BAF8A}">
      <dsp:nvSpPr>
        <dsp:cNvPr id="0" name=""/>
        <dsp:cNvSpPr/>
      </dsp:nvSpPr>
      <dsp:spPr>
        <a:xfrm>
          <a:off x="2071621"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091291" y="677495"/>
        <a:ext cx="1303816" cy="632238"/>
      </dsp:txXfrm>
    </dsp:sp>
    <dsp:sp modelId="{00605370-0F04-4F12-BF9D-D757366801F9}">
      <dsp:nvSpPr>
        <dsp:cNvPr id="0" name=""/>
        <dsp:cNvSpPr/>
      </dsp:nvSpPr>
      <dsp:spPr>
        <a:xfrm>
          <a:off x="3414778" y="966017"/>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980183"/>
        <a:ext cx="26863" cy="26863"/>
      </dsp:txXfrm>
    </dsp:sp>
    <dsp:sp modelId="{B532B90A-11FB-4447-AF5A-1B8BA28AB80F}">
      <dsp:nvSpPr>
        <dsp:cNvPr id="0" name=""/>
        <dsp:cNvSpPr/>
      </dsp:nvSpPr>
      <dsp:spPr>
        <a:xfrm>
          <a:off x="3952040" y="657825"/>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971710" y="677495"/>
        <a:ext cx="1303816" cy="632238"/>
      </dsp:txXfrm>
    </dsp:sp>
    <dsp:sp modelId="{77D67C4C-5D7C-4BD5-95E4-FD879A7B8A0E}">
      <dsp:nvSpPr>
        <dsp:cNvPr id="0" name=""/>
        <dsp:cNvSpPr/>
      </dsp:nvSpPr>
      <dsp:spPr>
        <a:xfrm rot="2142401">
          <a:off x="1472170" y="1545253"/>
          <a:ext cx="661640"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449" y="1556310"/>
        <a:ext cx="33082" cy="33082"/>
      </dsp:txXfrm>
    </dsp:sp>
    <dsp:sp modelId="{6DFC72CE-1E05-4B24-9436-C256157B293D}">
      <dsp:nvSpPr>
        <dsp:cNvPr id="0" name=""/>
        <dsp:cNvSpPr/>
      </dsp:nvSpPr>
      <dsp:spPr>
        <a:xfrm>
          <a:off x="2071621"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091291" y="1449810"/>
        <a:ext cx="1303816" cy="632238"/>
      </dsp:txXfrm>
    </dsp:sp>
    <dsp:sp modelId="{420C5760-F6D4-4E33-9E92-CC5FC2347AA4}">
      <dsp:nvSpPr>
        <dsp:cNvPr id="0" name=""/>
        <dsp:cNvSpPr/>
      </dsp:nvSpPr>
      <dsp:spPr>
        <a:xfrm>
          <a:off x="3414778" y="1738332"/>
          <a:ext cx="537262"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69977" y="1752498"/>
        <a:ext cx="26863" cy="26863"/>
      </dsp:txXfrm>
    </dsp:sp>
    <dsp:sp modelId="{CBB74F52-46D1-4A57-9467-63B04889449A}">
      <dsp:nvSpPr>
        <dsp:cNvPr id="0" name=""/>
        <dsp:cNvSpPr/>
      </dsp:nvSpPr>
      <dsp:spPr>
        <a:xfrm>
          <a:off x="3952040" y="1430140"/>
          <a:ext cx="1343156" cy="67157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971710" y="1449810"/>
        <a:ext cx="1303816" cy="632238"/>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655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6557" y="0"/>
        <a:ext cx="1535512" cy="959929"/>
      </dsp:txXfrm>
    </dsp:sp>
    <dsp:sp modelId="{69CB27F3-E3AB-45C0-BD01-F6B165856594}">
      <dsp:nvSpPr>
        <dsp:cNvPr id="0" name=""/>
        <dsp:cNvSpPr/>
      </dsp:nvSpPr>
      <dsp:spPr>
        <a:xfrm>
          <a:off x="2004377"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Začatie konania</a:t>
          </a:r>
        </a:p>
      </dsp:txBody>
      <dsp:txXfrm>
        <a:off x="2004377" y="0"/>
        <a:ext cx="1535512" cy="959929"/>
      </dsp:txXfrm>
    </dsp:sp>
    <dsp:sp modelId="{0DBE3391-EB4B-499F-BF3D-FACE7211C1AA}">
      <dsp:nvSpPr>
        <dsp:cNvPr id="0" name=""/>
        <dsp:cNvSpPr/>
      </dsp:nvSpPr>
      <dsp:spPr>
        <a:xfrm>
          <a:off x="183695" y="0"/>
          <a:ext cx="1535512" cy="3199765"/>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695" y="0"/>
        <a:ext cx="1535512" cy="959929"/>
      </dsp:txXfrm>
    </dsp:sp>
    <dsp:sp modelId="{FABA2C1E-4207-482A-BFB4-23EED98FE964}">
      <dsp:nvSpPr>
        <dsp:cNvPr id="0" name=""/>
        <dsp:cNvSpPr/>
      </dsp:nvSpPr>
      <dsp:spPr>
        <a:xfrm>
          <a:off x="311654" y="1879895"/>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393" y="1898634"/>
        <a:ext cx="1242115" cy="602318"/>
      </dsp:txXfrm>
    </dsp:sp>
    <dsp:sp modelId="{8D38CDDF-D0AF-4342-9487-328C0D3F2678}">
      <dsp:nvSpPr>
        <dsp:cNvPr id="0" name=""/>
        <dsp:cNvSpPr/>
      </dsp:nvSpPr>
      <dsp:spPr>
        <a:xfrm rot="18770822">
          <a:off x="1470840" y="1905885"/>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1905064"/>
        <a:ext cx="37632" cy="37632"/>
      </dsp:txXfrm>
    </dsp:sp>
    <dsp:sp modelId="{AB1736B8-64DD-4B32-99F2-9818227E0D7E}">
      <dsp:nvSpPr>
        <dsp:cNvPr id="0" name=""/>
        <dsp:cNvSpPr/>
      </dsp:nvSpPr>
      <dsp:spPr>
        <a:xfrm>
          <a:off x="2103085" y="1328070"/>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Uznanie opodstatnenosti podnetu/vlastný podnet štatutárneho orgánu </a:t>
          </a:r>
        </a:p>
      </dsp:txBody>
      <dsp:txXfrm>
        <a:off x="2121824" y="1346809"/>
        <a:ext cx="1242115" cy="602318"/>
      </dsp:txXfrm>
    </dsp:sp>
    <dsp:sp modelId="{EA03E1D1-53F1-4F10-BF8C-EBE63A73C9D2}">
      <dsp:nvSpPr>
        <dsp:cNvPr id="0" name=""/>
        <dsp:cNvSpPr/>
      </dsp:nvSpPr>
      <dsp:spPr>
        <a:xfrm rot="19457599">
          <a:off x="3323433" y="1446031"/>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448269"/>
        <a:ext cx="31516" cy="31516"/>
      </dsp:txXfrm>
    </dsp:sp>
    <dsp:sp modelId="{88CB7554-D6B3-4131-A390-44B15EDD0977}">
      <dsp:nvSpPr>
        <dsp:cNvPr id="0" name=""/>
        <dsp:cNvSpPr/>
      </dsp:nvSpPr>
      <dsp:spPr>
        <a:xfrm>
          <a:off x="3894516" y="960187"/>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255" y="978926"/>
        <a:ext cx="1242115" cy="602318"/>
      </dsp:txXfrm>
    </dsp:sp>
    <dsp:sp modelId="{AD3E104C-AA9C-4F5B-87FE-AD740B3B762A}">
      <dsp:nvSpPr>
        <dsp:cNvPr id="0" name=""/>
        <dsp:cNvSpPr/>
      </dsp:nvSpPr>
      <dsp:spPr>
        <a:xfrm rot="2142401">
          <a:off x="3323433" y="1813914"/>
          <a:ext cx="630329" cy="35991"/>
        </a:xfrm>
        <a:custGeom>
          <a:avLst/>
          <a:gdLst/>
          <a:ahLst/>
          <a:cxnLst/>
          <a:rect l="0" t="0" r="0" b="0"/>
          <a:pathLst>
            <a:path>
              <a:moveTo>
                <a:pt x="0" y="17995"/>
              </a:moveTo>
              <a:lnTo>
                <a:pt x="63032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2839" y="1816152"/>
        <a:ext cx="31516" cy="31516"/>
      </dsp:txXfrm>
    </dsp:sp>
    <dsp:sp modelId="{6123A899-1981-4811-B61B-F5B58EC34ADF}">
      <dsp:nvSpPr>
        <dsp:cNvPr id="0" name=""/>
        <dsp:cNvSpPr/>
      </dsp:nvSpPr>
      <dsp:spPr>
        <a:xfrm>
          <a:off x="3894516" y="1695953"/>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Zastavenie konania - pôvodné rozhodnutie nebolo vydané v rozpore so zákonom o príspevku z EŠIF</a:t>
          </a:r>
        </a:p>
      </dsp:txBody>
      <dsp:txXfrm>
        <a:off x="3913255" y="1714692"/>
        <a:ext cx="1242115" cy="602318"/>
      </dsp:txXfrm>
    </dsp:sp>
    <dsp:sp modelId="{31F82807-4254-4B36-A981-28D631594415}">
      <dsp:nvSpPr>
        <dsp:cNvPr id="0" name=""/>
        <dsp:cNvSpPr/>
      </dsp:nvSpPr>
      <dsp:spPr>
        <a:xfrm rot="2829178">
          <a:off x="1470840" y="2457710"/>
          <a:ext cx="752653" cy="35991"/>
        </a:xfrm>
        <a:custGeom>
          <a:avLst/>
          <a:gdLst/>
          <a:ahLst/>
          <a:cxnLst/>
          <a:rect l="0" t="0" r="0" b="0"/>
          <a:pathLst>
            <a:path>
              <a:moveTo>
                <a:pt x="0" y="17995"/>
              </a:moveTo>
              <a:lnTo>
                <a:pt x="75265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350" y="2456889"/>
        <a:ext cx="37632" cy="37632"/>
      </dsp:txXfrm>
    </dsp:sp>
    <dsp:sp modelId="{7E8E03CF-62C8-43C0-9317-AE19A41F8847}">
      <dsp:nvSpPr>
        <dsp:cNvPr id="0" name=""/>
        <dsp:cNvSpPr/>
      </dsp:nvSpPr>
      <dsp:spPr>
        <a:xfrm>
          <a:off x="210308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1824" y="2450458"/>
        <a:ext cx="1242115" cy="602318"/>
      </dsp:txXfrm>
    </dsp:sp>
    <dsp:sp modelId="{61621494-2F79-48E9-A2F5-C3D01A086EBF}">
      <dsp:nvSpPr>
        <dsp:cNvPr id="0" name=""/>
        <dsp:cNvSpPr/>
      </dsp:nvSpPr>
      <dsp:spPr>
        <a:xfrm>
          <a:off x="3382679" y="2733622"/>
          <a:ext cx="519156" cy="35991"/>
        </a:xfrm>
        <a:custGeom>
          <a:avLst/>
          <a:gdLst/>
          <a:ahLst/>
          <a:cxnLst/>
          <a:rect l="0" t="0" r="0" b="0"/>
          <a:pathLst>
            <a:path>
              <a:moveTo>
                <a:pt x="0" y="17995"/>
              </a:moveTo>
              <a:lnTo>
                <a:pt x="519156"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278" y="2738639"/>
        <a:ext cx="25957" cy="25957"/>
      </dsp:txXfrm>
    </dsp:sp>
    <dsp:sp modelId="{397D37EC-7E71-424E-9526-502AC82B6044}">
      <dsp:nvSpPr>
        <dsp:cNvPr id="0" name=""/>
        <dsp:cNvSpPr/>
      </dsp:nvSpPr>
      <dsp:spPr>
        <a:xfrm>
          <a:off x="3901835" y="2431719"/>
          <a:ext cx="1279593" cy="639796"/>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0574" y="2450458"/>
        <a:ext cx="1242115" cy="602318"/>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B550529-C524-4B56-86CB-C4DFFB9A8D20}">
      <dsp:nvSpPr>
        <dsp:cNvPr id="0" name=""/>
        <dsp:cNvSpPr/>
      </dsp:nvSpPr>
      <dsp:spPr>
        <a:xfrm>
          <a:off x="0" y="0"/>
          <a:ext cx="5476875" cy="3423046"/>
        </a:xfrm>
        <a:prstGeom prst="swooshArrow">
          <a:avLst>
            <a:gd name="adj1" fmla="val 25000"/>
            <a:gd name="adj2" fmla="val 25000"/>
          </a:avLst>
        </a:prstGeom>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ln>
          <a:noFill/>
        </a:ln>
        <a:effectLst/>
        <a:scene3d>
          <a:camera prst="orthographicFront"/>
          <a:lightRig rig="threePt" dir="t"/>
        </a:scene3d>
        <a:sp3d>
          <a:bevelT w="127000" h="127000"/>
          <a:bevelB/>
        </a:sp3d>
      </dsp:spPr>
      <dsp:style>
        <a:lnRef idx="0">
          <a:scrgbClr r="0" g="0" b="0"/>
        </a:lnRef>
        <a:fillRef idx="1">
          <a:scrgbClr r="0" g="0" b="0"/>
        </a:fillRef>
        <a:effectRef idx="0">
          <a:scrgbClr r="0" g="0" b="0"/>
        </a:effectRef>
        <a:fontRef idx="minor"/>
      </dsp:style>
    </dsp:sp>
    <dsp:sp modelId="{727DF83E-7678-49ED-B0A2-8F58AB6D5D91}">
      <dsp:nvSpPr>
        <dsp:cNvPr id="0" name=""/>
        <dsp:cNvSpPr/>
      </dsp:nvSpPr>
      <dsp:spPr>
        <a:xfrm>
          <a:off x="539472" y="2551529"/>
          <a:ext cx="125968" cy="12596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142B6E2-7C61-4B2F-99AF-E2DD2582223A}">
      <dsp:nvSpPr>
        <dsp:cNvPr id="0" name=""/>
        <dsp:cNvSpPr/>
      </dsp:nvSpPr>
      <dsp:spPr>
        <a:xfrm>
          <a:off x="602456" y="2734952"/>
          <a:ext cx="936545" cy="573807"/>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6748"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Úkony  od plánovania výzvy/vyzvania až do vypracovania návrhu zmluvy o NFP/rozhodnutia o schválení NFPv prípadoch, ak prijímateľ a RO je tá istá osoba </a:t>
          </a:r>
        </a:p>
      </dsp:txBody>
      <dsp:txXfrm>
        <a:off x="602456" y="2734952"/>
        <a:ext cx="936545" cy="573807"/>
      </dsp:txXfrm>
    </dsp:sp>
    <dsp:sp modelId="{DE27D38C-3021-4DFD-B3C0-FBBC800D127C}">
      <dsp:nvSpPr>
        <dsp:cNvPr id="0" name=""/>
        <dsp:cNvSpPr/>
      </dsp:nvSpPr>
      <dsp:spPr>
        <a:xfrm>
          <a:off x="1429464" y="1755328"/>
          <a:ext cx="219075" cy="219075"/>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69A44F0-B1D1-4AA7-AAFE-A17C851BA17F}">
      <dsp:nvSpPr>
        <dsp:cNvPr id="0" name=""/>
        <dsp:cNvSpPr/>
      </dsp:nvSpPr>
      <dsp:spPr>
        <a:xfrm>
          <a:off x="1539001" y="2283238"/>
          <a:ext cx="1150143" cy="72758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6083"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Účinná zmluva o NFP/ právoplatné Rozhodnutie o schválení NFP v prípadoch, ak prijímateľ a RO je tá istá osoba </a:t>
          </a:r>
        </a:p>
      </dsp:txBody>
      <dsp:txXfrm>
        <a:off x="1539001" y="2283238"/>
        <a:ext cx="1150143" cy="727586"/>
      </dsp:txXfrm>
    </dsp:sp>
    <dsp:sp modelId="{4353D4FC-FB58-404C-AE44-D5E631012830}">
      <dsp:nvSpPr>
        <dsp:cNvPr id="0" name=""/>
        <dsp:cNvSpPr/>
      </dsp:nvSpPr>
      <dsp:spPr>
        <a:xfrm>
          <a:off x="2565915" y="1168618"/>
          <a:ext cx="290274" cy="29027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6E0E7BC-1FF4-468A-A56F-25065F13EC64}">
      <dsp:nvSpPr>
        <dsp:cNvPr id="0" name=""/>
        <dsp:cNvSpPr/>
      </dsp:nvSpPr>
      <dsp:spPr>
        <a:xfrm>
          <a:off x="2698378" y="1725790"/>
          <a:ext cx="1150143" cy="70818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53810"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Realizácia projektu (realizácia aktivít projektu + finančné uhrádzanie/preplácanie výdavkov)</a:t>
          </a:r>
        </a:p>
      </dsp:txBody>
      <dsp:txXfrm>
        <a:off x="2698378" y="1725790"/>
        <a:ext cx="1150143" cy="708186"/>
      </dsp:txXfrm>
    </dsp:sp>
    <dsp:sp modelId="{FB271237-096B-4093-A49F-5557FDA4B8D8}">
      <dsp:nvSpPr>
        <dsp:cNvPr id="0" name=""/>
        <dsp:cNvSpPr/>
      </dsp:nvSpPr>
      <dsp:spPr>
        <a:xfrm>
          <a:off x="3803689" y="780444"/>
          <a:ext cx="388858" cy="388858"/>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C6DFBD77-7D6D-47F1-95D5-B39FC6C3AB19}">
      <dsp:nvSpPr>
        <dsp:cNvPr id="0" name=""/>
        <dsp:cNvSpPr/>
      </dsp:nvSpPr>
      <dsp:spPr>
        <a:xfrm>
          <a:off x="3732907" y="1659470"/>
          <a:ext cx="957931" cy="869591"/>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06048"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Začatie plynutia udržateľnosti  projektu po ukončení realizácie projektu</a:t>
          </a:r>
        </a:p>
      </dsp:txBody>
      <dsp:txXfrm>
        <a:off x="3732907" y="1659470"/>
        <a:ext cx="957931" cy="869591"/>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14EC99D-E305-4259-87EE-6D26A58747CC}">
      <dsp:nvSpPr>
        <dsp:cNvPr id="0" name=""/>
        <dsp:cNvSpPr/>
      </dsp:nvSpPr>
      <dsp:spPr>
        <a:xfrm>
          <a:off x="0" y="116194"/>
          <a:ext cx="5485765" cy="739032"/>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effectLst/>
        <a:scene3d>
          <a:camera prst="orthographicFront"/>
          <a:lightRig rig="balanced" dir="t"/>
        </a:scene3d>
        <a:sp3d>
          <a:bevelT w="190500" h="190500"/>
          <a:bevelB/>
        </a:sp3d>
      </dsp:spPr>
      <dsp:style>
        <a:lnRef idx="0">
          <a:scrgbClr r="0" g="0" b="0"/>
        </a:lnRef>
        <a:fillRef idx="1">
          <a:scrgbClr r="0" g="0" b="0"/>
        </a:fillRef>
        <a:effectRef idx="0">
          <a:scrgbClr r="0" g="0" b="0"/>
        </a:effectRef>
        <a:fontRef idx="minor"/>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sk-SK" sz="2000" b="1" i="1" kern="1200">
              <a:solidFill>
                <a:schemeClr val="accent4">
                  <a:lumMod val="75000"/>
                </a:schemeClr>
              </a:solidFill>
            </a:rPr>
            <a:t>Časové vykonávanie  kontroly na úrovni RO</a:t>
          </a:r>
        </a:p>
      </dsp:txBody>
      <dsp:txXfrm>
        <a:off x="0" y="116194"/>
        <a:ext cx="5485765" cy="739032"/>
      </dsp:txXfrm>
    </dsp:sp>
    <dsp:sp modelId="{0F58D3C2-E40F-4C43-A4CE-0CE49E16C603}">
      <dsp:nvSpPr>
        <dsp:cNvPr id="0" name=""/>
        <dsp:cNvSpPr/>
      </dsp:nvSpPr>
      <dsp:spPr>
        <a:xfrm>
          <a:off x="203165" y="1249331"/>
          <a:ext cx="1595699" cy="1442696"/>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do účinnosti zmluvy o NFP</a:t>
          </a:r>
        </a:p>
        <a:p>
          <a:pPr lvl="0" algn="ctr" defTabSz="533400">
            <a:lnSpc>
              <a:spcPct val="90000"/>
            </a:lnSpc>
            <a:spcBef>
              <a:spcPct val="0"/>
            </a:spcBef>
            <a:spcAft>
              <a:spcPct val="35000"/>
            </a:spcAft>
          </a:pPr>
          <a:r>
            <a:rPr lang="sk-SK" sz="1000" i="1" kern="1200">
              <a:solidFill>
                <a:schemeClr val="accent4">
                  <a:lumMod val="75000"/>
                </a:schemeClr>
              </a:solidFill>
            </a:rPr>
            <a:t> - základná finančná kontrola</a:t>
          </a:r>
        </a:p>
      </dsp:txBody>
      <dsp:txXfrm>
        <a:off x="203165" y="1249331"/>
        <a:ext cx="1595699" cy="1442696"/>
      </dsp:txXfrm>
    </dsp:sp>
    <dsp:sp modelId="{E0F9480C-2F98-4D96-9EC4-A5A5218A9B70}">
      <dsp:nvSpPr>
        <dsp:cNvPr id="0" name=""/>
        <dsp:cNvSpPr/>
      </dsp:nvSpPr>
      <dsp:spPr>
        <a:xfrm>
          <a:off x="1846481" y="1515907"/>
          <a:ext cx="1694223" cy="1531677"/>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od účinnosti zmluvy o NFP do momentu ukončenia realizácie projektu</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základná finančná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finančná kontrola </a:t>
          </a:r>
        </a:p>
        <a:p>
          <a:pPr lvl="0" algn="ctr" defTabSz="533400">
            <a:lnSpc>
              <a:spcPct val="90000"/>
            </a:lnSpc>
            <a:spcBef>
              <a:spcPct val="0"/>
            </a:spcBef>
            <a:spcAft>
              <a:spcPct val="35000"/>
            </a:spcAft>
          </a:pPr>
          <a:r>
            <a:rPr lang="sk-SK" sz="1000" i="1" kern="1200">
              <a:solidFill>
                <a:schemeClr val="accent4">
                  <a:lumMod val="75000"/>
                </a:schemeClr>
              </a:solidFill>
            </a:rPr>
            <a:t>- finančná kontrola na mieste</a:t>
          </a:r>
        </a:p>
      </dsp:txBody>
      <dsp:txXfrm>
        <a:off x="1846481" y="1515907"/>
        <a:ext cx="1694223" cy="1531677"/>
      </dsp:txXfrm>
    </dsp:sp>
    <dsp:sp modelId="{653DBB08-B81E-4FE3-82A4-416F1E3558E1}">
      <dsp:nvSpPr>
        <dsp:cNvPr id="0" name=""/>
        <dsp:cNvSpPr/>
      </dsp:nvSpPr>
      <dsp:spPr>
        <a:xfrm>
          <a:off x="3602474" y="1773114"/>
          <a:ext cx="1643480" cy="1868130"/>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po ukončení realizácie projektu do skončenia účinnosti zmluvy o NFP</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základná finančná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finančná kontrola </a:t>
          </a:r>
        </a:p>
        <a:p>
          <a:pPr lvl="0" algn="ctr" defTabSz="533400">
            <a:lnSpc>
              <a:spcPct val="90000"/>
            </a:lnSpc>
            <a:spcBef>
              <a:spcPct val="0"/>
            </a:spcBef>
            <a:spcAft>
              <a:spcPct val="35000"/>
            </a:spcAft>
          </a:pPr>
          <a:r>
            <a:rPr lang="sk-SK" sz="1000" i="1" kern="1200">
              <a:solidFill>
                <a:schemeClr val="accent4">
                  <a:lumMod val="75000"/>
                </a:schemeClr>
              </a:solidFill>
            </a:rPr>
            <a:t>- finančná kontrola na mieste</a:t>
          </a:r>
        </a:p>
      </dsp:txBody>
      <dsp:txXfrm>
        <a:off x="3602474" y="1773114"/>
        <a:ext cx="1643480" cy="1868130"/>
      </dsp:txXfrm>
    </dsp:sp>
    <dsp:sp modelId="{C4C61265-FCC2-4886-91A9-739CE083C0C8}">
      <dsp:nvSpPr>
        <dsp:cNvPr id="0" name=""/>
        <dsp:cNvSpPr/>
      </dsp:nvSpPr>
      <dsp:spPr>
        <a:xfrm>
          <a:off x="0" y="3739382"/>
          <a:ext cx="5485765" cy="325329"/>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noFill/>
        </a:ln>
        <a:effectLst/>
        <a:scene3d>
          <a:camera prst="orthographicFront"/>
          <a:lightRig rig="threePt" dir="t"/>
        </a:scene3d>
        <a:sp3d>
          <a:bevelT w="95250" h="95250"/>
          <a:bevelB/>
        </a:sp3d>
      </dsp:spPr>
      <dsp:style>
        <a:lnRef idx="0">
          <a:scrgbClr r="0" g="0" b="0"/>
        </a:lnRef>
        <a:fillRef idx="1">
          <a:scrgbClr r="0" g="0" b="0"/>
        </a:fillRef>
        <a:effectRef idx="0">
          <a:scrgbClr r="0" g="0" b="0"/>
        </a:effectRef>
        <a:fontRef idx="minor"/>
      </dsp:style>
    </dsp:sp>
  </dsp:spTree>
</dsp:drawing>
</file>

<file path=word/diagrams/drawing2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75113"/>
          <a:ext cx="1511162" cy="1350678"/>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i="1" kern="1200"/>
            <a:t> 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Oznámenie vykonania finančnej kontroly na mieste prijímateľovi </a:t>
          </a:r>
        </a:p>
        <a:p>
          <a:pPr marL="57150" lvl="1" indent="-57150" algn="l" defTabSz="266700">
            <a:lnSpc>
              <a:spcPct val="90000"/>
            </a:lnSpc>
            <a:spcBef>
              <a:spcPct val="0"/>
            </a:spcBef>
            <a:spcAft>
              <a:spcPct val="15000"/>
            </a:spcAft>
            <a:buChar char="••"/>
          </a:pPr>
          <a:r>
            <a:rPr lang="sk-SK" sz="600" i="1" kern="1200"/>
            <a:t>Stanovenie kontrolného zoznamu </a:t>
          </a:r>
        </a:p>
      </dsp:txBody>
      <dsp:txXfrm>
        <a:off x="31083" y="906196"/>
        <a:ext cx="1448996" cy="999081"/>
      </dsp:txXfrm>
    </dsp:sp>
    <dsp:sp modelId="{BF542D47-0F73-4C39-AECB-6392B969BEE2}">
      <dsp:nvSpPr>
        <dsp:cNvPr id="0" name=""/>
        <dsp:cNvSpPr/>
      </dsp:nvSpPr>
      <dsp:spPr>
        <a:xfrm>
          <a:off x="851878" y="1269994"/>
          <a:ext cx="1619637" cy="1619637"/>
        </a:xfrm>
        <a:prstGeom prst="leftCircularArrow">
          <a:avLst>
            <a:gd name="adj1" fmla="val 2864"/>
            <a:gd name="adj2" fmla="val 350044"/>
            <a:gd name="adj3" fmla="val 2050333"/>
            <a:gd name="adj4" fmla="val 8949268"/>
            <a:gd name="adj5" fmla="val 33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940" y="1935094"/>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585" y="1950739"/>
        <a:ext cx="1311965" cy="502878"/>
      </dsp:txXfrm>
    </dsp:sp>
    <dsp:sp modelId="{18B80A27-057A-4402-81A4-202F53D937E2}">
      <dsp:nvSpPr>
        <dsp:cNvPr id="0" name=""/>
        <dsp:cNvSpPr/>
      </dsp:nvSpPr>
      <dsp:spPr>
        <a:xfrm>
          <a:off x="1902077" y="926883"/>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so zistenými nedostatkami</a:t>
          </a:r>
        </a:p>
      </dsp:txBody>
      <dsp:txXfrm>
        <a:off x="1930760" y="1222650"/>
        <a:ext cx="1453796" cy="921942"/>
      </dsp:txXfrm>
    </dsp:sp>
    <dsp:sp modelId="{0D8EEC67-CFCB-4E03-A953-611E63CC3E69}">
      <dsp:nvSpPr>
        <dsp:cNvPr id="0" name=""/>
        <dsp:cNvSpPr/>
      </dsp:nvSpPr>
      <dsp:spPr>
        <a:xfrm>
          <a:off x="2755099" y="203541"/>
          <a:ext cx="1779682" cy="1779682"/>
        </a:xfrm>
        <a:prstGeom prst="circularArrow">
          <a:avLst>
            <a:gd name="adj1" fmla="val 2606"/>
            <a:gd name="adj2" fmla="val 316656"/>
            <a:gd name="adj3" fmla="val 19463022"/>
            <a:gd name="adj4" fmla="val 12530700"/>
            <a:gd name="adj5" fmla="val 304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7891" y="688329"/>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správy/návrhu správy</a:t>
          </a:r>
          <a:endParaRPr lang="sk-SK" sz="1100" b="1" kern="1200">
            <a:solidFill>
              <a:schemeClr val="tx2"/>
            </a:solidFill>
          </a:endParaRPr>
        </a:p>
      </dsp:txBody>
      <dsp:txXfrm>
        <a:off x="2253536" y="703974"/>
        <a:ext cx="1311965" cy="502878"/>
      </dsp:txXfrm>
    </dsp:sp>
    <dsp:sp modelId="{CA8DC8C2-902A-4C8E-98D9-C24F3DCA2CE4}">
      <dsp:nvSpPr>
        <dsp:cNvPr id="0" name=""/>
        <dsp:cNvSpPr/>
      </dsp:nvSpPr>
      <dsp:spPr>
        <a:xfrm>
          <a:off x="3773483" y="936381"/>
          <a:ext cx="1511162" cy="1246392"/>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/správy z kontroly na vyjadrenie prijímateľa</a:t>
          </a:r>
        </a:p>
        <a:p>
          <a:pPr marL="57150" lvl="1" indent="-57150" algn="l" defTabSz="266700">
            <a:lnSpc>
              <a:spcPct val="90000"/>
            </a:lnSpc>
            <a:spcBef>
              <a:spcPct val="0"/>
            </a:spcBef>
            <a:spcAft>
              <a:spcPct val="15000"/>
            </a:spcAft>
            <a:buChar char="••"/>
          </a:pPr>
          <a:r>
            <a:rPr lang="sk-SK" sz="600" i="1" kern="1200"/>
            <a:t>Finálne vyplnenie kontrolného zoznamu</a:t>
          </a:r>
        </a:p>
        <a:p>
          <a:pPr marL="57150" lvl="1" indent="-57150" algn="l" defTabSz="266700">
            <a:lnSpc>
              <a:spcPct val="90000"/>
            </a:lnSpc>
            <a:spcBef>
              <a:spcPct val="0"/>
            </a:spcBef>
            <a:spcAft>
              <a:spcPct val="15000"/>
            </a:spcAft>
            <a:buChar char="••"/>
          </a:pPr>
          <a:r>
            <a:rPr lang="sk-SK" sz="600" i="1" kern="1200"/>
            <a:t> Vypracovanie čiastkovej správy/správy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správy/správy z kontroly </a:t>
          </a:r>
        </a:p>
      </dsp:txBody>
      <dsp:txXfrm>
        <a:off x="3802166" y="965064"/>
        <a:ext cx="1453796" cy="921942"/>
      </dsp:txXfrm>
    </dsp:sp>
    <dsp:sp modelId="{97DC40B2-472E-447B-93FF-434AB18F15A3}">
      <dsp:nvSpPr>
        <dsp:cNvPr id="0" name=""/>
        <dsp:cNvSpPr/>
      </dsp:nvSpPr>
      <dsp:spPr>
        <a:xfrm>
          <a:off x="4137842" y="1934722"/>
          <a:ext cx="1343255" cy="53416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3487" y="1950367"/>
        <a:ext cx="1311965" cy="502878"/>
      </dsp:txXfrm>
    </dsp:sp>
  </dsp:spTree>
</dsp:drawing>
</file>

<file path=word/diagrams/drawing2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2540"/>
          <a:ext cx="1514613" cy="1249239"/>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Vystavenie poverenia na výkon finančnej kontroly na mieste</a:t>
          </a:r>
        </a:p>
        <a:p>
          <a:pPr marL="57150" lvl="1" indent="-57150" algn="l" defTabSz="355600">
            <a:lnSpc>
              <a:spcPct val="90000"/>
            </a:lnSpc>
            <a:spcBef>
              <a:spcPct val="0"/>
            </a:spcBef>
            <a:spcAft>
              <a:spcPct val="15000"/>
            </a:spcAft>
            <a:buChar char="••"/>
          </a:pPr>
          <a:r>
            <a:rPr lang="sk-SK" sz="800" i="1" kern="1200"/>
            <a:t> Vystavenie oznámenia o vykonaní  finančnej KnM</a:t>
          </a:r>
        </a:p>
        <a:p>
          <a:pPr marL="57150" lvl="1" indent="-57150" algn="l" defTabSz="355600">
            <a:lnSpc>
              <a:spcPct val="90000"/>
            </a:lnSpc>
            <a:spcBef>
              <a:spcPct val="0"/>
            </a:spcBef>
            <a:spcAft>
              <a:spcPct val="15000"/>
            </a:spcAft>
            <a:buChar char="••"/>
          </a:pPr>
          <a:r>
            <a:rPr lang="sk-SK" sz="800" i="1" kern="1200"/>
            <a:t>Stanovenie kontrolného zoznamu</a:t>
          </a:r>
        </a:p>
      </dsp:txBody>
      <dsp:txXfrm>
        <a:off x="28748" y="971288"/>
        <a:ext cx="1457117" cy="924049"/>
      </dsp:txXfrm>
    </dsp:sp>
    <dsp:sp modelId="{BF542D47-0F73-4C39-AECB-6392B969BEE2}">
      <dsp:nvSpPr>
        <dsp:cNvPr id="0" name=""/>
        <dsp:cNvSpPr/>
      </dsp:nvSpPr>
      <dsp:spPr>
        <a:xfrm>
          <a:off x="861913" y="1303036"/>
          <a:ext cx="1619561" cy="1619561"/>
        </a:xfrm>
        <a:prstGeom prst="leftCircularArrow">
          <a:avLst>
            <a:gd name="adj1" fmla="val 2843"/>
            <a:gd name="adj2" fmla="val 347322"/>
            <a:gd name="adj3" fmla="val 2122833"/>
            <a:gd name="adj4" fmla="val 9024489"/>
            <a:gd name="adj5" fmla="val 331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775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3432" y="1968361"/>
        <a:ext cx="1314961" cy="504026"/>
      </dsp:txXfrm>
    </dsp:sp>
    <dsp:sp modelId="{18B80A27-057A-4402-81A4-202F53D937E2}">
      <dsp:nvSpPr>
        <dsp:cNvPr id="0" name=""/>
        <dsp:cNvSpPr/>
      </dsp:nvSpPr>
      <dsp:spPr>
        <a:xfrm>
          <a:off x="1903335"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finančná KnM bez nedostatkov </a:t>
          </a:r>
        </a:p>
      </dsp:txBody>
      <dsp:txXfrm>
        <a:off x="1932083" y="1267577"/>
        <a:ext cx="1457117" cy="924049"/>
      </dsp:txXfrm>
    </dsp:sp>
    <dsp:sp modelId="{0D8EEC67-CFCB-4E03-A953-611E63CC3E69}">
      <dsp:nvSpPr>
        <dsp:cNvPr id="0" name=""/>
        <dsp:cNvSpPr/>
      </dsp:nvSpPr>
      <dsp:spPr>
        <a:xfrm>
          <a:off x="2751456" y="219930"/>
          <a:ext cx="1813095" cy="1813095"/>
        </a:xfrm>
        <a:prstGeom prst="circularArrow">
          <a:avLst>
            <a:gd name="adj1" fmla="val 2540"/>
            <a:gd name="adj2" fmla="val 308062"/>
            <a:gd name="adj3" fmla="val 19516427"/>
            <a:gd name="adj4" fmla="val 12575511"/>
            <a:gd name="adj5" fmla="val 296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16" y="703441"/>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správy/správ</a:t>
          </a:r>
          <a:r>
            <a:rPr lang="sk-SK" sz="1100" b="1" kern="1200">
              <a:solidFill>
                <a:schemeClr val="tx2"/>
              </a:solidFill>
            </a:rPr>
            <a:t>y </a:t>
          </a:r>
        </a:p>
      </dsp:txBody>
      <dsp:txXfrm>
        <a:off x="2255597" y="719122"/>
        <a:ext cx="1314961" cy="504026"/>
      </dsp:txXfrm>
    </dsp:sp>
    <dsp:sp modelId="{CA8DC8C2-902A-4C8E-98D9-C24F3DCA2CE4}">
      <dsp:nvSpPr>
        <dsp:cNvPr id="0" name=""/>
        <dsp:cNvSpPr/>
      </dsp:nvSpPr>
      <dsp:spPr>
        <a:xfrm>
          <a:off x="3805500" y="971135"/>
          <a:ext cx="1514613" cy="1249239"/>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a:t>
          </a:r>
        </a:p>
        <a:p>
          <a:pPr marL="57150" lvl="1" indent="-57150" algn="l" defTabSz="355600">
            <a:lnSpc>
              <a:spcPct val="90000"/>
            </a:lnSpc>
            <a:spcBef>
              <a:spcPct val="0"/>
            </a:spcBef>
            <a:spcAft>
              <a:spcPct val="15000"/>
            </a:spcAft>
            <a:buChar char="••"/>
          </a:pPr>
          <a:r>
            <a:rPr lang="sk-SK" sz="800" i="1" kern="1200"/>
            <a:t>Zaslanie čiastkovej správy/správy z kontroly prijímateľovi  </a:t>
          </a:r>
        </a:p>
      </dsp:txBody>
      <dsp:txXfrm>
        <a:off x="3834248" y="999883"/>
        <a:ext cx="1457117" cy="924049"/>
      </dsp:txXfrm>
    </dsp:sp>
    <dsp:sp modelId="{97DC40B2-472E-447B-93FF-434AB18F15A3}">
      <dsp:nvSpPr>
        <dsp:cNvPr id="0" name=""/>
        <dsp:cNvSpPr/>
      </dsp:nvSpPr>
      <dsp:spPr>
        <a:xfrm>
          <a:off x="4142081" y="1952680"/>
          <a:ext cx="1346323" cy="53538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7762" y="1968361"/>
        <a:ext cx="1314961" cy="504026"/>
      </dsp:txXfrm>
    </dsp:sp>
  </dsp:spTree>
</dsp:drawing>
</file>

<file path=word/diagrams/drawing2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663838"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b="0" i="1" kern="1200">
              <a:solidFill>
                <a:schemeClr val="accent2">
                  <a:lumMod val="75000"/>
                </a:schemeClr>
              </a:solidFill>
            </a:rPr>
            <a:t>Krok č. 1 </a:t>
          </a:r>
          <a:endParaRPr lang="sk-SK" sz="1400" b="0" i="1" kern="1200"/>
        </a:p>
        <a:p>
          <a:pPr marL="57150" lvl="1" indent="-57150" algn="l" defTabSz="488950">
            <a:lnSpc>
              <a:spcPct val="90000"/>
            </a:lnSpc>
            <a:spcBef>
              <a:spcPct val="0"/>
            </a:spcBef>
            <a:spcAft>
              <a:spcPct val="15000"/>
            </a:spcAft>
            <a:buChar char="••"/>
          </a:pPr>
          <a:r>
            <a:rPr lang="sk-SK" sz="1100" i="1" kern="1200"/>
            <a:t>stanovenie formy kontroly  (administratívna finančná kontrola / finančná kontrola na mieste</a:t>
          </a:r>
        </a:p>
      </dsp:txBody>
      <dsp:txXfrm rot="5400000">
        <a:off x="1356" y="532002"/>
        <a:ext cx="1329627" cy="1596009"/>
      </dsp:txXfrm>
    </dsp:sp>
    <dsp:sp modelId="{20EEEC8E-2638-484B-8625-20BC13BB3B7C}">
      <dsp:nvSpPr>
        <dsp:cNvPr id="0" name=""/>
        <dsp:cNvSpPr/>
      </dsp:nvSpPr>
      <dsp:spPr>
        <a:xfrm rot="16200000">
          <a:off x="765510"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2</a:t>
          </a:r>
        </a:p>
        <a:p>
          <a:pPr marL="57150" lvl="1" indent="-57150" algn="l" defTabSz="488950">
            <a:lnSpc>
              <a:spcPct val="90000"/>
            </a:lnSpc>
            <a:spcBef>
              <a:spcPct val="0"/>
            </a:spcBef>
            <a:spcAft>
              <a:spcPct val="15000"/>
            </a:spcAft>
            <a:buChar char="••"/>
          </a:pPr>
          <a:r>
            <a:rPr lang="sk-SK" sz="1100" i="1" kern="1200"/>
            <a:t>stanovenie predmetu kontroly z vopred preddefinovaných predmetov kontroly, resp. predmetu, ktorý si zvolí RO</a:t>
          </a:r>
        </a:p>
      </dsp:txBody>
      <dsp:txXfrm rot="5400000">
        <a:off x="1430704" y="532002"/>
        <a:ext cx="1329627" cy="1596009"/>
      </dsp:txXfrm>
    </dsp:sp>
    <dsp:sp modelId="{05C9B098-7621-4819-ADDC-220013B41FD6}">
      <dsp:nvSpPr>
        <dsp:cNvPr id="0" name=""/>
        <dsp:cNvSpPr/>
      </dsp:nvSpPr>
      <dsp:spPr>
        <a:xfrm rot="16200000">
          <a:off x="2194859"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3</a:t>
          </a:r>
        </a:p>
        <a:p>
          <a:pPr marL="57150" lvl="1" indent="-57150" algn="l" defTabSz="488950">
            <a:lnSpc>
              <a:spcPct val="90000"/>
            </a:lnSpc>
            <a:spcBef>
              <a:spcPct val="0"/>
            </a:spcBef>
            <a:spcAft>
              <a:spcPct val="15000"/>
            </a:spcAft>
            <a:buChar char="••"/>
          </a:pPr>
          <a:r>
            <a:rPr lang="sk-SK" sz="1100" i="1" kern="1200"/>
            <a:t>vytvorenie kontrolného zoznamu </a:t>
          </a:r>
        </a:p>
      </dsp:txBody>
      <dsp:txXfrm rot="5400000">
        <a:off x="2860053" y="532002"/>
        <a:ext cx="1329627" cy="1596009"/>
      </dsp:txXfrm>
    </dsp:sp>
    <dsp:sp modelId="{0A180C33-6355-4A8B-AF69-1A908DE7DF34}">
      <dsp:nvSpPr>
        <dsp:cNvPr id="0" name=""/>
        <dsp:cNvSpPr/>
      </dsp:nvSpPr>
      <dsp:spPr>
        <a:xfrm rot="16200000">
          <a:off x="3624208" y="665193"/>
          <a:ext cx="2660015" cy="1329627"/>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4</a:t>
          </a:r>
        </a:p>
        <a:p>
          <a:pPr marL="57150" lvl="1" indent="-57150" algn="l" defTabSz="488950">
            <a:lnSpc>
              <a:spcPct val="90000"/>
            </a:lnSpc>
            <a:spcBef>
              <a:spcPct val="0"/>
            </a:spcBef>
            <a:spcAft>
              <a:spcPct val="15000"/>
            </a:spcAft>
            <a:buChar char="••"/>
          </a:pPr>
          <a:r>
            <a:rPr lang="sk-SK" sz="1100" i="1" kern="1200"/>
            <a:t>vypĺňanie kontrolného zoznamu</a:t>
          </a:r>
        </a:p>
      </dsp:txBody>
      <dsp:txXfrm rot="5400000">
        <a:off x="4289402" y="532002"/>
        <a:ext cx="1329627" cy="1596009"/>
      </dsp:txXfrm>
    </dsp:sp>
  </dsp:spTree>
</dsp:drawing>
</file>

<file path=word/diagrams/drawing2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Začatie výkonu  administratívnej finančnej kontroly ŽoP (doručenie písomnej formy ŽoP).</a:t>
          </a:r>
        </a:p>
        <a:p>
          <a:pPr marL="57150" lvl="1" indent="-57150" algn="l" defTabSz="355600">
            <a:lnSpc>
              <a:spcPct val="90000"/>
            </a:lnSpc>
            <a:spcBef>
              <a:spcPct val="0"/>
            </a:spcBef>
            <a:spcAft>
              <a:spcPct val="15000"/>
            </a:spcAft>
            <a:buChar char="••"/>
          </a:pPr>
          <a:r>
            <a:rPr lang="sk-SK" sz="800" i="1" kern="1200"/>
            <a:t>Stanovenie kontrolného zoznamu k ŽoP</a:t>
          </a:r>
        </a:p>
        <a:p>
          <a:pPr marL="57150" lvl="1" indent="-57150" algn="l" defTabSz="355600">
            <a:lnSpc>
              <a:spcPct val="90000"/>
            </a:lnSpc>
            <a:spcBef>
              <a:spcPct val="0"/>
            </a:spcBef>
            <a:spcAft>
              <a:spcPct val="15000"/>
            </a:spcAft>
            <a:buChar char="••"/>
          </a:pPr>
          <a:endParaRPr lang="sk-SK" sz="8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AK ŽoP  bez nedostatkov </a:t>
          </a:r>
        </a:p>
      </dsp:txBody>
      <dsp:txXfrm>
        <a:off x="1937341" y="1122386"/>
        <a:ext cx="1444844" cy="916265"/>
      </dsp:txXfrm>
    </dsp:sp>
    <dsp:sp modelId="{0D8EEC67-CFCB-4E03-A953-611E63CC3E69}">
      <dsp:nvSpPr>
        <dsp:cNvPr id="0" name=""/>
        <dsp:cNvSpPr/>
      </dsp:nvSpPr>
      <dsp:spPr>
        <a:xfrm>
          <a:off x="2743134" y="72114"/>
          <a:ext cx="1833262" cy="1833262"/>
        </a:xfrm>
        <a:prstGeom prst="circularArrow">
          <a:avLst>
            <a:gd name="adj1" fmla="val 2743"/>
            <a:gd name="adj2" fmla="val 334370"/>
            <a:gd name="adj3" fmla="val 19490119"/>
            <a:gd name="adj4" fmla="val 12575511"/>
            <a:gd name="adj5" fmla="val 320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 /správ</a:t>
          </a:r>
          <a:r>
            <a:rPr lang="sk-SK" sz="800" b="1" kern="1200">
              <a:solidFill>
                <a:schemeClr val="tx2"/>
              </a:solidFill>
            </a:rPr>
            <a:t>y </a:t>
          </a:r>
        </a:p>
      </dsp:txBody>
      <dsp:txXfrm>
        <a:off x="2258130" y="578550"/>
        <a:ext cx="1303885" cy="499780"/>
      </dsp:txXfrm>
    </dsp:sp>
    <dsp:sp modelId="{CA8DC8C2-902A-4C8E-98D9-C24F3DCA2CE4}">
      <dsp:nvSpPr>
        <dsp:cNvPr id="0" name=""/>
        <dsp:cNvSpPr/>
      </dsp:nvSpPr>
      <dsp:spPr>
        <a:xfrm>
          <a:off x="3817058"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k ŽoP</a:t>
          </a:r>
        </a:p>
        <a:p>
          <a:pPr marL="57150" lvl="1" indent="-57150" algn="l" defTabSz="355600">
            <a:lnSpc>
              <a:spcPct val="90000"/>
            </a:lnSpc>
            <a:spcBef>
              <a:spcPct val="0"/>
            </a:spcBef>
            <a:spcAft>
              <a:spcPct val="15000"/>
            </a:spcAft>
            <a:buChar char="••"/>
          </a:pPr>
          <a:r>
            <a:rPr lang="sk-SK" sz="800" i="1" kern="1200"/>
            <a:t> Zaslanie  čiastkovej správy/správy z kontroly prijímateľovi</a:t>
          </a:r>
        </a:p>
      </dsp:txBody>
      <dsp:txXfrm>
        <a:off x="3845564"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2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Začatie výkonu  administratívnej finančnej kontroly ŽoP (doručenie písomnej formy ŽoP).</a:t>
          </a:r>
        </a:p>
        <a:p>
          <a:pPr marL="57150" lvl="1" indent="-57150" algn="l" defTabSz="266700">
            <a:lnSpc>
              <a:spcPct val="90000"/>
            </a:lnSpc>
            <a:spcBef>
              <a:spcPct val="0"/>
            </a:spcBef>
            <a:spcAft>
              <a:spcPct val="15000"/>
            </a:spcAft>
            <a:buChar char="••"/>
          </a:pPr>
          <a:r>
            <a:rPr lang="sk-SK" sz="600" i="1" kern="1200"/>
            <a:t>Stanovenie kontrolného zoznamu k ŽoP</a:t>
          </a:r>
        </a:p>
      </dsp:txBody>
      <dsp:txXfrm>
        <a:off x="28649" y="929961"/>
        <a:ext cx="1452052" cy="920836"/>
      </dsp:txXfrm>
    </dsp:sp>
    <dsp:sp modelId="{BF542D47-0F73-4C39-AECB-6392B969BEE2}">
      <dsp:nvSpPr>
        <dsp:cNvPr id="0" name=""/>
        <dsp:cNvSpPr/>
      </dsp:nvSpPr>
      <dsp:spPr>
        <a:xfrm>
          <a:off x="850795" y="1239620"/>
          <a:ext cx="1623905" cy="1623905"/>
        </a:xfrm>
        <a:prstGeom prst="leftCircularArrow">
          <a:avLst>
            <a:gd name="adj1" fmla="val 2903"/>
            <a:gd name="adj2" fmla="val 355157"/>
            <a:gd name="adj3" fmla="val 2056632"/>
            <a:gd name="adj4" fmla="val 8950454"/>
            <a:gd name="adj5" fmla="val 338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534"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4160" y="1923568"/>
        <a:ext cx="1310392" cy="502275"/>
      </dsp:txXfrm>
    </dsp:sp>
    <dsp:sp modelId="{18B80A27-057A-4402-81A4-202F53D937E2}">
      <dsp:nvSpPr>
        <dsp:cNvPr id="0" name=""/>
        <dsp:cNvSpPr/>
      </dsp:nvSpPr>
      <dsp:spPr>
        <a:xfrm>
          <a:off x="1904672" y="901312"/>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AK ŽoP so zistenými nedostatkami</a:t>
          </a:r>
        </a:p>
      </dsp:txBody>
      <dsp:txXfrm>
        <a:off x="1933321" y="1196725"/>
        <a:ext cx="1452052" cy="920836"/>
      </dsp:txXfrm>
    </dsp:sp>
    <dsp:sp modelId="{0D8EEC67-CFCB-4E03-A953-611E63CC3E69}">
      <dsp:nvSpPr>
        <dsp:cNvPr id="0" name=""/>
        <dsp:cNvSpPr/>
      </dsp:nvSpPr>
      <dsp:spPr>
        <a:xfrm>
          <a:off x="2758106" y="171990"/>
          <a:ext cx="1783945" cy="1783945"/>
        </a:xfrm>
        <a:prstGeom prst="circularArrow">
          <a:avLst>
            <a:gd name="adj1" fmla="val 2643"/>
            <a:gd name="adj2" fmla="val 321334"/>
            <a:gd name="adj3" fmla="val 19436137"/>
            <a:gd name="adj4" fmla="val 12508492"/>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0083" y="663044"/>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kontroly/správy</a:t>
          </a:r>
          <a:endParaRPr lang="sk-SK" sz="800" b="1" kern="1200">
            <a:solidFill>
              <a:schemeClr val="tx2"/>
            </a:solidFill>
          </a:endParaRPr>
        </a:p>
      </dsp:txBody>
      <dsp:txXfrm>
        <a:off x="2255709" y="678670"/>
        <a:ext cx="1310392" cy="502275"/>
      </dsp:txXfrm>
    </dsp:sp>
    <dsp:sp modelId="{CA8DC8C2-902A-4C8E-98D9-C24F3DCA2CE4}">
      <dsp:nvSpPr>
        <dsp:cNvPr id="0" name=""/>
        <dsp:cNvSpPr/>
      </dsp:nvSpPr>
      <dsp:spPr>
        <a:xfrm>
          <a:off x="3777708" y="901300"/>
          <a:ext cx="1509350" cy="1244898"/>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z kontroly/ správy z kontroly na vyjadrenie prijímateľovi </a:t>
          </a:r>
        </a:p>
        <a:p>
          <a:pPr marL="57150" lvl="1" indent="-57150" algn="l" defTabSz="266700">
            <a:lnSpc>
              <a:spcPct val="90000"/>
            </a:lnSpc>
            <a:spcBef>
              <a:spcPct val="0"/>
            </a:spcBef>
            <a:spcAft>
              <a:spcPct val="15000"/>
            </a:spcAft>
            <a:buChar char="••"/>
          </a:pPr>
          <a:r>
            <a:rPr lang="sk-SK" sz="600" i="1" kern="1200"/>
            <a:t>Finálne vyplnenie kontrolného zoznamu k ŽoP </a:t>
          </a:r>
        </a:p>
        <a:p>
          <a:pPr marL="57150" lvl="1" indent="-57150" algn="l" defTabSz="266700">
            <a:lnSpc>
              <a:spcPct val="90000"/>
            </a:lnSpc>
            <a:spcBef>
              <a:spcPct val="0"/>
            </a:spcBef>
            <a:spcAft>
              <a:spcPct val="15000"/>
            </a:spcAft>
            <a:buChar char="••"/>
          </a:pPr>
          <a:r>
            <a:rPr lang="sk-SK" sz="600" i="1" kern="1200"/>
            <a:t>Vypracovanie čiastkovej správy z kontroly/správy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 z kontorly/správy z kontroly    </a:t>
          </a:r>
        </a:p>
      </dsp:txBody>
      <dsp:txXfrm>
        <a:off x="3806357" y="929949"/>
        <a:ext cx="1452052" cy="920836"/>
      </dsp:txXfrm>
    </dsp:sp>
    <dsp:sp modelId="{97DC40B2-472E-447B-93FF-434AB18F15A3}">
      <dsp:nvSpPr>
        <dsp:cNvPr id="0" name=""/>
        <dsp:cNvSpPr/>
      </dsp:nvSpPr>
      <dsp:spPr>
        <a:xfrm>
          <a:off x="4141631" y="1907942"/>
          <a:ext cx="1341644" cy="53352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257" y="1923568"/>
        <a:ext cx="1310392" cy="502275"/>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6.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2.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1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2.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3.xml><?xml version="1.0" encoding="utf-8"?>
<dgm:layoutDef xmlns:dgm="http://schemas.openxmlformats.org/drawingml/2006/diagram" xmlns:a="http://schemas.openxmlformats.org/drawingml/2006/main" uniqueId="urn:microsoft.com/office/officeart/2005/8/layout/arrow2">
  <dgm:title val=""/>
  <dgm:desc val=""/>
  <dgm:catLst>
    <dgm:cat type="process" pri="2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arrowDiagram">
    <dgm:varLst>
      <dgm:chMax val="5"/>
      <dgm:dir/>
      <dgm:resizeHandles val="exact"/>
    </dgm:varLst>
    <dgm:alg type="composite">
      <dgm:param type="ar" val="1.6"/>
    </dgm:alg>
    <dgm:shape xmlns:r="http://schemas.openxmlformats.org/officeDocument/2006/relationships" r:blip="">
      <dgm:adjLst/>
    </dgm:shape>
    <dgm:presOf/>
    <dgm:constrLst>
      <dgm:constr type="l" for="ch" forName="arrow"/>
      <dgm:constr type="t" for="ch" forName="arrow"/>
      <dgm:constr type="w" for="ch" forName="arrow" refType="w"/>
      <dgm:constr type="h" for="ch" forName="arrow" refType="h"/>
      <dgm:constr type="ctrX" for="ch" forName="arrowDiagram1" refType="w" fact="0.5"/>
      <dgm:constr type="ctrY" for="ch" forName="arrowDiagram1" refType="h" fact="0.5"/>
      <dgm:constr type="w" for="ch" forName="arrowDiagram1" refType="w"/>
      <dgm:constr type="h" for="ch" forName="arrowDiagram1" refType="h"/>
      <dgm:constr type="ctrX" for="ch" forName="arrowDiagram2" refType="w" fact="0.5"/>
      <dgm:constr type="ctrY" for="ch" forName="arrowDiagram2" refType="h" fact="0.5"/>
      <dgm:constr type="w" for="ch" forName="arrowDiagram2" refType="w"/>
      <dgm:constr type="h" for="ch" forName="arrowDiagram2" refType="h"/>
      <dgm:constr type="ctrX" for="ch" forName="arrowDiagram3" refType="w" fact="0.5"/>
      <dgm:constr type="ctrY" for="ch" forName="arrowDiagram3" refType="h" fact="0.5"/>
      <dgm:constr type="w" for="ch" forName="arrowDiagram3" refType="w"/>
      <dgm:constr type="h" for="ch" forName="arrowDiagram3" refType="h"/>
      <dgm:constr type="ctrX" for="ch" forName="arrowDiagram4" refType="w" fact="0.5"/>
      <dgm:constr type="ctrY" for="ch" forName="arrowDiagram4" refType="h" fact="0.5"/>
      <dgm:constr type="w" for="ch" forName="arrowDiagram4" refType="w"/>
      <dgm:constr type="h" for="ch" forName="arrowDiagram4" refType="h"/>
      <dgm:constr type="ctrX" for="ch" forName="arrowDiagram5" refType="w" fact="0.5"/>
      <dgm:constr type="ctrY" for="ch" forName="arrowDiagram5" refType="h" fact="0.5"/>
      <dgm:constr type="w" for="ch" forName="arrowDiagram5" refType="w"/>
      <dgm:constr type="h" for="ch" forName="arrowDiagram5" refType="h"/>
    </dgm:constrLst>
    <dgm:ruleLst/>
    <dgm:choose name="Name0">
      <dgm:if name="Name1" axis="ch" ptType="node" func="cnt" op="gte" val="1">
        <dgm:layoutNode name="arrow" styleLbl="bgShp">
          <dgm:alg type="sp"/>
          <dgm:shape xmlns:r="http://schemas.openxmlformats.org/officeDocument/2006/relationships" type="swooshArrow" r:blip="">
            <dgm:adjLst>
              <dgm:adj idx="2" val="0.25"/>
            </dgm:adjLst>
          </dgm:shape>
          <dgm:presOf/>
          <dgm:constrLst/>
          <dgm:ruleLst/>
        </dgm:layoutNode>
        <dgm:choose name="Name2">
          <dgm:if name="Name3" axis="ch" ptType="node" func="cnt" op="lt" val="1"/>
          <dgm:if name="Name4" axis="ch" ptType="node" func="cnt" op="equ" val="1">
            <dgm:layoutNode name="arrowDiagram1">
              <dgm:varLst>
                <dgm:bulletEnabled val="1"/>
              </dgm:varLst>
              <dgm:alg type="composite">
                <dgm:param type="vertAlign" val="none"/>
                <dgm:param type="horzAlign" val="none"/>
              </dgm:alg>
              <dgm:shape xmlns:r="http://schemas.openxmlformats.org/officeDocument/2006/relationships" r:blip="">
                <dgm:adjLst/>
              </dgm:shape>
              <dgm:presOf/>
              <dgm:constrLst>
                <dgm:constr type="ctrX" for="ch" forName="bullet1" refType="w" fact="0.8"/>
                <dgm:constr type="ctrY" for="ch" forName="bullet1" refType="h" fact="0.262"/>
                <dgm:constr type="w" for="ch" forName="bullet1" refType="w" fact="0.074"/>
                <dgm:constr type="h" for="ch" forName="bullet1" refType="w" refFor="ch" refForName="bullet1"/>
                <dgm:constr type="r" for="ch" forName="textBox1" refType="ctrX" refFor="ch" refForName="bullet1"/>
                <dgm:constr type="t" for="ch" forName="textBox1" refType="ctrY" refFor="ch" refForName="bullet1"/>
                <dgm:constr type="w" for="ch" forName="textBox1" refType="w" fact="0.4"/>
                <dgm:constr type="h" for="ch" forName="textBox1" refType="h" fact="0.738"/>
                <dgm:constr type="userA" refType="h" refFor="ch" refForName="bullet1" fact="0.53"/>
                <dgm:constr type="rMarg" for="ch" forName="textBox1" refType="userA" fact="2.834"/>
                <dgm:constr type="primFontSz" for="ch" ptType="node" op="equ" val="65"/>
              </dgm:constrLst>
              <dgm:ruleLst/>
              <dgm:forEach name="Name5" axis="ch" ptType="node" cnt="1">
                <dgm:layoutNode name="bullet1" styleLbl="node1">
                  <dgm:alg type="sp"/>
                  <dgm:shape xmlns:r="http://schemas.openxmlformats.org/officeDocument/2006/relationships" type="ellipse" r:blip="">
                    <dgm:adjLst/>
                  </dgm:shape>
                  <dgm:presOf/>
                  <dgm:constrLst/>
                  <dgm:ruleLst/>
                </dgm:layoutNode>
                <dgm:layoutNode name="textBox1" styleLbl="revTx">
                  <dgm:varLst>
                    <dgm:bulletEnabled val="1"/>
                  </dgm:varLst>
                  <dgm:alg type="tx">
                    <dgm:param type="txAnchorVert" val="t"/>
                    <dgm:param type="parTxLTRAlign" val="r"/>
                    <dgm:param type="parTxRTLAlign" val="r"/>
                  </dgm:alg>
                  <dgm:shape xmlns:r="http://schemas.openxmlformats.org/officeDocument/2006/relationships" type="round2DiagRect" r:blip="">
                    <dgm:adjLst/>
                  </dgm:shape>
                  <dgm:presOf axis="desOrSelf" ptType="node"/>
                  <dgm:constrLst>
                    <dgm:constr type="lMarg"/>
                    <dgm:constr type="tMarg"/>
                    <dgm:constr type="bMarg"/>
                  </dgm:constrLst>
                  <dgm:ruleLst>
                    <dgm:rule type="primFontSz" val="5" fact="NaN" max="NaN"/>
                  </dgm:ruleLst>
                </dgm:layoutNode>
              </dgm:forEach>
            </dgm:layoutNode>
          </dgm:if>
          <dgm:if name="Name6" axis="ch" ptType="node" func="cnt" op="equ" val="2">
            <dgm:layoutNode name="arrowDiagram2">
              <dgm:alg type="composite">
                <dgm:param type="vertAlign" val="none"/>
                <dgm:param type="horzAlign" val="none"/>
              </dgm:alg>
              <dgm:shape xmlns:r="http://schemas.openxmlformats.org/officeDocument/2006/relationships" r:blip="">
                <dgm:adjLst/>
              </dgm:shape>
              <dgm:presOf/>
              <dgm:choose name="Name7">
                <dgm:if name="Name8" func="var" arg="dir" op="equ" val="norm">
                  <dgm:constrLst>
                    <dgm:constr type="ctrX" for="ch" forName="bullet2a" refType="w" fact="0.25"/>
                    <dgm:constr type="ctrY" for="ch" forName="bullet2a" refType="h" fact="0.573"/>
                    <dgm:constr type="w" for="ch" forName="bullet2a" refType="w" fact="0.035"/>
                    <dgm:constr type="h" for="ch" forName="bullet2a" refType="w" refFor="ch" refForName="bullet2a"/>
                    <dgm:constr type="l" for="ch" forName="textBox2a" refType="ctrX" refFor="ch" refForName="bullet2a"/>
                    <dgm:constr type="t" for="ch" forName="textBox2a" refType="ctrY" refFor="ch" refForName="bullet2a"/>
                    <dgm:constr type="w" for="ch" forName="textBox2a" refType="w" fact="0.325"/>
                    <dgm:constr type="h" for="ch" forName="textBox2a" refType="h" fact="0.427"/>
                    <dgm:constr type="userA" refType="h" refFor="ch" refForName="bullet2a" fact="0.53"/>
                    <dgm:constr type="l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l" for="ch" forName="textBox2b" refType="ctrX" refFor="ch" refForName="bullet2b"/>
                    <dgm:constr type="t" for="ch" forName="textBox2b" refType="ctrY" refFor="ch" refForName="bullet2b"/>
                    <dgm:constr type="w" for="ch" forName="textBox2b" refType="w" fact="0.325"/>
                    <dgm:constr type="h" for="ch" forName="textBox2b" refType="h" fact="0.662"/>
                    <dgm:constr type="userB" refType="h" refFor="ch" refForName="bullet2b" fact="0.53"/>
                    <dgm:constr type="lMarg" for="ch" forName="textBox2b" refType="userB" fact="2.834"/>
                    <dgm:constr type="primFontSz" for="ch" ptType="node" op="equ" val="65"/>
                  </dgm:constrLst>
                </dgm:if>
                <dgm:else name="Name9">
                  <dgm:constrLst>
                    <dgm:constr type="ctrX" for="ch" forName="bullet2a" refType="w" fact="0.25"/>
                    <dgm:constr type="ctrY" for="ch" forName="bullet2a" refType="h" fact="0.573"/>
                    <dgm:constr type="w" for="ch" forName="bullet2a" refType="w" fact="0.035"/>
                    <dgm:constr type="h" for="ch" forName="bullet2a" refType="w" refFor="ch" refForName="bullet2a"/>
                    <dgm:constr type="r" for="ch" forName="textBox2a" refType="ctrX" refFor="ch" refForName="bullet2a"/>
                    <dgm:constr type="b" for="ch" forName="textBox2a" refType="ctrY" refFor="ch" refForName="bullet2a"/>
                    <dgm:constr type="w" for="ch" forName="textBox2a" refType="w" fact="0.25"/>
                    <dgm:constr type="h" for="ch" forName="textBox2a" refType="h" fact="0.573"/>
                    <dgm:constr type="userA" refType="h" refFor="ch" refForName="bullet2a" fact="0.53"/>
                    <dgm:constr type="r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r" for="ch" forName="textBox2b" refType="ctrX" refFor="ch" refForName="bullet2b"/>
                    <dgm:constr type="b" for="ch" forName="textBox2b" refType="ctrY" refFor="ch" refForName="bullet2b"/>
                    <dgm:constr type="w" for="ch" forName="textBox2b" refType="w" fact="0.28"/>
                    <dgm:constr type="h" for="ch" forName="textBox2b" refType="h" fact="0.338"/>
                    <dgm:constr type="userB" refType="h" refFor="ch" refForName="bullet2b" fact="0.53"/>
                    <dgm:constr type="rMarg" for="ch" forName="textBox2b" refType="userB" fact="2.834"/>
                    <dgm:constr type="primFontSz" for="ch" ptType="node" op="equ" val="65"/>
                  </dgm:constrLst>
                </dgm:else>
              </dgm:choose>
              <dgm:ruleLst/>
              <dgm:forEach name="Name10" axis="ch" ptType="node" cnt="1">
                <dgm:layoutNode name="bullet2a" styleLbl="node1">
                  <dgm:alg type="sp"/>
                  <dgm:shape xmlns:r="http://schemas.openxmlformats.org/officeDocument/2006/relationships" type="ellipse" r:blip="">
                    <dgm:adjLst/>
                  </dgm:shape>
                  <dgm:presOf/>
                  <dgm:constrLst/>
                  <dgm:ruleLst/>
                </dgm:layoutNode>
                <dgm:layoutNode name="textBox2a" styleLbl="revTx">
                  <dgm:varLst>
                    <dgm:bulletEnabled val="1"/>
                  </dgm:varLst>
                  <dgm:choose name="Name11">
                    <dgm:if name="Name12" func="var" arg="dir" op="equ" val="norm">
                      <dgm:choose name="Name13">
                        <dgm:if name="Name14" axis="root des" ptType="all node" func="maxDepth" op="gt" val="1">
                          <dgm:alg type="tx">
                            <dgm:param type="txAnchorVert" val="t"/>
                            <dgm:param type="parTxLTRAlign" val="l"/>
                            <dgm:param type="parTxRTLAlign" val="r"/>
                          </dgm:alg>
                        </dgm:if>
                        <dgm:else name="Name15">
                          <dgm:alg type="tx">
                            <dgm:param type="txAnchorVert" val="t"/>
                            <dgm:param type="parTxLTRAlign" val="l"/>
                            <dgm:param type="parTxRTLAlign" val="l"/>
                          </dgm:alg>
                        </dgm:else>
                      </dgm:choose>
                    </dgm:if>
                    <dgm:else name="Name16">
                      <dgm:choose name="Name17">
                        <dgm:if name="Name18" axis="root des" ptType="all node" func="maxDepth" op="gt" val="1">
                          <dgm:alg type="tx">
                            <dgm:param type="txAnchorVert" val="b"/>
                            <dgm:param type="txAnchorVertCh" val="b"/>
                            <dgm:param type="parTxLTRAlign" val="l"/>
                            <dgm:param type="parTxRTLAlign" val="r"/>
                          </dgm:alg>
                        </dgm:if>
                        <dgm:else name="Name1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
                    <dgm:if name="Name21" func="var" arg="dir" op="equ" val="norm">
                      <dgm:constrLst>
                        <dgm:constr type="rMarg"/>
                        <dgm:constr type="tMarg"/>
                        <dgm:constr type="bMarg"/>
                      </dgm:constrLst>
                    </dgm:if>
                    <dgm:else name="Name22">
                      <dgm:constrLst>
                        <dgm:constr type="lMarg"/>
                        <dgm:constr type="tMarg"/>
                        <dgm:constr type="bMarg"/>
                      </dgm:constrLst>
                    </dgm:else>
                  </dgm:choose>
                  <dgm:ruleLst>
                    <dgm:rule type="primFontSz" val="5" fact="NaN" max="NaN"/>
                  </dgm:ruleLst>
                </dgm:layoutNode>
              </dgm:forEach>
              <dgm:forEach name="Name23" axis="ch" ptType="node" st="2" cnt="1">
                <dgm:layoutNode name="bullet2b" styleLbl="node1">
                  <dgm:alg type="sp"/>
                  <dgm:shape xmlns:r="http://schemas.openxmlformats.org/officeDocument/2006/relationships" type="ellipse" r:blip="">
                    <dgm:adjLst/>
                  </dgm:shape>
                  <dgm:presOf/>
                  <dgm:constrLst/>
                  <dgm:ruleLst/>
                </dgm:layoutNode>
                <dgm:layoutNode name="textBox2b" styleLbl="revTx">
                  <dgm:varLst>
                    <dgm:bulletEnabled val="1"/>
                  </dgm:varLst>
                  <dgm:choose name="Name24">
                    <dgm:if name="Name25" func="var" arg="dir" op="equ" val="norm">
                      <dgm:choose name="Name26">
                        <dgm:if name="Name27" axis="root des" ptType="all node" func="maxDepth" op="gt" val="1">
                          <dgm:alg type="tx">
                            <dgm:param type="txAnchorVert" val="t"/>
                            <dgm:param type="parTxLTRAlign" val="l"/>
                            <dgm:param type="parTxRTLAlign" val="r"/>
                          </dgm:alg>
                        </dgm:if>
                        <dgm:else name="Name28">
                          <dgm:alg type="tx">
                            <dgm:param type="txAnchorVert" val="t"/>
                            <dgm:param type="parTxLTRAlign" val="l"/>
                            <dgm:param type="parTxRTLAlign" val="l"/>
                          </dgm:alg>
                        </dgm:else>
                      </dgm:choose>
                    </dgm:if>
                    <dgm:else name="Name29">
                      <dgm:choose name="Name30">
                        <dgm:if name="Name31" axis="root des" ptType="all node" func="maxDepth" op="gt" val="1">
                          <dgm:alg type="tx">
                            <dgm:param type="txAnchorVert" val="b"/>
                            <dgm:param type="txAnchorVertCh" val="b"/>
                            <dgm:param type="parTxLTRAlign" val="l"/>
                            <dgm:param type="parTxRTLAlign" val="r"/>
                          </dgm:alg>
                        </dgm:if>
                        <dgm:else name="Name3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33">
                    <dgm:if name="Name34" func="var" arg="dir" op="equ" val="norm">
                      <dgm:constrLst>
                        <dgm:constr type="rMarg"/>
                        <dgm:constr type="tMarg"/>
                        <dgm:constr type="bMarg"/>
                      </dgm:constrLst>
                    </dgm:if>
                    <dgm:else name="Name35">
                      <dgm:constrLst>
                        <dgm:constr type="lMarg"/>
                        <dgm:constr type="tMarg"/>
                        <dgm:constr type="bMarg"/>
                      </dgm:constrLst>
                    </dgm:else>
                  </dgm:choose>
                  <dgm:ruleLst>
                    <dgm:rule type="primFontSz" val="5" fact="NaN" max="NaN"/>
                  </dgm:ruleLst>
                </dgm:layoutNode>
              </dgm:forEach>
            </dgm:layoutNode>
          </dgm:if>
          <dgm:if name="Name36" axis="ch" ptType="node" func="cnt" op="equ" val="3">
            <dgm:layoutNode name="arrowDiagram3">
              <dgm:alg type="composite">
                <dgm:param type="vertAlign" val="none"/>
                <dgm:param type="horzAlign" val="none"/>
              </dgm:alg>
              <dgm:shape xmlns:r="http://schemas.openxmlformats.org/officeDocument/2006/relationships" r:blip="">
                <dgm:adjLst/>
              </dgm:shape>
              <dgm:presOf/>
              <dgm:choose name="Name37">
                <dgm:if name="Name38" func="var" arg="dir" op="equ" val="norm">
                  <dgm:constrLst>
                    <dgm:constr type="ctrX" for="ch" forName="bullet3a" refType="w" fact="0.14"/>
                    <dgm:constr type="ctrY" for="ch" forName="bullet3a" refType="h" fact="0.711"/>
                    <dgm:constr type="w" for="ch" forName="bullet3a" refType="w" fact="0.026"/>
                    <dgm:constr type="h" for="ch" forName="bullet3a" refType="w" refFor="ch" refForName="bullet3a"/>
                    <dgm:constr type="l" for="ch" forName="textBox3a" refType="ctrX" refFor="ch" refForName="bullet3a"/>
                    <dgm:constr type="t" for="ch" forName="textBox3a" refType="ctrY" refFor="ch" refForName="bullet3a"/>
                    <dgm:constr type="w" for="ch" forName="textBox3a" refType="w" fact="0.233"/>
                    <dgm:constr type="h" for="ch" forName="textBox3a" refType="h" fact="0.289"/>
                    <dgm:constr type="userA" refType="h" refFor="ch" refForName="bullet3a" fact="0.53"/>
                    <dgm:constr type="l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l" for="ch" forName="textBox3b" refType="ctrX" refFor="ch" refForName="bullet3b"/>
                    <dgm:constr type="t" for="ch" forName="textBox3b" refType="ctrY" refFor="ch" refForName="bullet3b"/>
                    <dgm:constr type="w" for="ch" forName="textBox3b" refType="w" fact="0.24"/>
                    <dgm:constr type="h" for="ch" forName="textBox3b" refType="h" fact="0.544"/>
                    <dgm:constr type="userB" refType="h" refFor="ch" refForName="bullet3b" fact="0.53"/>
                    <dgm:constr type="l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l" for="ch" forName="textBox3c" refType="ctrX" refFor="ch" refForName="bullet3c"/>
                    <dgm:constr type="t" for="ch" forName="textBox3c" refType="ctrY" refFor="ch" refForName="bullet3c"/>
                    <dgm:constr type="w" for="ch" forName="textBox3c" refType="w" fact="0.24"/>
                    <dgm:constr type="h" for="ch" forName="textBox3c" refType="h" fact="0.695"/>
                    <dgm:constr type="userC" refType="h" refFor="ch" refForName="bullet3c" fact="0.53"/>
                    <dgm:constr type="lMarg" for="ch" forName="textBox3c" refType="userC" fact="2.834"/>
                    <dgm:constr type="primFontSz" for="ch" ptType="node" op="equ" val="65"/>
                  </dgm:constrLst>
                </dgm:if>
                <dgm:else name="Name39">
                  <dgm:constrLst>
                    <dgm:constr type="ctrX" for="ch" forName="bullet3a" refType="w" fact="0.14"/>
                    <dgm:constr type="ctrY" for="ch" forName="bullet3a" refType="h" fact="0.711"/>
                    <dgm:constr type="w" for="ch" forName="bullet3a" refType="w" fact="0.026"/>
                    <dgm:constr type="h" for="ch" forName="bullet3a" refType="w" refFor="ch" refForName="bullet3a"/>
                    <dgm:constr type="r" for="ch" forName="textBox3a" refType="ctrX" refFor="ch" refForName="bullet3a"/>
                    <dgm:constr type="b" for="ch" forName="textBox3a" refType="ctrY" refFor="ch" refForName="bullet3a"/>
                    <dgm:constr type="w" for="ch" forName="textBox3a" refType="w" fact="0.14"/>
                    <dgm:constr type="h" for="ch" forName="textBox3a" refType="h" fact="0.711"/>
                    <dgm:constr type="userA" refType="h" refFor="ch" refForName="bullet3a" fact="0.53"/>
                    <dgm:constr type="r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r" for="ch" forName="textBox3b" refType="ctrX" refFor="ch" refForName="bullet3b"/>
                    <dgm:constr type="b" for="ch" forName="textBox3b" refType="ctrY" refFor="ch" refForName="bullet3b"/>
                    <dgm:constr type="w" for="ch" forName="textBox3b" refType="w" fact="0.24"/>
                    <dgm:constr type="h" for="ch" forName="textBox3b" refType="h" fact="0.456"/>
                    <dgm:constr type="userB" refType="h" refFor="ch" refForName="bullet3b" fact="0.53"/>
                    <dgm:constr type="r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r" for="ch" forName="textBox3c" refType="ctrX" refFor="ch" refForName="bullet3c"/>
                    <dgm:constr type="b" for="ch" forName="textBox3c" refType="ctrY" refFor="ch" refForName="bullet3c"/>
                    <dgm:constr type="w" for="ch" forName="textBox3c" refType="w" fact="0.24"/>
                    <dgm:constr type="h" for="ch" forName="textBox3c" refType="h" fact="0.305"/>
                    <dgm:constr type="userC" refType="h" refFor="ch" refForName="bullet3c" fact="0.53"/>
                    <dgm:constr type="rMarg" for="ch" forName="textBox3c" refType="userC" fact="2.834"/>
                    <dgm:constr type="primFontSz" for="ch" ptType="node" op="equ" val="65"/>
                  </dgm:constrLst>
                </dgm:else>
              </dgm:choose>
              <dgm:ruleLst/>
              <dgm:forEach name="Name40" axis="ch" ptType="node" cnt="1">
                <dgm:layoutNode name="bullet3a" styleLbl="node1">
                  <dgm:alg type="sp"/>
                  <dgm:shape xmlns:r="http://schemas.openxmlformats.org/officeDocument/2006/relationships" type="ellipse" r:blip="">
                    <dgm:adjLst/>
                  </dgm:shape>
                  <dgm:presOf/>
                  <dgm:constrLst/>
                  <dgm:ruleLst/>
                </dgm:layoutNode>
                <dgm:layoutNode name="textBox3a" styleLbl="revTx">
                  <dgm:varLst>
                    <dgm:bulletEnabled val="1"/>
                  </dgm:varLst>
                  <dgm:choose name="Name41">
                    <dgm:if name="Name42" func="var" arg="dir" op="equ" val="norm">
                      <dgm:choose name="Name43">
                        <dgm:if name="Name44" axis="root des" ptType="all node" func="maxDepth" op="gt" val="1">
                          <dgm:alg type="tx">
                            <dgm:param type="txAnchorVert" val="t"/>
                            <dgm:param type="parTxLTRAlign" val="l"/>
                            <dgm:param type="parTxRTLAlign" val="r"/>
                          </dgm:alg>
                        </dgm:if>
                        <dgm:else name="Name45">
                          <dgm:alg type="tx">
                            <dgm:param type="txAnchorVert" val="t"/>
                            <dgm:param type="parTxLTRAlign" val="l"/>
                            <dgm:param type="parTxRTLAlign" val="l"/>
                          </dgm:alg>
                        </dgm:else>
                      </dgm:choose>
                    </dgm:if>
                    <dgm:else name="Name46">
                      <dgm:choose name="Name47">
                        <dgm:if name="Name48" axis="root des" ptType="all node" func="maxDepth" op="gt" val="1">
                          <dgm:alg type="tx">
                            <dgm:param type="txAnchorVert" val="b"/>
                            <dgm:param type="txAnchorVertCh" val="b"/>
                            <dgm:param type="parTxLTRAlign" val="l"/>
                            <dgm:param type="parTxRTLAlign" val="r"/>
                          </dgm:alg>
                        </dgm:if>
                        <dgm:else name="Name4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50">
                    <dgm:if name="Name51" func="var" arg="dir" op="equ" val="norm">
                      <dgm:constrLst>
                        <dgm:constr type="rMarg"/>
                        <dgm:constr type="tMarg"/>
                        <dgm:constr type="bMarg"/>
                      </dgm:constrLst>
                    </dgm:if>
                    <dgm:else name="Name52">
                      <dgm:constrLst>
                        <dgm:constr type="lMarg"/>
                        <dgm:constr type="tMarg"/>
                        <dgm:constr type="bMarg"/>
                      </dgm:constrLst>
                    </dgm:else>
                  </dgm:choose>
                  <dgm:ruleLst>
                    <dgm:rule type="primFontSz" val="5" fact="NaN" max="NaN"/>
                  </dgm:ruleLst>
                </dgm:layoutNode>
              </dgm:forEach>
              <dgm:forEach name="Name53" axis="ch" ptType="node" st="2" cnt="1">
                <dgm:layoutNode name="bullet3b" styleLbl="node1">
                  <dgm:alg type="sp"/>
                  <dgm:shape xmlns:r="http://schemas.openxmlformats.org/officeDocument/2006/relationships" type="ellipse" r:blip="">
                    <dgm:adjLst/>
                  </dgm:shape>
                  <dgm:presOf/>
                  <dgm:constrLst/>
                  <dgm:ruleLst/>
                </dgm:layoutNode>
                <dgm:layoutNode name="textBox3b" styleLbl="revTx">
                  <dgm:varLst>
                    <dgm:bulletEnabled val="1"/>
                  </dgm:varLst>
                  <dgm:choose name="Name54">
                    <dgm:if name="Name55" func="var" arg="dir" op="equ" val="norm">
                      <dgm:choose name="Name56">
                        <dgm:if name="Name57" axis="root des" ptType="all node" func="maxDepth" op="gt" val="1">
                          <dgm:alg type="tx">
                            <dgm:param type="txAnchorVert" val="t"/>
                            <dgm:param type="parTxLTRAlign" val="l"/>
                            <dgm:param type="parTxRTLAlign" val="r"/>
                          </dgm:alg>
                        </dgm:if>
                        <dgm:else name="Name58">
                          <dgm:alg type="tx">
                            <dgm:param type="txAnchorVert" val="t"/>
                            <dgm:param type="parTxLTRAlign" val="l"/>
                            <dgm:param type="parTxRTLAlign" val="l"/>
                          </dgm:alg>
                        </dgm:else>
                      </dgm:choose>
                    </dgm:if>
                    <dgm:else name="Name59">
                      <dgm:choose name="Name60">
                        <dgm:if name="Name61" axis="root des" ptType="all node" func="maxDepth" op="gt" val="1">
                          <dgm:alg type="tx">
                            <dgm:param type="txAnchorVert" val="b"/>
                            <dgm:param type="txAnchorVertCh" val="b"/>
                            <dgm:param type="parTxLTRAlign" val="l"/>
                            <dgm:param type="parTxRTLAlign" val="r"/>
                          </dgm:alg>
                        </dgm:if>
                        <dgm:else name="Name6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63">
                    <dgm:if name="Name64" func="var" arg="dir" op="equ" val="norm">
                      <dgm:constrLst>
                        <dgm:constr type="rMarg"/>
                        <dgm:constr type="tMarg"/>
                        <dgm:constr type="bMarg"/>
                      </dgm:constrLst>
                    </dgm:if>
                    <dgm:else name="Name65">
                      <dgm:constrLst>
                        <dgm:constr type="lMarg"/>
                        <dgm:constr type="tMarg"/>
                        <dgm:constr type="bMarg"/>
                      </dgm:constrLst>
                    </dgm:else>
                  </dgm:choose>
                  <dgm:ruleLst>
                    <dgm:rule type="primFontSz" val="5" fact="NaN" max="NaN"/>
                  </dgm:ruleLst>
                </dgm:layoutNode>
              </dgm:forEach>
              <dgm:forEach name="Name66" axis="ch" ptType="node" st="3" cnt="1">
                <dgm:layoutNode name="bullet3c" styleLbl="node1">
                  <dgm:alg type="sp"/>
                  <dgm:shape xmlns:r="http://schemas.openxmlformats.org/officeDocument/2006/relationships" type="ellipse" r:blip="">
                    <dgm:adjLst/>
                  </dgm:shape>
                  <dgm:presOf/>
                  <dgm:constrLst/>
                  <dgm:ruleLst/>
                </dgm:layoutNode>
                <dgm:layoutNode name="textBox3c" styleLbl="revTx">
                  <dgm:varLst>
                    <dgm:bulletEnabled val="1"/>
                  </dgm:varLst>
                  <dgm:choose name="Name67">
                    <dgm:if name="Name68" func="var" arg="dir" op="equ" val="norm">
                      <dgm:choose name="Name69">
                        <dgm:if name="Name70" axis="root des" ptType="all node" func="maxDepth" op="gt" val="1">
                          <dgm:alg type="tx">
                            <dgm:param type="txAnchorVert" val="t"/>
                            <dgm:param type="parTxLTRAlign" val="l"/>
                            <dgm:param type="parTxRTLAlign" val="r"/>
                          </dgm:alg>
                        </dgm:if>
                        <dgm:else name="Name71">
                          <dgm:alg type="tx">
                            <dgm:param type="txAnchorVert" val="t"/>
                            <dgm:param type="parTxLTRAlign" val="l"/>
                            <dgm:param type="parTxRTLAlign" val="l"/>
                          </dgm:alg>
                        </dgm:else>
                      </dgm:choose>
                    </dgm:if>
                    <dgm:else name="Name72">
                      <dgm:choose name="Name73">
                        <dgm:if name="Name74" axis="root des" ptType="all node" func="maxDepth" op="gt" val="1">
                          <dgm:alg type="tx">
                            <dgm:param type="txAnchorVert" val="b"/>
                            <dgm:param type="txAnchorVertCh" val="b"/>
                            <dgm:param type="parTxLTRAlign" val="l"/>
                            <dgm:param type="parTxRTLAlign" val="r"/>
                          </dgm:alg>
                        </dgm:if>
                        <dgm:else name="Name7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76">
                    <dgm:if name="Name77" func="var" arg="dir" op="equ" val="norm">
                      <dgm:constrLst>
                        <dgm:constr type="rMarg"/>
                        <dgm:constr type="tMarg"/>
                        <dgm:constr type="bMarg"/>
                      </dgm:constrLst>
                    </dgm:if>
                    <dgm:else name="Name78">
                      <dgm:constrLst>
                        <dgm:constr type="lMarg"/>
                        <dgm:constr type="tMarg"/>
                        <dgm:constr type="bMarg"/>
                      </dgm:constrLst>
                    </dgm:else>
                  </dgm:choose>
                  <dgm:ruleLst>
                    <dgm:rule type="primFontSz" val="5" fact="NaN" max="NaN"/>
                  </dgm:ruleLst>
                </dgm:layoutNode>
              </dgm:forEach>
            </dgm:layoutNode>
          </dgm:if>
          <dgm:if name="Name79" axis="ch" ptType="node" func="cnt" op="equ" val="4">
            <dgm:layoutNode name="arrowDiagram4">
              <dgm:alg type="composite">
                <dgm:param type="vertAlign" val="none"/>
                <dgm:param type="horzAlign" val="none"/>
              </dgm:alg>
              <dgm:shape xmlns:r="http://schemas.openxmlformats.org/officeDocument/2006/relationships" r:blip="">
                <dgm:adjLst/>
              </dgm:shape>
              <dgm:presOf/>
              <dgm:choose name="Name80">
                <dgm:if name="Name81" func="var" arg="dir" op="equ" val="norm">
                  <dgm:constrLst>
                    <dgm:constr type="ctrX" for="ch" forName="bullet4a" refType="w" fact="0.11"/>
                    <dgm:constr type="ctrY" for="ch" forName="bullet4a" refType="h" fact="0.762"/>
                    <dgm:constr type="w" for="ch" forName="bullet4a" refType="w" fact="0.023"/>
                    <dgm:constr type="h" for="ch" forName="bullet4a" refType="w" refFor="ch" refForName="bullet4a"/>
                    <dgm:constr type="l" for="ch" forName="textBox4a" refType="ctrX" refFor="ch" refForName="bullet4a"/>
                    <dgm:constr type="t" for="ch" forName="textBox4a" refType="ctrY" refFor="ch" refForName="bullet4a"/>
                    <dgm:constr type="w" for="ch" forName="textBox4a" refType="w" fact="0.171"/>
                    <dgm:constr type="h" for="ch" forName="textBox4a" refType="h" fact="0.238"/>
                    <dgm:constr type="userA" refType="h" refFor="ch" refForName="bullet4a" fact="0.53"/>
                    <dgm:constr type="l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l" for="ch" forName="textBox4b" refType="ctrX" refFor="ch" refForName="bullet4b"/>
                    <dgm:constr type="t" for="ch" forName="textBox4b" refType="ctrY" refFor="ch" refForName="bullet4b"/>
                    <dgm:constr type="w" for="ch" forName="textBox4b" refType="w" fact="0.21"/>
                    <dgm:constr type="h" for="ch" forName="textBox4b" refType="h" fact="0.457"/>
                    <dgm:constr type="userB" refType="h" refFor="ch" refForName="bullet4b" fact="0.53"/>
                    <dgm:constr type="l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l" for="ch" forName="textBox4c" refType="ctrX" refFor="ch" refForName="bullet4c"/>
                    <dgm:constr type="t" for="ch" forName="textBox4c" refType="ctrY" refFor="ch" refForName="bullet4c"/>
                    <dgm:constr type="w" for="ch" forName="textBox4c" refType="w" fact="0.21"/>
                    <dgm:constr type="h" for="ch" forName="textBox4c" refType="h" fact="0.618"/>
                    <dgm:constr type="userC" refType="h" refFor="ch" refForName="bullet4c" fact="0.53"/>
                    <dgm:constr type="l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l" for="ch" forName="textBox4d" refType="ctrX" refFor="ch" refForName="bullet4d"/>
                    <dgm:constr type="t" for="ch" forName="textBox4d" refType="ctrY" refFor="ch" refForName="bullet4d"/>
                    <dgm:constr type="w" for="ch" forName="textBox4d" refType="w" fact="0.21"/>
                    <dgm:constr type="h" for="ch" forName="textBox4d" refType="h" fact="0.717"/>
                    <dgm:constr type="userD" refType="h" refFor="ch" refForName="bullet4d" fact="0.53"/>
                    <dgm:constr type="lMarg" for="ch" forName="textBox4d" refType="userD" fact="2.834"/>
                    <dgm:constr type="primFontSz" for="ch" ptType="node" op="equ" val="65"/>
                  </dgm:constrLst>
                </dgm:if>
                <dgm:else name="Name82">
                  <dgm:constrLst>
                    <dgm:constr type="ctrX" for="ch" forName="bullet4a" refType="w" fact="0.11"/>
                    <dgm:constr type="ctrY" for="ch" forName="bullet4a" refType="h" fact="0.762"/>
                    <dgm:constr type="w" for="ch" forName="bullet4a" refType="w" fact="0.023"/>
                    <dgm:constr type="h" for="ch" forName="bullet4a" refType="w" refFor="ch" refForName="bullet4a"/>
                    <dgm:constr type="r" for="ch" forName="textBox4a" refType="ctrX" refFor="ch" refForName="bullet4a"/>
                    <dgm:constr type="b" for="ch" forName="textBox4a" refType="ctrY" refFor="ch" refForName="bullet4a"/>
                    <dgm:constr type="w" for="ch" forName="textBox4a" refType="w" fact="0.11"/>
                    <dgm:constr type="h" for="ch" forName="textBox4a" refType="h" fact="0.762"/>
                    <dgm:constr type="userA" refType="h" refFor="ch" refForName="bullet4a" fact="0.53"/>
                    <dgm:constr type="r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r" for="ch" forName="textBox4b" refType="ctrX" refFor="ch" refForName="bullet4b"/>
                    <dgm:constr type="b" for="ch" forName="textBox4b" refType="ctrY" refFor="ch" refForName="bullet4b"/>
                    <dgm:constr type="w" for="ch" forName="textBox4b" refType="w" fact="0.171"/>
                    <dgm:constr type="h" for="ch" forName="textBox4b" refType="h" fact="0.543"/>
                    <dgm:constr type="userB" refType="h" refFor="ch" refForName="bullet4b" fact="0.53"/>
                    <dgm:constr type="r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r" for="ch" forName="textBox4c" refType="ctrX" refFor="ch" refForName="bullet4c"/>
                    <dgm:constr type="b" for="ch" forName="textBox4c" refType="ctrY" refFor="ch" refForName="bullet4c"/>
                    <dgm:constr type="w" for="ch" forName="textBox4c" refType="w" fact="0.21"/>
                    <dgm:constr type="h" for="ch" forName="textBox4c" refType="h" fact="0.382"/>
                    <dgm:constr type="userC" refType="h" refFor="ch" refForName="bullet4c" fact="0.53"/>
                    <dgm:constr type="r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r" for="ch" forName="textBox4d" refType="ctrX" refFor="ch" refForName="bullet4d"/>
                    <dgm:constr type="b" for="ch" forName="textBox4d" refType="ctrY" refFor="ch" refForName="bullet4d"/>
                    <dgm:constr type="w" for="ch" forName="textBox4d" refType="w" fact="0.21"/>
                    <dgm:constr type="h" for="ch" forName="textBox4d" refType="h" fact="0.283"/>
                    <dgm:constr type="userD" refType="h" refFor="ch" refForName="bullet4d" fact="0.53"/>
                    <dgm:constr type="rMarg" for="ch" forName="textBox4d" refType="userD" fact="2.834"/>
                    <dgm:constr type="primFontSz" for="ch" ptType="node" op="equ" val="65"/>
                  </dgm:constrLst>
                </dgm:else>
              </dgm:choose>
              <dgm:ruleLst/>
              <dgm:forEach name="Name83" axis="ch" ptType="node" cnt="1">
                <dgm:layoutNode name="bullet4a" styleLbl="node1">
                  <dgm:alg type="sp"/>
                  <dgm:shape xmlns:r="http://schemas.openxmlformats.org/officeDocument/2006/relationships" type="ellipse" r:blip="">
                    <dgm:adjLst/>
                  </dgm:shape>
                  <dgm:presOf/>
                  <dgm:constrLst/>
                  <dgm:ruleLst/>
                </dgm:layoutNode>
                <dgm:layoutNode name="textBox4a" styleLbl="revTx">
                  <dgm:varLst>
                    <dgm:bulletEnabled val="1"/>
                  </dgm:varLst>
                  <dgm:choose name="Name84">
                    <dgm:if name="Name85" func="var" arg="dir" op="equ" val="norm">
                      <dgm:choose name="Name86">
                        <dgm:if name="Name87" axis="root des" ptType="all node" func="maxDepth" op="gt" val="1">
                          <dgm:alg type="tx">
                            <dgm:param type="txAnchorVert" val="t"/>
                            <dgm:param type="parTxLTRAlign" val="l"/>
                            <dgm:param type="parTxRTLAlign" val="r"/>
                          </dgm:alg>
                        </dgm:if>
                        <dgm:else name="Name88">
                          <dgm:alg type="tx">
                            <dgm:param type="txAnchorVert" val="t"/>
                            <dgm:param type="parTxLTRAlign" val="l"/>
                            <dgm:param type="parTxRTLAlign" val="l"/>
                          </dgm:alg>
                        </dgm:else>
                      </dgm:choose>
                    </dgm:if>
                    <dgm:else name="Name89">
                      <dgm:choose name="Name90">
                        <dgm:if name="Name91" axis="root des" ptType="all node" func="maxDepth" op="gt" val="1">
                          <dgm:alg type="tx">
                            <dgm:param type="txAnchorVert" val="b"/>
                            <dgm:param type="txAnchorVertCh" val="b"/>
                            <dgm:param type="parTxLTRAlign" val="l"/>
                            <dgm:param type="parTxRTLAlign" val="r"/>
                          </dgm:alg>
                        </dgm:if>
                        <dgm:else name="Name9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93">
                    <dgm:if name="Name94" func="var" arg="dir" op="equ" val="norm">
                      <dgm:constrLst>
                        <dgm:constr type="rMarg"/>
                        <dgm:constr type="tMarg"/>
                        <dgm:constr type="bMarg"/>
                      </dgm:constrLst>
                    </dgm:if>
                    <dgm:else name="Name95">
                      <dgm:constrLst>
                        <dgm:constr type="lMarg"/>
                        <dgm:constr type="tMarg"/>
                        <dgm:constr type="bMarg"/>
                      </dgm:constrLst>
                    </dgm:else>
                  </dgm:choose>
                  <dgm:ruleLst>
                    <dgm:rule type="primFontSz" val="5" fact="NaN" max="NaN"/>
                  </dgm:ruleLst>
                </dgm:layoutNode>
              </dgm:forEach>
              <dgm:forEach name="Name96" axis="ch" ptType="node" st="2" cnt="1">
                <dgm:layoutNode name="bullet4b" styleLbl="node1">
                  <dgm:alg type="sp"/>
                  <dgm:shape xmlns:r="http://schemas.openxmlformats.org/officeDocument/2006/relationships" type="ellipse" r:blip="">
                    <dgm:adjLst/>
                  </dgm:shape>
                  <dgm:presOf/>
                  <dgm:constrLst/>
                  <dgm:ruleLst/>
                </dgm:layoutNode>
                <dgm:layoutNode name="textBox4b" styleLbl="revTx">
                  <dgm:varLst>
                    <dgm:bulletEnabled val="1"/>
                  </dgm:varLst>
                  <dgm:choose name="Name97">
                    <dgm:if name="Name98" func="var" arg="dir" op="equ" val="norm">
                      <dgm:choose name="Name99">
                        <dgm:if name="Name100" axis="root des" ptType="all node" func="maxDepth" op="gt" val="1">
                          <dgm:alg type="tx">
                            <dgm:param type="txAnchorVert" val="t"/>
                            <dgm:param type="parTxLTRAlign" val="l"/>
                            <dgm:param type="parTxRTLAlign" val="r"/>
                          </dgm:alg>
                        </dgm:if>
                        <dgm:else name="Name101">
                          <dgm:alg type="tx">
                            <dgm:param type="txAnchorVert" val="t"/>
                            <dgm:param type="parTxLTRAlign" val="l"/>
                            <dgm:param type="parTxRTLAlign" val="l"/>
                          </dgm:alg>
                        </dgm:else>
                      </dgm:choose>
                    </dgm:if>
                    <dgm:else name="Name102">
                      <dgm:choose name="Name103">
                        <dgm:if name="Name104" axis="root des" ptType="all node" func="maxDepth" op="gt" val="1">
                          <dgm:alg type="tx">
                            <dgm:param type="txAnchorVert" val="b"/>
                            <dgm:param type="txAnchorVertCh" val="b"/>
                            <dgm:param type="parTxLTRAlign" val="l"/>
                            <dgm:param type="parTxRTLAlign" val="r"/>
                          </dgm:alg>
                        </dgm:if>
                        <dgm:else name="Name10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06">
                    <dgm:if name="Name107" func="var" arg="dir" op="equ" val="norm">
                      <dgm:constrLst>
                        <dgm:constr type="rMarg"/>
                        <dgm:constr type="tMarg"/>
                        <dgm:constr type="bMarg"/>
                      </dgm:constrLst>
                    </dgm:if>
                    <dgm:else name="Name108">
                      <dgm:constrLst>
                        <dgm:constr type="lMarg"/>
                        <dgm:constr type="tMarg"/>
                        <dgm:constr type="bMarg"/>
                      </dgm:constrLst>
                    </dgm:else>
                  </dgm:choose>
                  <dgm:ruleLst>
                    <dgm:rule type="primFontSz" val="5" fact="NaN" max="NaN"/>
                  </dgm:ruleLst>
                </dgm:layoutNode>
              </dgm:forEach>
              <dgm:forEach name="Name109" axis="ch" ptType="node" st="3" cnt="1">
                <dgm:layoutNode name="bullet4c" styleLbl="node1">
                  <dgm:alg type="sp"/>
                  <dgm:shape xmlns:r="http://schemas.openxmlformats.org/officeDocument/2006/relationships" type="ellipse" r:blip="">
                    <dgm:adjLst/>
                  </dgm:shape>
                  <dgm:presOf/>
                  <dgm:constrLst/>
                  <dgm:ruleLst/>
                </dgm:layoutNode>
                <dgm:layoutNode name="textBox4c" styleLbl="revTx">
                  <dgm:varLst>
                    <dgm:bulletEnabled val="1"/>
                  </dgm:varLst>
                  <dgm:choose name="Name110">
                    <dgm:if name="Name111" func="var" arg="dir" op="equ" val="norm">
                      <dgm:choose name="Name112">
                        <dgm:if name="Name113" axis="root des" ptType="all node" func="maxDepth" op="gt" val="1">
                          <dgm:alg type="tx">
                            <dgm:param type="txAnchorVert" val="t"/>
                            <dgm:param type="parTxLTRAlign" val="l"/>
                            <dgm:param type="parTxRTLAlign" val="r"/>
                          </dgm:alg>
                        </dgm:if>
                        <dgm:else name="Name114">
                          <dgm:alg type="tx">
                            <dgm:param type="txAnchorVert" val="t"/>
                            <dgm:param type="parTxLTRAlign" val="l"/>
                            <dgm:param type="parTxRTLAlign" val="l"/>
                          </dgm:alg>
                        </dgm:else>
                      </dgm:choose>
                    </dgm:if>
                    <dgm:else name="Name115">
                      <dgm:choose name="Name116">
                        <dgm:if name="Name117" axis="root des" ptType="all node" func="maxDepth" op="gt" val="1">
                          <dgm:alg type="tx">
                            <dgm:param type="txAnchorVert" val="b"/>
                            <dgm:param type="txAnchorVertCh" val="b"/>
                            <dgm:param type="parTxLTRAlign" val="l"/>
                            <dgm:param type="parTxRTLAlign" val="r"/>
                          </dgm:alg>
                        </dgm:if>
                        <dgm:else name="Name11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19">
                    <dgm:if name="Name120" func="var" arg="dir" op="equ" val="norm">
                      <dgm:constrLst>
                        <dgm:constr type="rMarg"/>
                        <dgm:constr type="tMarg"/>
                        <dgm:constr type="bMarg"/>
                      </dgm:constrLst>
                    </dgm:if>
                    <dgm:else name="Name121">
                      <dgm:constrLst>
                        <dgm:constr type="lMarg"/>
                        <dgm:constr type="tMarg"/>
                        <dgm:constr type="bMarg"/>
                      </dgm:constrLst>
                    </dgm:else>
                  </dgm:choose>
                  <dgm:ruleLst>
                    <dgm:rule type="primFontSz" val="5" fact="NaN" max="NaN"/>
                  </dgm:ruleLst>
                </dgm:layoutNode>
              </dgm:forEach>
              <dgm:forEach name="Name122" axis="ch" ptType="node" st="4" cnt="1">
                <dgm:layoutNode name="bullet4d" styleLbl="node1">
                  <dgm:alg type="sp"/>
                  <dgm:shape xmlns:r="http://schemas.openxmlformats.org/officeDocument/2006/relationships" type="ellipse" r:blip="">
                    <dgm:adjLst/>
                  </dgm:shape>
                  <dgm:presOf/>
                  <dgm:constrLst/>
                  <dgm:ruleLst/>
                </dgm:layoutNode>
                <dgm:layoutNode name="textBox4d" styleLbl="revTx">
                  <dgm:varLst>
                    <dgm:bulletEnabled val="1"/>
                  </dgm:varLst>
                  <dgm:choose name="Name123">
                    <dgm:if name="Name124" func="var" arg="dir" op="equ" val="norm">
                      <dgm:choose name="Name125">
                        <dgm:if name="Name126" axis="root des" ptType="all node" func="maxDepth" op="gt" val="1">
                          <dgm:alg type="tx">
                            <dgm:param type="txAnchorVert" val="t"/>
                            <dgm:param type="parTxLTRAlign" val="l"/>
                            <dgm:param type="parTxRTLAlign" val="r"/>
                          </dgm:alg>
                        </dgm:if>
                        <dgm:else name="Name127">
                          <dgm:alg type="tx">
                            <dgm:param type="txAnchorVert" val="t"/>
                            <dgm:param type="parTxLTRAlign" val="l"/>
                            <dgm:param type="parTxRTLAlign" val="l"/>
                          </dgm:alg>
                        </dgm:else>
                      </dgm:choose>
                    </dgm:if>
                    <dgm:else name="Name128">
                      <dgm:choose name="Name129">
                        <dgm:if name="Name130" axis="root des" ptType="all node" func="maxDepth" op="gt" val="1">
                          <dgm:alg type="tx">
                            <dgm:param type="txAnchorVert" val="b"/>
                            <dgm:param type="txAnchorVertCh" val="b"/>
                            <dgm:param type="parTxLTRAlign" val="l"/>
                            <dgm:param type="parTxRTLAlign" val="r"/>
                          </dgm:alg>
                        </dgm:if>
                        <dgm:else name="Name13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32">
                    <dgm:if name="Name133" func="var" arg="dir" op="equ" val="norm">
                      <dgm:constrLst>
                        <dgm:constr type="rMarg"/>
                        <dgm:constr type="tMarg"/>
                        <dgm:constr type="bMarg"/>
                      </dgm:constrLst>
                    </dgm:if>
                    <dgm:else name="Name134">
                      <dgm:constrLst>
                        <dgm:constr type="lMarg"/>
                        <dgm:constr type="tMarg"/>
                        <dgm:constr type="bMarg"/>
                      </dgm:constrLst>
                    </dgm:else>
                  </dgm:choose>
                  <dgm:ruleLst>
                    <dgm:rule type="primFontSz" val="5" fact="NaN" max="NaN"/>
                  </dgm:ruleLst>
                </dgm:layoutNode>
              </dgm:forEach>
            </dgm:layoutNode>
          </dgm:if>
          <dgm:else name="Name135">
            <dgm:layoutNode name="arrowDiagram5">
              <dgm:alg type="composite">
                <dgm:param type="vertAlign" val="none"/>
                <dgm:param type="horzAlign" val="none"/>
              </dgm:alg>
              <dgm:shape xmlns:r="http://schemas.openxmlformats.org/officeDocument/2006/relationships" r:blip="">
                <dgm:adjLst/>
              </dgm:shape>
              <dgm:presOf/>
              <dgm:choose name="Name136">
                <dgm:if name="Name137" func="var" arg="dir" op="equ" val="norm">
                  <dgm:constrLst>
                    <dgm:constr type="ctrX" for="ch" forName="bullet5a" refType="w" fact="0.11"/>
                    <dgm:constr type="ctrY" for="ch" forName="bullet5a" refType="h" fact="0.762"/>
                    <dgm:constr type="w" for="ch" forName="bullet5a" refType="w" fact="0.023"/>
                    <dgm:constr type="h" for="ch" forName="bullet5a" refType="w" refFor="ch" refForName="bullet5a"/>
                    <dgm:constr type="l" for="ch" forName="textBox5a" refType="ctrX" refFor="ch" refForName="bullet5a"/>
                    <dgm:constr type="t" for="ch" forName="textBox5a" refType="ctrY" refFor="ch" refForName="bullet5a"/>
                    <dgm:constr type="w" for="ch" forName="textBox5a" refType="w" fact="0.131"/>
                    <dgm:constr type="h" for="ch" forName="textBox5a" refType="h" fact="0.238"/>
                    <dgm:constr type="userA" refType="h" refFor="ch" refForName="bullet5a" fact="0.53"/>
                    <dgm:constr type="l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l" for="ch" forName="textBox5b" refType="ctrX" refFor="ch" refForName="bullet5b"/>
                    <dgm:constr type="t" for="ch" forName="textBox5b" refType="ctrY" refFor="ch" refForName="bullet5b"/>
                    <dgm:constr type="w" for="ch" forName="textBox5b" refType="w" fact="0.166"/>
                    <dgm:constr type="h" for="ch" forName="textBox5b" refType="h" fact="0.419"/>
                    <dgm:constr type="userB" refType="h" refFor="ch" refForName="bullet5b" fact="0.53"/>
                    <dgm:constr type="l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l" for="ch" forName="textBox5c" refType="ctrX" refFor="ch" refForName="bullet5c"/>
                    <dgm:constr type="t" for="ch" forName="textBox5c" refType="ctrY" refFor="ch" refForName="bullet5c"/>
                    <dgm:constr type="w" for="ch" forName="textBox5c" refType="w" fact="0.193"/>
                    <dgm:constr type="h" for="ch" forName="textBox5c" refType="h" fact="0.562"/>
                    <dgm:constr type="userC" refType="h" refFor="ch" refForName="bullet5c" fact="0.53"/>
                    <dgm:constr type="l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l" for="ch" forName="textBox5d" refType="ctrX" refFor="ch" refForName="bullet5d"/>
                    <dgm:constr type="t" for="ch" forName="textBox5d" refType="ctrY" refFor="ch" refForName="bullet5d"/>
                    <dgm:constr type="w" for="ch" forName="textBox5d" refType="w" fact="0.2"/>
                    <dgm:constr type="h" for="ch" forName="textBox5d" refType="h" fact="0.67"/>
                    <dgm:constr type="userD" refType="h" refFor="ch" refForName="bullet5d" fact="0.53"/>
                    <dgm:constr type="l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l" for="ch" forName="textBox5e" refType="ctrX" refFor="ch" refForName="bullet5e"/>
                    <dgm:constr type="t" for="ch" forName="textBox5e" refType="ctrY" refFor="ch" refForName="bullet5e"/>
                    <dgm:constr type="w" for="ch" forName="textBox5e" refType="w" fact="0.2"/>
                    <dgm:constr type="h" for="ch" forName="textBox5e" refType="h" fact="0.736"/>
                    <dgm:constr type="userE" refType="h" refFor="ch" refForName="bullet5e" fact="0.53"/>
                    <dgm:constr type="lMarg" for="ch" forName="textBox5e" refType="userE" fact="2.834"/>
                    <dgm:constr type="primFontSz" for="ch" ptType="node" op="equ" val="65"/>
                  </dgm:constrLst>
                </dgm:if>
                <dgm:else name="Name138">
                  <dgm:constrLst>
                    <dgm:constr type="ctrX" for="ch" forName="bullet5a" refType="w" fact="0.11"/>
                    <dgm:constr type="ctrY" for="ch" forName="bullet5a" refType="h" fact="0.762"/>
                    <dgm:constr type="w" for="ch" forName="bullet5a" refType="w" fact="0.023"/>
                    <dgm:constr type="h" for="ch" forName="bullet5a" refType="w" refFor="ch" refForName="bullet5a"/>
                    <dgm:constr type="r" for="ch" forName="textBox5a" refType="ctrX" refFor="ch" refForName="bullet5a"/>
                    <dgm:constr type="b" for="ch" forName="textBox5a" refType="ctrY" refFor="ch" refForName="bullet5a"/>
                    <dgm:constr type="w" for="ch" forName="textBox5a" refType="w" fact="0.11"/>
                    <dgm:constr type="h" for="ch" forName="textBox5a" refType="h" fact="0.762"/>
                    <dgm:constr type="userA" refType="h" refFor="ch" refForName="bullet5a" fact="0.53"/>
                    <dgm:constr type="r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r" for="ch" forName="textBox5b" refType="ctrX" refFor="ch" refForName="bullet5b"/>
                    <dgm:constr type="b" for="ch" forName="textBox5b" refType="ctrY" refFor="ch" refForName="bullet5b"/>
                    <dgm:constr type="w" for="ch" forName="textBox5b" refType="w" fact="0.131"/>
                    <dgm:constr type="h" for="ch" forName="textBox5b" refType="h" fact="0.581"/>
                    <dgm:constr type="userB" refType="h" refFor="ch" refForName="bullet5b" fact="0.53"/>
                    <dgm:constr type="r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r" for="ch" forName="textBox5c" refType="ctrX" refFor="ch" refForName="bullet5c"/>
                    <dgm:constr type="b" for="ch" forName="textBox5c" refType="ctrY" refFor="ch" refForName="bullet5c"/>
                    <dgm:constr type="w" for="ch" forName="textBox5c" refType="w" fact="0.166"/>
                    <dgm:constr type="h" for="ch" forName="textBox5c" refType="h" fact="0.438"/>
                    <dgm:constr type="userC" refType="h" refFor="ch" refForName="bullet5c" fact="0.53"/>
                    <dgm:constr type="r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r" for="ch" forName="textBox5d" refType="ctrX" refFor="ch" refForName="bullet5d"/>
                    <dgm:constr type="b" for="ch" forName="textBox5d" refType="ctrY" refFor="ch" refForName="bullet5d"/>
                    <dgm:constr type="w" for="ch" forName="textBox5d" refType="w" fact="0.193"/>
                    <dgm:constr type="h" for="ch" forName="textBox5d" refType="h" fact="0.33"/>
                    <dgm:constr type="userD" refType="h" refFor="ch" refForName="bullet5d" fact="0.53"/>
                    <dgm:constr type="r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r" for="ch" forName="textBox5e" refType="ctrX" refFor="ch" refForName="bullet5e"/>
                    <dgm:constr type="b" for="ch" forName="textBox5e" refType="ctrY" refFor="ch" refForName="bullet5e"/>
                    <dgm:constr type="w" for="ch" forName="textBox5e" refType="w" fact="0.2"/>
                    <dgm:constr type="h" for="ch" forName="textBox5e" refType="h" fact="0.264"/>
                    <dgm:constr type="userE" refType="h" refFor="ch" refForName="bullet5e" fact="0.53"/>
                    <dgm:constr type="rMarg" for="ch" forName="textBox5e" refType="userE" fact="2.834"/>
                    <dgm:constr type="primFontSz" for="ch" ptType="node" op="equ" val="65"/>
                  </dgm:constrLst>
                </dgm:else>
              </dgm:choose>
              <dgm:ruleLst/>
              <dgm:forEach name="Name139" axis="ch" ptType="node" cnt="1">
                <dgm:layoutNode name="bullet5a" styleLbl="node1">
                  <dgm:alg type="sp"/>
                  <dgm:shape xmlns:r="http://schemas.openxmlformats.org/officeDocument/2006/relationships" type="ellipse" r:blip="">
                    <dgm:adjLst/>
                  </dgm:shape>
                  <dgm:presOf/>
                  <dgm:constrLst/>
                  <dgm:ruleLst/>
                </dgm:layoutNode>
                <dgm:layoutNode name="textBox5a" styleLbl="revTx">
                  <dgm:varLst>
                    <dgm:bulletEnabled val="1"/>
                  </dgm:varLst>
                  <dgm:choose name="Name140">
                    <dgm:if name="Name141" func="var" arg="dir" op="equ" val="norm">
                      <dgm:choose name="Name142">
                        <dgm:if name="Name143" axis="root des" ptType="all node" func="maxDepth" op="gt" val="1">
                          <dgm:alg type="tx">
                            <dgm:param type="txAnchorVert" val="t"/>
                            <dgm:param type="parTxLTRAlign" val="l"/>
                            <dgm:param type="parTxRTLAlign" val="r"/>
                          </dgm:alg>
                        </dgm:if>
                        <dgm:else name="Name144">
                          <dgm:alg type="tx">
                            <dgm:param type="txAnchorVert" val="t"/>
                            <dgm:param type="parTxLTRAlign" val="l"/>
                            <dgm:param type="parTxRTLAlign" val="l"/>
                          </dgm:alg>
                        </dgm:else>
                      </dgm:choose>
                    </dgm:if>
                    <dgm:else name="Name145">
                      <dgm:choose name="Name146">
                        <dgm:if name="Name147" axis="root des" ptType="all node" func="maxDepth" op="gt" val="1">
                          <dgm:alg type="tx">
                            <dgm:param type="txAnchorVert" val="b"/>
                            <dgm:param type="txAnchorVertCh" val="b"/>
                            <dgm:param type="parTxLTRAlign" val="l"/>
                            <dgm:param type="parTxRTLAlign" val="r"/>
                          </dgm:alg>
                        </dgm:if>
                        <dgm:else name="Name14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49">
                    <dgm:if name="Name150" func="var" arg="dir" op="equ" val="norm">
                      <dgm:constrLst>
                        <dgm:constr type="rMarg"/>
                        <dgm:constr type="tMarg"/>
                        <dgm:constr type="bMarg"/>
                      </dgm:constrLst>
                    </dgm:if>
                    <dgm:else name="Name151">
                      <dgm:constrLst>
                        <dgm:constr type="lMarg"/>
                        <dgm:constr type="tMarg"/>
                        <dgm:constr type="bMarg"/>
                      </dgm:constrLst>
                    </dgm:else>
                  </dgm:choose>
                  <dgm:ruleLst>
                    <dgm:rule type="primFontSz" val="5" fact="NaN" max="NaN"/>
                  </dgm:ruleLst>
                </dgm:layoutNode>
              </dgm:forEach>
              <dgm:forEach name="Name152" axis="ch" ptType="node" st="2" cnt="1">
                <dgm:layoutNode name="bullet5b" styleLbl="node1">
                  <dgm:alg type="sp"/>
                  <dgm:shape xmlns:r="http://schemas.openxmlformats.org/officeDocument/2006/relationships" type="ellipse" r:blip="">
                    <dgm:adjLst/>
                  </dgm:shape>
                  <dgm:presOf/>
                  <dgm:constrLst/>
                  <dgm:ruleLst/>
                </dgm:layoutNode>
                <dgm:layoutNode name="textBox5b" styleLbl="revTx">
                  <dgm:varLst>
                    <dgm:bulletEnabled val="1"/>
                  </dgm:varLst>
                  <dgm:choose name="Name153">
                    <dgm:if name="Name154" func="var" arg="dir" op="equ" val="norm">
                      <dgm:choose name="Name155">
                        <dgm:if name="Name156" axis="root des" ptType="all node" func="maxDepth" op="gt" val="1">
                          <dgm:alg type="tx">
                            <dgm:param type="txAnchorVert" val="t"/>
                            <dgm:param type="parTxLTRAlign" val="l"/>
                            <dgm:param type="parTxRTLAlign" val="r"/>
                          </dgm:alg>
                        </dgm:if>
                        <dgm:else name="Name157">
                          <dgm:alg type="tx">
                            <dgm:param type="txAnchorVert" val="t"/>
                            <dgm:param type="parTxLTRAlign" val="l"/>
                            <dgm:param type="parTxRTLAlign" val="l"/>
                          </dgm:alg>
                        </dgm:else>
                      </dgm:choose>
                    </dgm:if>
                    <dgm:else name="Name158">
                      <dgm:choose name="Name159">
                        <dgm:if name="Name160" axis="root des" ptType="all node" func="maxDepth" op="gt" val="1">
                          <dgm:alg type="tx">
                            <dgm:param type="txAnchorVert" val="b"/>
                            <dgm:param type="txAnchorVertCh" val="b"/>
                            <dgm:param type="parTxLTRAlign" val="l"/>
                            <dgm:param type="parTxRTLAlign" val="r"/>
                          </dgm:alg>
                        </dgm:if>
                        <dgm:else name="Name16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62">
                    <dgm:if name="Name163" func="var" arg="dir" op="equ" val="norm">
                      <dgm:constrLst>
                        <dgm:constr type="rMarg"/>
                        <dgm:constr type="tMarg"/>
                        <dgm:constr type="bMarg"/>
                      </dgm:constrLst>
                    </dgm:if>
                    <dgm:else name="Name164">
                      <dgm:constrLst>
                        <dgm:constr type="lMarg"/>
                        <dgm:constr type="tMarg"/>
                        <dgm:constr type="bMarg"/>
                      </dgm:constrLst>
                    </dgm:else>
                  </dgm:choose>
                  <dgm:ruleLst>
                    <dgm:rule type="primFontSz" val="5" fact="NaN" max="NaN"/>
                  </dgm:ruleLst>
                </dgm:layoutNode>
              </dgm:forEach>
              <dgm:forEach name="Name165" axis="ch" ptType="node" st="3" cnt="1">
                <dgm:layoutNode name="bullet5c" styleLbl="node1">
                  <dgm:alg type="sp"/>
                  <dgm:shape xmlns:r="http://schemas.openxmlformats.org/officeDocument/2006/relationships" type="ellipse" r:blip="">
                    <dgm:adjLst/>
                  </dgm:shape>
                  <dgm:presOf/>
                  <dgm:constrLst/>
                  <dgm:ruleLst/>
                </dgm:layoutNode>
                <dgm:layoutNode name="textBox5c" styleLbl="revTx">
                  <dgm:varLst>
                    <dgm:bulletEnabled val="1"/>
                  </dgm:varLst>
                  <dgm:choose name="Name166">
                    <dgm:if name="Name167" func="var" arg="dir" op="equ" val="norm">
                      <dgm:choose name="Name168">
                        <dgm:if name="Name169" axis="root des" ptType="all node" func="maxDepth" op="gt" val="1">
                          <dgm:alg type="tx">
                            <dgm:param type="txAnchorVert" val="t"/>
                            <dgm:param type="parTxLTRAlign" val="l"/>
                            <dgm:param type="parTxRTLAlign" val="r"/>
                          </dgm:alg>
                        </dgm:if>
                        <dgm:else name="Name170">
                          <dgm:alg type="tx">
                            <dgm:param type="txAnchorVert" val="t"/>
                            <dgm:param type="parTxLTRAlign" val="l"/>
                            <dgm:param type="parTxRTLAlign" val="l"/>
                          </dgm:alg>
                        </dgm:else>
                      </dgm:choose>
                    </dgm:if>
                    <dgm:else name="Name171">
                      <dgm:choose name="Name172">
                        <dgm:if name="Name173" axis="root des" ptType="all node" func="maxDepth" op="gt" val="1">
                          <dgm:alg type="tx">
                            <dgm:param type="txAnchorVert" val="b"/>
                            <dgm:param type="txAnchorVertCh" val="b"/>
                            <dgm:param type="parTxLTRAlign" val="l"/>
                            <dgm:param type="parTxRTLAlign" val="r"/>
                          </dgm:alg>
                        </dgm:if>
                        <dgm:else name="Name174">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75">
                    <dgm:if name="Name176" func="var" arg="dir" op="equ" val="norm">
                      <dgm:constrLst>
                        <dgm:constr type="rMarg"/>
                        <dgm:constr type="tMarg"/>
                        <dgm:constr type="bMarg"/>
                      </dgm:constrLst>
                    </dgm:if>
                    <dgm:else name="Name177">
                      <dgm:constrLst>
                        <dgm:constr type="lMarg"/>
                        <dgm:constr type="tMarg"/>
                        <dgm:constr type="bMarg"/>
                      </dgm:constrLst>
                    </dgm:else>
                  </dgm:choose>
                  <dgm:ruleLst>
                    <dgm:rule type="primFontSz" val="5" fact="NaN" max="NaN"/>
                  </dgm:ruleLst>
                </dgm:layoutNode>
              </dgm:forEach>
              <dgm:forEach name="Name178" axis="ch" ptType="node" st="4" cnt="1">
                <dgm:layoutNode name="bullet5d" styleLbl="node1">
                  <dgm:alg type="sp"/>
                  <dgm:shape xmlns:r="http://schemas.openxmlformats.org/officeDocument/2006/relationships" type="ellipse" r:blip="">
                    <dgm:adjLst/>
                  </dgm:shape>
                  <dgm:presOf/>
                  <dgm:constrLst/>
                  <dgm:ruleLst/>
                </dgm:layoutNode>
                <dgm:layoutNode name="textBox5d" styleLbl="revTx">
                  <dgm:varLst>
                    <dgm:bulletEnabled val="1"/>
                  </dgm:varLst>
                  <dgm:choose name="Name179">
                    <dgm:if name="Name180" func="var" arg="dir" op="equ" val="norm">
                      <dgm:choose name="Name181">
                        <dgm:if name="Name182" axis="root des" ptType="all node" func="maxDepth" op="gt" val="1">
                          <dgm:alg type="tx">
                            <dgm:param type="txAnchorVert" val="t"/>
                            <dgm:param type="parTxLTRAlign" val="l"/>
                            <dgm:param type="parTxRTLAlign" val="r"/>
                          </dgm:alg>
                        </dgm:if>
                        <dgm:else name="Name183">
                          <dgm:alg type="tx">
                            <dgm:param type="txAnchorVert" val="t"/>
                            <dgm:param type="parTxLTRAlign" val="l"/>
                            <dgm:param type="parTxRTLAlign" val="l"/>
                          </dgm:alg>
                        </dgm:else>
                      </dgm:choose>
                    </dgm:if>
                    <dgm:else name="Name184">
                      <dgm:choose name="Name185">
                        <dgm:if name="Name186" axis="root des" ptType="all node" func="maxDepth" op="gt" val="1">
                          <dgm:alg type="tx">
                            <dgm:param type="txAnchorVert" val="b"/>
                            <dgm:param type="txAnchorVertCh" val="b"/>
                            <dgm:param type="parTxLTRAlign" val="l"/>
                            <dgm:param type="parTxRTLAlign" val="r"/>
                          </dgm:alg>
                        </dgm:if>
                        <dgm:else name="Name187">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88">
                    <dgm:if name="Name189" func="var" arg="dir" op="equ" val="norm">
                      <dgm:constrLst>
                        <dgm:constr type="rMarg"/>
                        <dgm:constr type="tMarg"/>
                        <dgm:constr type="bMarg"/>
                      </dgm:constrLst>
                    </dgm:if>
                    <dgm:else name="Name190">
                      <dgm:constrLst>
                        <dgm:constr type="lMarg"/>
                        <dgm:constr type="tMarg"/>
                        <dgm:constr type="bMarg"/>
                      </dgm:constrLst>
                    </dgm:else>
                  </dgm:choose>
                  <dgm:ruleLst>
                    <dgm:rule type="primFontSz" val="5" fact="NaN" max="NaN"/>
                  </dgm:ruleLst>
                </dgm:layoutNode>
              </dgm:forEach>
              <dgm:forEach name="Name191" axis="ch" ptType="node" st="5" cnt="1">
                <dgm:layoutNode name="bullet5e" styleLbl="node1">
                  <dgm:alg type="sp"/>
                  <dgm:shape xmlns:r="http://schemas.openxmlformats.org/officeDocument/2006/relationships" type="ellipse" r:blip="">
                    <dgm:adjLst/>
                  </dgm:shape>
                  <dgm:presOf/>
                  <dgm:constrLst/>
                  <dgm:ruleLst/>
                </dgm:layoutNode>
                <dgm:layoutNode name="textBox5e" styleLbl="revTx">
                  <dgm:varLst>
                    <dgm:bulletEnabled val="1"/>
                  </dgm:varLst>
                  <dgm:choose name="Name192">
                    <dgm:if name="Name193" func="var" arg="dir" op="equ" val="norm">
                      <dgm:choose name="Name194">
                        <dgm:if name="Name195" axis="root des" ptType="all node" func="maxDepth" op="gt" val="1">
                          <dgm:alg type="tx">
                            <dgm:param type="txAnchorVert" val="t"/>
                            <dgm:param type="parTxLTRAlign" val="l"/>
                            <dgm:param type="parTxRTLAlign" val="r"/>
                          </dgm:alg>
                        </dgm:if>
                        <dgm:else name="Name196">
                          <dgm:alg type="tx">
                            <dgm:param type="txAnchorVert" val="t"/>
                            <dgm:param type="parTxLTRAlign" val="l"/>
                            <dgm:param type="parTxRTLAlign" val="l"/>
                          </dgm:alg>
                        </dgm:else>
                      </dgm:choose>
                    </dgm:if>
                    <dgm:else name="Name197">
                      <dgm:choose name="Name198">
                        <dgm:if name="Name199" axis="root des" ptType="all node" func="maxDepth" op="gt" val="1">
                          <dgm:alg type="tx">
                            <dgm:param type="txAnchorVert" val="b"/>
                            <dgm:param type="txAnchorVertCh" val="b"/>
                            <dgm:param type="parTxLTRAlign" val="l"/>
                            <dgm:param type="parTxRTLAlign" val="r"/>
                          </dgm:alg>
                        </dgm:if>
                        <dgm:else name="Name200">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1">
                    <dgm:if name="Name202" func="var" arg="dir" op="equ" val="norm">
                      <dgm:constrLst>
                        <dgm:constr type="rMarg"/>
                        <dgm:constr type="tMarg"/>
                        <dgm:constr type="bMarg"/>
                      </dgm:constrLst>
                    </dgm:if>
                    <dgm:else name="Name203">
                      <dgm:constrLst>
                        <dgm:constr type="lMarg"/>
                        <dgm:constr type="tMarg"/>
                        <dgm:constr type="bMarg"/>
                      </dgm:constrLst>
                    </dgm:else>
                  </dgm:choose>
                  <dgm:ruleLst>
                    <dgm:rule type="primFontSz" val="5" fact="NaN" max="NaN"/>
                  </dgm:ruleLst>
                </dgm:layoutNode>
              </dgm:forEach>
            </dgm:layoutNode>
          </dgm:else>
        </dgm:choose>
      </dgm:if>
      <dgm:else name="Name204"/>
    </dgm:choose>
  </dgm:layoutNode>
</dgm:layoutDef>
</file>

<file path=word/diagrams/layout24.xml><?xml version="1.0" encoding="utf-8"?>
<dgm:layoutDef xmlns:dgm="http://schemas.openxmlformats.org/drawingml/2006/diagram" xmlns:a="http://schemas.openxmlformats.org/drawingml/2006/main" uniqueId="urn:microsoft.com/office/officeart/2005/8/layout/hList3">
  <dgm:title val=""/>
  <dgm:desc val=""/>
  <dgm:catLst>
    <dgm:cat type="list" pri="1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1" destId="2" srcOrd="0" destOrd="0"/>
        <dgm:cxn modelId="7" srcId="1" destId="3" srcOrd="1" destOrd="0"/>
        <dgm:cxn modelId="8" srcId="1" destId="4" srcOrd="2" destOrd="0"/>
      </dgm:cxnLst>
      <dgm:bg/>
      <dgm:whole/>
    </dgm:dataModel>
  </dgm:sampData>
  <dgm:styleData>
    <dgm:dataModel>
      <dgm:ptLst>
        <dgm:pt modelId="0" type="doc"/>
        <dgm:pt modelId="1"/>
        <dgm:pt modelId="2"/>
        <dgm:pt modelId="3"/>
      </dgm:ptLst>
      <dgm:cxnLst>
        <dgm:cxn modelId="5" srcId="0" destId="1" srcOrd="0" destOrd="0"/>
        <dgm:cxn modelId="6" srcId="1" destId="2" srcOrd="0" destOrd="0"/>
        <dgm:cxn modelId="7" srcId="1" destId="3" srcOrd="1" destOrd="0"/>
      </dgm:cxnLst>
      <dgm:bg/>
      <dgm:whole/>
    </dgm:dataModel>
  </dgm:styleData>
  <dgm:clrData>
    <dgm:dataModel>
      <dgm:ptLst>
        <dgm:pt modelId="0" type="doc"/>
        <dgm:pt modelId="1"/>
        <dgm:pt modelId="2"/>
        <dgm:pt modelId="3"/>
        <dgm:pt modelId="4"/>
        <dgm:pt modelId="5"/>
      </dgm:ptLst>
      <dgm:cxnLst>
        <dgm:cxn modelId="6" srcId="0" destId="1" srcOrd="0" destOrd="0"/>
        <dgm:cxn modelId="7" srcId="1" destId="2" srcOrd="0" destOrd="0"/>
        <dgm:cxn modelId="8" srcId="1" destId="3" srcOrd="1" destOrd="0"/>
        <dgm:cxn modelId="9" srcId="1" destId="4" srcOrd="2" destOrd="0"/>
        <dgm:cxn modelId="10" srcId="1" destId="5" srcOrd="3" destOrd="0"/>
      </dgm:cxnLst>
      <dgm:bg/>
      <dgm:whole/>
    </dgm:dataModel>
  </dgm:clrData>
  <dgm:layoutNode name="composite">
    <dgm:varLst>
      <dgm:chMax val="1"/>
      <dgm:dir/>
      <dgm:resizeHandles val="exact"/>
    </dgm:varLst>
    <dgm:alg type="composite"/>
    <dgm:shape xmlns:r="http://schemas.openxmlformats.org/officeDocument/2006/relationships" r:blip="">
      <dgm:adjLst/>
    </dgm:shape>
    <dgm:presOf/>
    <dgm:constrLst>
      <dgm:constr type="w" for="ch" forName="roof" refType="w"/>
      <dgm:constr type="h" for="ch" forName="roof" refType="h" fact="0.3"/>
      <dgm:constr type="primFontSz" for="ch" forName="roof" val="65"/>
      <dgm:constr type="w" for="ch" forName="pillars" refType="w"/>
      <dgm:constr type="h" for="ch" forName="pillars" refType="h" fact="0.63"/>
      <dgm:constr type="t" for="ch" forName="pillars" refType="h" fact="0.3"/>
      <dgm:constr type="primFontSz" for="des" forName="pillar1" val="65"/>
      <dgm:constr type="primFontSz" for="des" forName="pillarX" refType="primFontSz" refFor="des" refForName="pillar1" op="equ"/>
      <dgm:constr type="w" for="ch" forName="base" refType="w"/>
      <dgm:constr type="h" for="ch" forName="base" refType="h" fact="0.07"/>
      <dgm:constr type="t" for="ch" forName="base" refType="h" fact="0.93"/>
    </dgm:constrLst>
    <dgm:ruleLst/>
    <dgm:forEach name="Name0" axis="ch" ptType="node" cnt="1">
      <dgm:layoutNode name="roof" styleLbl="dkBgShp">
        <dgm:alg type="tx"/>
        <dgm:shape xmlns:r="http://schemas.openxmlformats.org/officeDocument/2006/relationships" type="rect" r:blip="">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pillars" styleLbl="node1">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pillar1" refType="w"/>
          <dgm:constr type="h" for="ch" forName="pillar1" refType="h"/>
          <dgm:constr type="w" for="ch" forName="pillarX" refType="w"/>
          <dgm:constr type="h" for="ch" forName="pillarX" refType="h"/>
        </dgm:constrLst>
        <dgm:ruleLst/>
        <dgm:layoutNode name="pillar1" styleLbl="node1">
          <dgm:varLst>
            <dgm:bulletEnabled val="1"/>
          </dgm:varLst>
          <dgm:alg type="tx"/>
          <dgm:shape xmlns:r="http://schemas.openxmlformats.org/officeDocument/2006/relationships" type="rect" r:blip="">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ch" ptType="node" st="2">
          <dgm:layoutNode name="pillarX" styleLbl="node1">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dgm:layoutNode>
      <dgm:layoutNode name="base" styleLbl="dkBgShp">
        <dgm:alg type="sp"/>
        <dgm:shape xmlns:r="http://schemas.openxmlformats.org/officeDocument/2006/relationships" type="rect" r:blip="">
          <dgm:adjLst/>
        </dgm:shape>
        <dgm:presOf/>
        <dgm:constrLst/>
        <dgm:ruleLst/>
      </dgm:layoutNode>
    </dgm:forEach>
  </dgm:layoutNode>
</dgm:layoutDef>
</file>

<file path=word/diagrams/layout2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6.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7.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8.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9.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2">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3">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5.xml><?xml version="1.0" encoding="utf-8"?>
<dgm:styleDef xmlns:dgm="http://schemas.openxmlformats.org/drawingml/2006/diagram" xmlns:a="http://schemas.openxmlformats.org/drawingml/2006/main" uniqueId="urn:microsoft.com/office/officeart/2005/8/quickstyle/simple1#4">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6.xml><?xml version="1.0" encoding="utf-8"?>
<dgm:styleDef xmlns:dgm="http://schemas.openxmlformats.org/drawingml/2006/diagram" xmlns:a="http://schemas.openxmlformats.org/drawingml/2006/main" uniqueId="urn:microsoft.com/office/officeart/2005/8/quickstyle/simple1#5">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7.xml><?xml version="1.0" encoding="utf-8"?>
<dgm:styleDef xmlns:dgm="http://schemas.openxmlformats.org/drawingml/2006/diagram" xmlns:a="http://schemas.openxmlformats.org/drawingml/2006/main" uniqueId="urn:microsoft.com/office/officeart/2005/8/quickstyle/simple1#6">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8.xml><?xml version="1.0" encoding="utf-8"?>
<dgm:styleDef xmlns:dgm="http://schemas.openxmlformats.org/drawingml/2006/diagram" xmlns:a="http://schemas.openxmlformats.org/drawingml/2006/main" uniqueId="urn:microsoft.com/office/officeart/2005/8/quickstyle/simple1#7">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9.xml><?xml version="1.0" encoding="utf-8"?>
<dgm:styleDef xmlns:dgm="http://schemas.openxmlformats.org/drawingml/2006/diagram" xmlns:a="http://schemas.openxmlformats.org/drawingml/2006/main" uniqueId="urn:microsoft.com/office/officeart/2005/8/quickstyle/simple1#8">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E447D3-DFE2-469D-B5CF-B9F8CDF5A6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249</Pages>
  <Words>105249</Words>
  <Characters>599920</Characters>
  <Application>Microsoft Office Word</Application>
  <DocSecurity>0</DocSecurity>
  <Lines>4999</Lines>
  <Paragraphs>1407</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703762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2017-12-12T12:09:00Z</dcterms:created>
  <dcterms:modified xsi:type="dcterms:W3CDTF">2017-12-21T14:22:00Z</dcterms:modified>
</cp:coreProperties>
</file>